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22495d8k.htm"/>
      <w:bookmarkStart w:id="1" w:name="ksd4224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20,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Corteva, Inc. </w:t>
      </w:r>
    </w:p>
    <w:p>
      <w:pPr>
        <w:pStyle w:val="TextBody"/>
        <w:bidi w:val="0"/>
        <w:spacing w:before="240" w:after="0"/>
        <w:jc w:val="center"/>
        <w:rPr>
          <w:rFonts w:ascii="Times New Roman" w:hAnsi="Times New Roman"/>
          <w:b/>
          <w:sz w:val="48"/>
        </w:rPr>
      </w:pPr>
      <w:r>
        <w:rPr>
          <w:rFonts w:ascii="Times New Roman" w:hAnsi="Times New Roman"/>
          <w:b/>
          <w:sz w:val="48"/>
        </w:rPr>
        <w:t xml:space="preserve">EIDP,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940" w:type="dxa"/>
        <w:jc w:val="left"/>
        <w:tblInd w:w="0" w:type="dxa"/>
        <w:tblLayout w:type="fixed"/>
        <w:tblCellMar>
          <w:top w:w="0" w:type="dxa"/>
          <w:left w:w="0" w:type="dxa"/>
          <w:bottom w:w="0" w:type="dxa"/>
          <w:right w:w="0" w:type="dxa"/>
        </w:tblCellMar>
      </w:tblPr>
      <w:tblGrid>
        <w:gridCol w:w="2885"/>
        <w:gridCol w:w="60"/>
        <w:gridCol w:w="1055"/>
        <w:gridCol w:w="60"/>
        <w:gridCol w:w="1880"/>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001-38710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82-4979096</w:t>
            </w:r>
          </w:p>
        </w:tc>
      </w:tr>
      <w:tr>
        <w:trPr/>
        <w:tc>
          <w:tcPr>
            <w:tcW w:w="28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001-00815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51-0014090</w:t>
            </w:r>
          </w:p>
        </w:tc>
      </w:tr>
      <w:tr>
        <w:trPr/>
        <w:tc>
          <w:tcPr>
            <w:tcW w:w="2885" w:type="dxa"/>
            <w:tcBorders/>
            <w:vAlign w:val="center"/>
          </w:tcPr>
          <w:p>
            <w:pPr>
              <w:pStyle w:val="TableContents"/>
              <w:bidi w:val="0"/>
              <w:spacing w:before="0" w:after="0"/>
              <w:jc w:val="center"/>
              <w:rPr>
                <w:b/>
                <w:spacing w:val="0"/>
              </w:rPr>
            </w:pPr>
            <w:r>
              <w:rPr>
                <w:b/>
                <w:spacing w:val="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(IRS Employer</w:t>
              <w:br/>
              <w:t>Identification No.)</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5510"/>
        <w:gridCol w:w="60"/>
        <w:gridCol w:w="1145"/>
      </w:tblGrid>
      <w:tr>
        <w:trPr/>
        <w:tc>
          <w:tcPr>
            <w:tcW w:w="5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center"/>
              <w:rPr>
                <w:b/>
                <w:spacing w:val="0"/>
              </w:rPr>
            </w:pPr>
            <w:r>
              <w:rPr>
                <w:b/>
                <w:spacing w:val="0"/>
              </w:rPr>
              <w:t>9330 Zionsville Road, Indianapolis, Indiana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46268</w:t>
            </w:r>
          </w:p>
        </w:tc>
      </w:tr>
      <w:tr>
        <w:trPr/>
        <w:tc>
          <w:tcPr>
            <w:tcW w:w="5510" w:type="dxa"/>
            <w:tcBorders/>
            <w:vAlign w:val="center"/>
          </w:tcPr>
          <w:p>
            <w:pPr>
              <w:pStyle w:val="TableContents"/>
              <w:bidi w:val="0"/>
              <w:spacing w:before="0" w:after="0"/>
              <w:jc w:val="center"/>
              <w:rPr>
                <w:b/>
                <w:spacing w:val="0"/>
              </w:rPr>
            </w:pPr>
            <w:r>
              <w:rPr>
                <w:b/>
                <w:spacing w:val="0"/>
              </w:rPr>
              <w:t>1000 N. West Street, Suite 900, Wilmington, 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19801</w:t>
            </w:r>
          </w:p>
        </w:tc>
      </w:tr>
      <w:tr>
        <w:trPr/>
        <w:tc>
          <w:tcPr>
            <w:tcW w:w="5510"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(833) 267-8382 </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240.14a-12)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240.14d-2(b))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1265"/>
        <w:gridCol w:w="60"/>
        <w:gridCol w:w="3095"/>
        <w:gridCol w:w="60"/>
        <w:gridCol w:w="905"/>
        <w:gridCol w:w="60"/>
        <w:gridCol w:w="266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Registrant</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 xml:space="preserve">Trading </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 xml:space="preserve">Name of each exchange </w:t>
              <w:br/>
              <w:t>on which registered</w:t>
            </w:r>
          </w:p>
        </w:tc>
      </w:tr>
      <w:tr>
        <w:trPr/>
        <w:tc>
          <w:tcPr>
            <w:tcW w:w="1265" w:type="dxa"/>
            <w:tcBorders/>
            <w:vAlign w:val="center"/>
          </w:tcPr>
          <w:p>
            <w:pPr>
              <w:pStyle w:val="TableContents"/>
              <w:bidi w:val="0"/>
              <w:spacing w:before="0" w:after="283"/>
              <w:jc w:val="center"/>
              <w:rPr/>
            </w:pPr>
            <w:r>
              <w:rPr/>
              <w:t>Corteva,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CTVA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$3.50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$4.50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previously announced separation of Corteva, Inc. (the “Company” or “Corteva”) into two independent, publicly traded companies, one comprising its current crop protection business and the other comprising its current seed business to be owned and conducted, directly or indirectly, by Vylor Inc., a Delaware corporation and a wholly owned subsidiary of the Company (“Vylor”) (the “Separation”), Vylor commenced private offers to exchange (with respect to each series, an “Exchange Offer” and together, the “Exchange Offers”) and related consent solicitations (with respect to the EIDP Base Indenture (as defined below) and the applicable EIDP Supplemental Indenture (as defined below) governing a series of EIDP Notes, a “Consent Solicitation” and together, the “Consent Solicitations”) with respect to any and all of the outstanding 2.300% Senior Notes due 2030, 5.125% Senior Notes due 2032 and 4.800% Senior Notes due 2033, in each case issued by EIDP, Inc., a Delaware corporation and a wholly owned subsidiary of the Company (“EIDP” and such notes, collectively, the “EIDP Notes”), to the extent held by eligible holders, in exchange for new notes of the corresponding series to be issued by Vylor, in each case pursuant to the terms and conditions set forth in the exchange offer memorandum and consent solicitation statement dated August 6, 2026 (as amended or supplemented from time to time, the “Offering Memorandum”). Each Exchange Offer and related Consent Solicitation is conditioned upon, among other things, consummation of the Separation, which condition may not be waived, and receipt of the Requisite Consents (as defined below) to the Proposed EIDP Base Indenture Amendments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Exchange Offers, Vylor, on behalf of EIDP, is conducting the Consent Solicitations to adopt (i) certain proposed amendments to the base indenture, dated as of May 15, 2020 (the “EIDP Base Indenture”), between EIDP and U.S. Bank Trust Company, National Association (as successor in interest to U.S. Bank National Association), as trustee (the “Trustee”), which would eliminate substantially all of the restrictive covenants and events of default (other than payment-related and bankruptcy-related events of default) from the EIDP Base Indenture (the “Proposed EIDP Base Indenture Amendments”), and (ii) certain proposed amendments to the supplemental indentures to the EIDP Base Indenture (each, an “EIDP Supplemental Indenture”), which would eliminate the offer to repurchase upon change of control provisions from the applicable EIDP Supplemental Indenture (the “Proposed EIDP Supplemental Indenture Amendments” and, together with the Proposed EIDP Base Indenture Amendments, the “Proposed Amendments”). Adoption of the Proposed EIDP Base Indenture Amendments required consents from the holders of at least a majority of the aggregate principal amount of all the EIDP Notes, voting as a single class (the “Requisite Consents”), and adoption of the Proposed EIDP Supplemental Indenture Amendments required consents from the holders of at least a majority of the aggregate principal amount of the applicable series of EIDP Notes (the “Majority Consents”). As of August 19, 2026, Vylor had received, on behalf of EIDP, the Requisite Consents to adopt the Proposed EIDP Base Indenture Amendments and the Majority Consents to adopt the Proposed EIDP Supplemental Indenture Amendments with respect to each series of EIDP Notes.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2026, EIDP entered into a fourth supplemental indenture to the EIDP Base Indenture, dated as of August 20, 2026 (the “Fourth EIDP Supplemental Indenture”), between EIDP and the Trustee, amending the EIDP Base Indenture with respect to the EIDP Notes and each EIDP Supplemental Indenture with respect to the applicable series of EIDP Notes, in each case giving effect to the applicable Proposed Amendments. The Fourth EIDP Supplemental Indenture is effective and constitutes a binding agreement between EIDP and the Trustee. However, the Proposed Amendments with respect to each series of EIDP Notes will not become operative until settlement of the Exchange Offers, which is expected to occur substantially simultaneously with the consummation of the Separation. If the Exchange Offers are terminated or the Separation is not consummated, the Proposed Amendments will not become operative and the EIDP Base Indenture and each EIDP Supplemental Indenture will remain in effect without giving effect to the Proposed Amendments. The Fourth EIDP Supplemental Indenture is filed as Exhibit 4.1 to this Current Report on Form 8-K and is incorporated herein by reference. The foregoing description of the Fourth EIDP Supplemental Indenture does not purport to be complete and is qualified in its entirety by reference to such exhibit.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965"/>
        <w:gridCol w:w="4490"/>
      </w:tblGrid>
      <w:tr>
        <w:trPr/>
        <w:tc>
          <w:tcPr>
            <w:tcW w:w="965" w:type="dxa"/>
            <w:tcBorders/>
            <w:vAlign w:val="center"/>
          </w:tcPr>
          <w:p>
            <w:pPr>
              <w:pStyle w:val="TableContents"/>
              <w:bidi w:val="0"/>
              <w:spacing w:before="0" w:after="283"/>
              <w:jc w:val="left"/>
              <w:rPr>
                <w:b/>
              </w:rPr>
            </w:pPr>
            <w:r>
              <w:rPr>
                <w:b/>
              </w:rPr>
              <w:t>Item 3.03</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of this Current Report on Form 8-K regarding the Fourth EIDP Supplemental Indenture and the Proposed Amendments is incorporated by reference into this Item 3.03. </w:t>
      </w:r>
    </w:p>
    <w:p>
      <w:pPr>
        <w:pStyle w:val="TextBody"/>
        <w:bidi w:val="0"/>
        <w:spacing w:before="0" w:after="0"/>
        <w:jc w:val="left"/>
        <w:rPr/>
      </w:pPr>
      <w:r>
        <w:rPr/>
        <w:t>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Exhibit Index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22495dex41.htm">
              <w:r>
                <w:rPr>
                  <w:rStyle w:val="InternetLink"/>
                </w:rPr>
                <w:t xml:space="preserve">Fourth Supplemental Indenture, dated as of August 20, 2026, between EIDP, Inc. and U.S. Bank Trust Company, National Association, as Trustee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777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473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40" w:type="dxa"/>
            <w:gridSpan w:val="3"/>
            <w:tcBorders/>
            <w:vAlign w:val="center"/>
          </w:tcPr>
          <w:p>
            <w:pPr>
              <w:pStyle w:val="TableContents"/>
              <w:bidi w:val="0"/>
              <w:spacing w:before="0" w:after="283"/>
              <w:jc w:val="left"/>
              <w:rPr/>
            </w:pPr>
            <w:r>
              <w:rPr/>
              <w:t>CORTEVA,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7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Johnson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David P. Johnson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Executive Vice President, Chief Financial Officer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500" w:type="dxa"/>
            <w:gridSpan w:val="4"/>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40" w:type="dxa"/>
            <w:gridSpan w:val="3"/>
            <w:tcBorders/>
            <w:vAlign w:val="center"/>
          </w:tcPr>
          <w:p>
            <w:pPr>
              <w:pStyle w:val="TableContents"/>
              <w:bidi w:val="0"/>
              <w:spacing w:before="0" w:after="283"/>
              <w:jc w:val="left"/>
              <w:rPr/>
            </w:pPr>
            <w:r>
              <w:rPr/>
              <w:t>EIDP,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7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Johnson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David P. Johnson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Executive Vice President, Chief Financial Officer</w:t>
            </w:r>
          </w:p>
        </w:tc>
      </w:tr>
    </w:tbl>
    <w:p>
      <w:pPr>
        <w:pStyle w:val="TextBody"/>
        <w:bidi w:val="0"/>
        <w:spacing w:before="0" w:after="0"/>
        <w:jc w:val="right"/>
        <w:rPr>
          <w:rFonts w:ascii="Times New Roman" w:hAnsi="Times New Roman"/>
          <w:b/>
          <w:sz w:val="20"/>
        </w:rPr>
      </w:pPr>
      <w:bookmarkStart w:id="2" w:name="d422495dex41.htm"/>
      <w:bookmarkStart w:id="3" w:name="ksd422495dex41"/>
      <w:bookmarkEnd w:id="2"/>
      <w:bookmarkEnd w:id="3"/>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EIDP, INC. </w:t>
      </w:r>
    </w:p>
    <w:p>
      <w:pPr>
        <w:pStyle w:val="TextBody"/>
        <w:bidi w:val="0"/>
        <w:spacing w:before="240" w:after="0"/>
        <w:jc w:val="center"/>
        <w:rPr>
          <w:rFonts w:ascii="Times New Roman" w:hAnsi="Times New Roman"/>
          <w:sz w:val="20"/>
        </w:rPr>
      </w:pPr>
      <w:r>
        <w:rPr>
          <w:rFonts w:ascii="Times New Roman" w:hAnsi="Times New Roman"/>
          <w:sz w:val="20"/>
        </w:rPr>
        <w:t xml:space="preserve">2.300% Senior Notes due 2030 </w:t>
      </w:r>
    </w:p>
    <w:p>
      <w:pPr>
        <w:pStyle w:val="TextBody"/>
        <w:bidi w:val="0"/>
        <w:spacing w:before="0" w:after="0"/>
        <w:jc w:val="center"/>
        <w:rPr>
          <w:rFonts w:ascii="Times New Roman" w:hAnsi="Times New Roman"/>
          <w:sz w:val="20"/>
        </w:rPr>
      </w:pPr>
      <w:r>
        <w:rPr>
          <w:rFonts w:ascii="Times New Roman" w:hAnsi="Times New Roman"/>
          <w:sz w:val="20"/>
        </w:rPr>
        <w:t xml:space="preserve">4.800% Senior Notes due 2033 </w:t>
      </w:r>
    </w:p>
    <w:p>
      <w:pPr>
        <w:pStyle w:val="TextBody"/>
        <w:bidi w:val="0"/>
        <w:spacing w:before="0" w:after="0"/>
        <w:jc w:val="center"/>
        <w:rPr>
          <w:rFonts w:ascii="Times New Roman" w:hAnsi="Times New Roman"/>
          <w:sz w:val="20"/>
        </w:rPr>
      </w:pPr>
      <w:r>
        <w:rPr>
          <w:rFonts w:ascii="Times New Roman" w:hAnsi="Times New Roman"/>
          <w:sz w:val="20"/>
        </w:rPr>
        <w:t xml:space="preserve">5.125% Senior Notes due 2032 </w:t>
      </w:r>
    </w:p>
    <w:p>
      <w:pPr>
        <w:pStyle w:val="TextBody"/>
        <w:bidi w:val="0"/>
        <w:spacing w:before="240" w:after="0"/>
        <w:jc w:val="center"/>
        <w:rPr>
          <w:rFonts w:ascii="Times New Roman" w:hAnsi="Times New Roman"/>
          <w:b/>
          <w:sz w:val="20"/>
        </w:rPr>
      </w:pPr>
      <w:r>
        <w:rPr>
          <w:rFonts w:ascii="Times New Roman" w:hAnsi="Times New Roman"/>
          <w:b/>
          <w:sz w:val="20"/>
        </w:rPr>
        <w:t xml:space="preserve">FOURTH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20, 2026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May 15, 2020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successor in interest to 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2"/>
        <w:gridCol w:w="91"/>
        <w:gridCol w:w="8165"/>
        <w:gridCol w:w="120"/>
        <w:gridCol w:w="154"/>
        <w:gridCol w:w="361"/>
        <w:gridCol w:w="62"/>
      </w:tblGrid>
      <w:tr>
        <w:trPr/>
        <w:tc>
          <w:tcPr>
            <w:tcW w:w="1252"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25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I</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Definitions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2</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II</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Amendments to the Base Indenture with respect to Notes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2</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Amendments to the Base Indenture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Effect of the Amendments to the Base Indenture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III</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Amendments to the Supplemental Indentures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Amendments to the First Supplemental Indenture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Amendments to the Second Supplemental Indenture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Amendments to the Third Supplemental Indenture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Effect of the Amendments to the Supplemental Indentures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IV</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Miscellaneous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Effect of Fourth Supplemental Indenture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Reference to and Effect on Base Indenture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Relation to Base Indenture and Supplemental Indentures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Ratification of Base Indenture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Effects of Headings and Table of Contents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Successors and Assigns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Separability Clause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Benefits of Fourth Supplemental Indenture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Counterpart Originals; Electronic Signatures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Governing Law; Waiver of Jury Trial</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Force Majeure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U.S.A. Patriot Act</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Trustee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5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91"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Trust Indenture Act Controls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FOURTH SUPPLEMENTAL INDENTURE, dated as of August 20, 2026 (this “Fourth Supplemental Indenture”), between EIDP, Inc. (formerly known as E.I. du Pont de Nemours and Company), a Delaware corporation (the “Company”), and U.S. Bank Trust Company, National Association (as successor in interest to U.S. Bank National Association), a national banking association, as trustee (the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the Trustee have executed and delivered the Indenture dated as of May 15, 2020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the Trustee have executed and delivered the First Supplemental Indenture dated May 15, 2020 (the “First Supplemental Indenture”), providing for the issuance of the Company’s 2.300% Senior Notes due 2030 (the “2030 Notes”);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the Trustee have executed and delivered the Second Supplemental Indenture dated May 15, 2023 (the “Second Supplemental Indenture”), providing for the issuance of the Company’s 4.800% Senior Notes due 2033 (the “2033 Notes”);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the Trustee have executed and delivered the Third Supplemental Indenture dated May 14, 2025 (the “Third Supplemental Indenture,” and together with the First Supplemental Indenture and the Second Supplemental Indenture, the “Supplemental Indentures”), providing for the issuance of the Company’s 5.125% Senior Notes due 2032 (the “2032 Notes,” and together with the 2030 Notes and 2033 Notes, the “Notes”);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14.02 of the Base Indenture provides that the Base Indenture may be amended with the consent of the Holders of a majority in aggregate principal amount of the Outstanding Securities of all series so affected by such amendments voting as a single class (the “Base Indenture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7.02 of the First Supplemental Indenture provides that the First Supplemental Indenture may be amended with the consent of the Holders of a majority in aggregate principal amount of the Outstanding 2030 Notes (the “First Supplemental Indenture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7.02 of the Second Supplemental Indenture provides that the Second Supplemental Indenture may be amended with the consent of the Holders of a majority in aggregate principal amount of the Outstanding 2033 Notes (the “Second Supplemental Indenture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7.02 of the Third Supplemental Indenture provides that the Third Supplemental Indenture may be amended with the consent of the Holders of a majority in aggregate principal amount of the Outstanding 2032 Notes (the “Third Supplemental Indenture Requisite Holders,” and together with the Base Indenture Requisite Holders, the First Supplemental Indenture Requisite Holders and the Second Supplemental Indenture Requisite Holders, the “Requisite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Vylor Inc., a Delaware corporation (“Vylor”), has offered to exchange (i) up to $500,000,000 aggregate principal amount of new 2.300% Senior Notes due 2030 to be issued by Vylor for any and all Outstanding 2030 Notes, (ii) up to $600,000,000 aggregate principal amount of new 4.800% Senior Notes due 2033 to be issued by Vylor for any and all Outstanding 2033 Notes and (iii) up to $500,000,000 aggregate principal amount of new 5.125% Senior Notes due 2032 to be issued by Vylor for any and all Outstanding 2032 Notes (with respect to each series, an “Exchange Offer,” and together, the “Exchange Offers”), in each case, upon the terms and subject to the conditions set forth in the exchange offer memorandum and consent solicitation statement dated August 6, 2026 (as it may be amended from time to time,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Exchange Offers, Vylor, on behalf of the Company, has also solicited consents (with respect to the Base Indenture and the applicable Supplemental Indenture, a “Consent Solicitation,” and together, the “Consent Solicitations”) from the Holders of the Notes to certain proposed amendments to the Base Indenture (the “Base Indenture Proposed Amendments”) and each Supplemental Indenture (the “Supplemental Indenture Proposed Amendments,” and together with the Base Indenture Proposed Amendments, the “Proposed Amendments”), as described in, and upon the terms and subject to the conditions set forth in, the Offering Memorandum, with the operation of the applicable Proposed Amendments being subject to the satisfaction or, where permitted, waiver by Vylor of the conditions of the applicable Exchange Offer and Consent Solicitation; </w:t>
      </w:r>
    </w:p>
    <w:p>
      <w:pPr>
        <w:pStyle w:val="TextBody"/>
        <w:bidi w:val="0"/>
        <w:spacing w:before="240" w:after="0"/>
        <w:jc w:val="left"/>
        <w:rPr>
          <w:rFonts w:ascii="Times New Roman" w:hAnsi="Times New Roman"/>
          <w:sz w:val="20"/>
        </w:rPr>
      </w:pPr>
      <w:r>
        <w:rPr>
          <w:rFonts w:ascii="Times New Roman" w:hAnsi="Times New Roman"/>
          <w:sz w:val="20"/>
        </w:rPr>
        <w:t xml:space="preserve">WHEREAS, Vylor has received and caused to be delivered to the Trustee evidence of the receipt of consents from the Requisite Holders, as set forth in the attached Exhibit A, to effect the Proposed Amendments set forth below;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is undertaking to execute and deliver this Supplemental Indenture to effect the applicable Proposed Amendments to (i) the Base Indenture with respect to the Notes, (ii) the First Supplemental Indenture with respect to the 2030 Notes, (iii) the Second Supplemental Indenture with respect to the 2033 Notes and (iv) the Third Supplemental Indenture with respect to the 2032 Notes, in each case in connection with the Consent Solicitations and the related Exchange Offers, and, in connection therewith, the Company has duly authorized the execution and delivery of this Fourth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each party hereto agrees as follows for the benefit of the other parties and for the equal and ratable benefit of the Holders of the Notes: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All capitalized terms which are used herein and not otherwise defined herein are defined in the Base Indenture or in the applicable Supplemental Indenture and are used herein with the same meanings as in the Base Indenture or such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AMENDMENTS TO THE BASE INDENTURE WITH RESPECT TO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Amendments to the Base Indenture.</w:t>
      </w:r>
      <w:r>
        <w:rPr>
          <w:rFonts w:ascii="Times New Roman" w:hAnsi="Times New Roman"/>
          <w:sz w:val="20"/>
        </w:rPr>
        <w:t xml:space="preserve"> The Base Indenture is hereby amended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Section 6.04 (“Limitation on Liens”), Section 6.05 (“Sale and Leaseback Transactions”), Section 6.06 (“Merger, Consolidation and Sale of Assets”) and Sections 7.01(d) and 7.01(g) (“Events of Default”) are hereby deleted in their respective entireties and replaced with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(b) all definitions set forth in Section 1.01 of the Base Indenture that relate to defined terms used solely in Sections that have been deleted in their respective entireties pursuant to clause (a) above are also hereby deleted in their respective entireties; </w:t>
      </w:r>
    </w:p>
    <w:p>
      <w:pPr>
        <w:pStyle w:val="TextBody"/>
        <w:bidi w:val="0"/>
        <w:spacing w:before="120" w:after="0"/>
        <w:jc w:val="left"/>
        <w:rPr>
          <w:rFonts w:ascii="Times New Roman" w:hAnsi="Times New Roman"/>
          <w:sz w:val="20"/>
        </w:rPr>
      </w:pPr>
      <w:r>
        <w:rPr>
          <w:rFonts w:ascii="Times New Roman" w:hAnsi="Times New Roman"/>
          <w:sz w:val="20"/>
        </w:rPr>
        <w:t xml:space="preserve">(c) all references to Sections of the Base Indenture amended or supplemented by this Fourth Supplemental Indenture shall be to such Sections as amended or supplemented by this Fourth Supplemental Indenture; and </w:t>
      </w:r>
    </w:p>
    <w:p>
      <w:pPr>
        <w:pStyle w:val="TextBody"/>
        <w:bidi w:val="0"/>
        <w:spacing w:before="120" w:after="0"/>
        <w:jc w:val="left"/>
        <w:rPr>
          <w:rFonts w:ascii="Times New Roman" w:hAnsi="Times New Roman"/>
          <w:sz w:val="20"/>
        </w:rPr>
      </w:pPr>
      <w:r>
        <w:rPr>
          <w:rFonts w:ascii="Times New Roman" w:hAnsi="Times New Roman"/>
          <w:sz w:val="20"/>
        </w:rPr>
        <w:t xml:space="preserve">(d) all references to Sections or defined terms deleted by this Fourth Supplemental Indenture shall be removed from the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Effect of the Amendments to the Base Indenture</w:t>
      </w:r>
      <w:r>
        <w:rPr>
          <w:rFonts w:ascii="Times New Roman" w:hAnsi="Times New Roman"/>
          <w:sz w:val="20"/>
        </w:rPr>
        <w:t xml:space="preserve">. Effective as of the date hereof and operative on the Settlement Date (as defined herein), (a) the failure to comply with the terms of any of the deleted Articles, Sections or Clauses of the Base Indenture with respect to the Notes shall no longer constitute a Default or Event of Default under the Base Indenture with respect to the Notes and shall no longer have any consequence under the Base Indenture with respect to the Notes, and (b) the Company shall not have any obligations or liabilities under such deleted Articles, Sections or Clauses.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AMENDMENTS TO THE 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Amendments to the First Supplemental Indenture.</w:t>
      </w:r>
      <w:r>
        <w:rPr>
          <w:rFonts w:ascii="Times New Roman" w:hAnsi="Times New Roman"/>
          <w:sz w:val="20"/>
        </w:rPr>
        <w:t xml:space="preserve"> The First Supplemental Indenture is hereby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Section 4.01 (Change of Control) is hereby deleted in its entirety and replaced with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(b) all definitions set forth in Section 1.01 of the First Supplemental Indenture that relate to defined terms used solely in Sections that have been deleted in their respective entireties pursuant to clause (a) above or Section 2.01 above are also hereby deleted in their respective entireties; </w:t>
      </w:r>
    </w:p>
    <w:p>
      <w:pPr>
        <w:pStyle w:val="TextBody"/>
        <w:bidi w:val="0"/>
        <w:spacing w:before="120" w:after="0"/>
        <w:jc w:val="left"/>
        <w:rPr>
          <w:rFonts w:ascii="Times New Roman" w:hAnsi="Times New Roman"/>
          <w:sz w:val="20"/>
        </w:rPr>
      </w:pPr>
      <w:r>
        <w:rPr>
          <w:rFonts w:ascii="Times New Roman" w:hAnsi="Times New Roman"/>
          <w:sz w:val="20"/>
        </w:rPr>
        <w:t xml:space="preserve">(c) all references to Sections of the First Supplemental Indenture or the Base Indenture amended or supplemented by this Fourth Supplemental Indenture shall be to such Sections as amended or supplemented by this Fourth Supplemental Indenture; and </w:t>
      </w:r>
    </w:p>
    <w:p>
      <w:pPr>
        <w:pStyle w:val="TextBody"/>
        <w:bidi w:val="0"/>
        <w:spacing w:before="120" w:after="0"/>
        <w:jc w:val="left"/>
        <w:rPr>
          <w:rFonts w:ascii="Times New Roman" w:hAnsi="Times New Roman"/>
          <w:sz w:val="20"/>
        </w:rPr>
      </w:pPr>
      <w:r>
        <w:rPr>
          <w:rFonts w:ascii="Times New Roman" w:hAnsi="Times New Roman"/>
          <w:sz w:val="20"/>
        </w:rPr>
        <w:t xml:space="preserve">(d) all references to Sections or defined terms deleted by this Fourth Supplemental Indenture shall be removed from the Global Securities evidencing the 2030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Amendments to the Second Supplemental Indenture.</w:t>
      </w:r>
      <w:r>
        <w:rPr>
          <w:rFonts w:ascii="Times New Roman" w:hAnsi="Times New Roman"/>
          <w:sz w:val="20"/>
        </w:rPr>
        <w:t xml:space="preserve"> The Second Supplemental Indenture is hereby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Section 4.01 (Change of Control) is hereby deleted in its entirety and replaced with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(b) all definitions set forth in Section 1.01 of the Second Supplemental Indenture that relate to defined terms used solely in Sections that have been deleted in their respective entireties pursuant to clause (a) above or Section 2.01 above are also hereby deleted in their respective entireties; </w:t>
      </w:r>
    </w:p>
    <w:p>
      <w:pPr>
        <w:pStyle w:val="TextBody"/>
        <w:bidi w:val="0"/>
        <w:spacing w:before="120" w:after="0"/>
        <w:jc w:val="left"/>
        <w:rPr>
          <w:rFonts w:ascii="Times New Roman" w:hAnsi="Times New Roman"/>
          <w:sz w:val="20"/>
        </w:rPr>
      </w:pPr>
      <w:r>
        <w:rPr>
          <w:rFonts w:ascii="Times New Roman" w:hAnsi="Times New Roman"/>
          <w:sz w:val="20"/>
        </w:rPr>
        <w:t xml:space="preserve">(c) all references to Sections of the Second Supplemental Indenture or the Base Indenture amended or supplemented by this Fourth Supplemental Indenture shall be to such Sections as amended or supplemented by this Fourth Supplemental Indenture; and </w:t>
      </w:r>
    </w:p>
    <w:p>
      <w:pPr>
        <w:pStyle w:val="TextBody"/>
        <w:bidi w:val="0"/>
        <w:spacing w:before="120" w:after="0"/>
        <w:jc w:val="left"/>
        <w:rPr>
          <w:rFonts w:ascii="Times New Roman" w:hAnsi="Times New Roman"/>
          <w:sz w:val="20"/>
        </w:rPr>
      </w:pPr>
      <w:r>
        <w:rPr>
          <w:rFonts w:ascii="Times New Roman" w:hAnsi="Times New Roman"/>
          <w:sz w:val="20"/>
        </w:rPr>
        <w:t xml:space="preserve">(d) all references to Sections or defined terms deleted by this Fourth Supplemental Indenture shall be removed from the Global Securities evidencing the 2033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Amendments to the Third Supplemental Indenture.</w:t>
      </w:r>
      <w:r>
        <w:rPr>
          <w:rFonts w:ascii="Times New Roman" w:hAnsi="Times New Roman"/>
          <w:sz w:val="20"/>
        </w:rPr>
        <w:t xml:space="preserve"> The Third Supplemental Indenture is hereby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Section 4.01 (Change of Control) is hereby deleted in its entirety and replaced with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(b) all definitions set forth in Section 1.01 of the Third Supplemental Indenture that relate to defined terms used solely in Sections that have been deleted in their respective entireties pursuant to clause (a) above or Section 2.01 above are also hereby deleted in their respective entireties; </w:t>
      </w:r>
    </w:p>
    <w:p>
      <w:pPr>
        <w:pStyle w:val="TextBody"/>
        <w:bidi w:val="0"/>
        <w:spacing w:before="120" w:after="0"/>
        <w:jc w:val="left"/>
        <w:rPr>
          <w:rFonts w:ascii="Times New Roman" w:hAnsi="Times New Roman"/>
          <w:sz w:val="20"/>
        </w:rPr>
      </w:pPr>
      <w:r>
        <w:rPr>
          <w:rFonts w:ascii="Times New Roman" w:hAnsi="Times New Roman"/>
          <w:sz w:val="20"/>
        </w:rPr>
        <w:t xml:space="preserve">(c) all references to Sections of the Third Supplemental Indenture or the Base Indenture amended or supplemented by this Fourth Supplemental Indenture shall be to such Sections as amended or supplemented by this Fourth Supplemental Indenture; and </w:t>
      </w:r>
    </w:p>
    <w:p>
      <w:pPr>
        <w:pStyle w:val="TextBody"/>
        <w:bidi w:val="0"/>
        <w:spacing w:before="120" w:after="0"/>
        <w:jc w:val="left"/>
        <w:rPr>
          <w:rFonts w:ascii="Times New Roman" w:hAnsi="Times New Roman"/>
          <w:sz w:val="20"/>
        </w:rPr>
      </w:pPr>
      <w:r>
        <w:rPr>
          <w:rFonts w:ascii="Times New Roman" w:hAnsi="Times New Roman"/>
          <w:sz w:val="20"/>
        </w:rPr>
        <w:t xml:space="preserve">(d) all references to Sections or defined terms deleted by this Fourth Supplemental Indenture shall be removed from the Global Securities evidencing the 2032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Effect of the Amendments to the Supplemental Indentures</w:t>
      </w:r>
      <w:r>
        <w:rPr>
          <w:rFonts w:ascii="Times New Roman" w:hAnsi="Times New Roman"/>
          <w:sz w:val="20"/>
        </w:rPr>
        <w:t xml:space="preserve">. Effective as of the date hereof and operative on the Settlement Date, (a) the failure to comply with the terms of any of the deleted Articles, Sections or Clauses of the applicable Supplemental Indenture with respect to a series of Notes shall no longer constitute a Default or Event of Default under the applicable Supplemental Indenture with respect to such Notes and shall no longer have any consequence under such Supplemental Indenture with respect to such Notes, and (b) the Company shall not have any obligations or liabilities under such deleted Articles, Sections or Clauses.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Effect of Fourth Supplemental Indenture.</w:t>
      </w:r>
      <w:r>
        <w:rPr>
          <w:rFonts w:ascii="Times New Roman" w:hAnsi="Times New Roman"/>
          <w:sz w:val="20"/>
        </w:rPr>
        <w:t xml:space="preserve"> This Fourth Supplemental Indenture shall become effective upon the execution and delivery hereby by the Company and the Trustee; provided however, that the amendments provided for in Sections 2.01, 3.01, 3.02 and 3.03 hereof shall not become operative until the completion and settlement of the Consent Solicitations and the related Exchange Offers (the “Settlement Date”). If the Consent Solicitation and related Exchange Offer with respect to any series of Notes are terminated and withdrawn prior to such completion or settlement, the amendments to the applicable Supplemental Indenture shall be deemed to be revoked retroactive to the date hereof. If, as a result of such termination and withdrawal, consents have no longer been received from the Base Indenture Requisite Holders, then the amendments to the Base Indenture shall be deemed to be revoked retroactive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Reference to and Effect on Base Indenture.</w:t>
      </w:r>
      <w:r>
        <w:rPr>
          <w:rFonts w:ascii="Times New Roman" w:hAnsi="Times New Roman"/>
          <w:sz w:val="20"/>
        </w:rPr>
        <w:t xml:space="preserve"> Upon the date hereof, each reference in the Base Indenture or in the applicable Supplemental Indenture to “this Indenture,” “this First Supplemental Indenture,” “this Second Supplemental Indenture,” “this Third Supplemental Indenture,” “hereunder,” “hereof,” or “herein” shall mean and be a reference to the Base Indenture and the applicable Supplemental Indenture as supplemented by this Fourth Supplemental Indenture,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Relation to Base Indenture and Supplemental Indentures.</w:t>
      </w:r>
      <w:r>
        <w:rPr>
          <w:rFonts w:ascii="Times New Roman" w:hAnsi="Times New Roman"/>
          <w:sz w:val="20"/>
        </w:rPr>
        <w:t xml:space="preserve"> With respect to each series of Notes, this Fourth Supplemental Indenture amends or supplements the Base Indenture and the related Supplemental Indenture and shall be a part of and subject to all the terms thereof. With respect to each series of Notes, except as supplemented hereby, all of the terms, provisions and conditions of the Base Indenture, the related Supplemental Indenture and such series of Notes issued thereunder shall continue in full force and effect. In the event of a conflict between the terms and conditions of the Base Indenture, the applicable Supplemental Indenture and the terms and conditions of this Fourth Supplemental Indenture, then the terms and conditions of this Fourth Supplemental Indenture shall prevail.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Ratification of Base Indenture.</w:t>
      </w:r>
      <w:r>
        <w:rPr>
          <w:rFonts w:ascii="Times New Roman" w:hAnsi="Times New Roman"/>
          <w:sz w:val="20"/>
        </w:rPr>
        <w:t xml:space="preserve"> The Indenture, as supplemented by this Fourth Supplemental Indenture, is in all respects ratified and confirmed, and this Fourth Supplemental Indenture shall be deemed part of the Base Indenture and the applicable Supplemental Indentures in the manner and to the extent herein and therein provided. The rights, privileges, immunities, benefits, protections and indemnities provided to the Trustee under the Base Indenture shall apply to any action or inaction of the Trustee (acting in any capacity hereunder) in connection herewith, including in connection with the execution and delivery of this Fourth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Effects of Headings and Table of Contents.</w:t>
      </w:r>
      <w:r>
        <w:rPr>
          <w:rFonts w:ascii="Times New Roman" w:hAnsi="Times New Roman"/>
          <w:sz w:val="20"/>
        </w:rPr>
        <w:t xml:space="preserve"> 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Successors and Assigns.</w:t>
      </w:r>
      <w:r>
        <w:rPr>
          <w:rFonts w:ascii="Times New Roman" w:hAnsi="Times New Roman"/>
          <w:sz w:val="20"/>
        </w:rPr>
        <w:t xml:space="preserve"> All covenants and agreements in this Fourth Supplemental Indenture by the parties hereto shall bind their respective successors and assigns and inure to the benefit of their permitted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Separability Clause.</w:t>
      </w:r>
      <w:r>
        <w:rPr>
          <w:rFonts w:ascii="Times New Roman" w:hAnsi="Times New Roman"/>
          <w:sz w:val="20"/>
        </w:rPr>
        <w:t xml:space="preserve"> In case any provision in this Fourth Supplemental Indenture shall be invalid, illegal or unenforceable, the validity, legality and enforceability of the remaining provisions shall not in any way be affected or impaired thereby and shall be construed or deemed modified so as to be valid, legal and enforceable with an effect as close as possible to that of the invalid, illegal or unenforceable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Benefits of Fourth Supplemental Indenture.</w:t>
      </w:r>
      <w:r>
        <w:rPr>
          <w:rFonts w:ascii="Times New Roman" w:hAnsi="Times New Roman"/>
          <w:sz w:val="20"/>
        </w:rPr>
        <w:t xml:space="preserve"> Nothing in this Fourth Supplemental Indenture expressed and nothing that may be implied from any of the provisions hereof is intended, or shall be construed, to confer upon, or to give to, any Person or corporation other than the parties hereto and their successors and the Holders of the Notes of the applicable series any benefit or any right, remedy or claim under or by reason of this Fourth Supplemental Indenture or any covenant, condition, stipulation, promise or agreement hereof, and all covenants, conditions, stipulations, promises and agreements in this Fourth Supplemental Indenture contained shall be for the sole and exclusive benefit of the parties hereto and their successors and of the Holders of the Notes of the applicable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sz w:val="20"/>
          <w:u w:val="single"/>
        </w:rPr>
        <w:t>Counterpart Originals; Electronic Signatures.</w:t>
      </w:r>
      <w:r>
        <w:rPr>
          <w:rFonts w:ascii="Times New Roman" w:hAnsi="Times New Roman"/>
          <w:sz w:val="20"/>
        </w:rPr>
        <w:t xml:space="preserve"> This Fourth Supplemental Indenture may be executed in any number of counterparts, each of which so executed shall be deemed to be an original, but all such counterparts shall together constitute but one and the same instrument. The exchange of copies of this Fourth Supplemental Indenture and of signature pages by facsimile or electronic format (i.e., “pdf”, “tif” or “jpg”) transmission shall constitute effective execution and delivery of this Fourth Supplemental Indenture as to the parties hereto and may be used in lieu of the original Fourth Supplemental Indenture for all purposes. Signatures of the parties hereto transmitted by facsimile or electronic format (i.e., “pdf”, “tif” or “jpg”)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Anything in the Base Indenture, the Notes or this Fourth Supplemental Indenture to the contrary notwithstanding, the words “execution,” “signed,” “signature,” and words of like import in the Base Indenture or this Fourth Supplemental Indenture or in any other certificate, agreement or document related the Base Indenture or this Fourth Supplemental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Governing Law; Waiver of Jury Trial.</w:t>
      </w:r>
      <w:r>
        <w:rPr>
          <w:rFonts w:ascii="Times New Roman" w:hAnsi="Times New Roman"/>
          <w:sz w:val="20"/>
        </w:rPr>
        <w:t xml:space="preserve"> This Fourth Supplemental Indenture shall be deemed to be a contract made under the law of the State of New York, and for all purposes shall be governed by and construed in accordance with the law of said State.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AND EACH HOLDER OF A NOTE BY ACCEPTANCE THEREOF, HEREBY WAIVES, TO THE FULLEST EXTENT PERMITTED BY APPLICABLE LAW, ANY RIGHT IT MAY HAVE TO A TRIAL BY JURY IN RESPECT OF ANY LITIGATION DIRECTLY OR INDIRECTLY ARISING OUT OF, UNDER OR IN CONNECTION WITH THIS FOURTH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Force Majeure.</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prevent and prepare for such disruption and to resume performance as soon as practicable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U.S.A. Patriot Act.</w:t>
      </w:r>
      <w:r>
        <w:rPr>
          <w:rFonts w:ascii="Times New Roman" w:hAnsi="Times New Roman"/>
          <w:sz w:val="20"/>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Fourth Supplemental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Trustee.</w:t>
      </w:r>
      <w:r>
        <w:rPr>
          <w:rFonts w:ascii="Times New Roman" w:hAnsi="Times New Roman"/>
          <w:sz w:val="20"/>
        </w:rPr>
        <w:t xml:space="preserve"> The Trustee shall not be responsible in any manner whatsoever for or in respect of the validity or sufficiency of this Fourth Supplemental Indenture or for or in respect of the recitals contained herein, all of which recitals are made solely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Trust Indenture Act Controls.</w:t>
      </w:r>
      <w:r>
        <w:rPr>
          <w:rFonts w:ascii="Times New Roman" w:hAnsi="Times New Roman"/>
          <w:sz w:val="20"/>
        </w:rPr>
        <w:t xml:space="preserve"> If and to the extent that any provision of this Fourth Supplemental Indenture limits, qualifies or conflicts with the duties imposed by, or another provision included in the Indenture which is required to be included in the Indenture by any of the provisions of Sections 310 to 318, inclusive, of the Trust Indenture Act, such imposed duties or incorporated provision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Fourth Supplemental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61"/>
        <w:gridCol w:w="64"/>
        <w:gridCol w:w="3557"/>
      </w:tblGrid>
      <w:tr>
        <w:trPr/>
        <w:tc>
          <w:tcPr>
            <w:tcW w:w="461"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5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EIDP, INC.</w:t>
            </w:r>
          </w:p>
        </w:tc>
      </w:tr>
      <w:tr>
        <w:trPr>
          <w:trHeight w:val="240" w:hRule="atLeast"/>
        </w:trPr>
        <w:tc>
          <w:tcPr>
            <w:tcW w:w="461" w:type="dxa"/>
            <w:tcBorders/>
            <w:vAlign w:val="center"/>
          </w:tcPr>
          <w:p>
            <w:pPr>
              <w:pStyle w:val="TableContents"/>
              <w:bidi w:val="0"/>
              <w:spacing w:before="0" w:after="283"/>
              <w:jc w:val="left"/>
              <w:rPr>
                <w:sz w:val="4"/>
                <w:szCs w:val="4"/>
              </w:rPr>
            </w:pPr>
            <w:r>
              <w:rPr>
                <w:sz w:val="4"/>
                <w:szCs w:val="4"/>
              </w:rPr>
            </w:r>
          </w:p>
        </w:tc>
        <w:tc>
          <w:tcPr>
            <w:tcW w:w="3621" w:type="dxa"/>
            <w:gridSpan w:val="2"/>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pPr>
            <w:r>
              <w:rPr/>
              <w:t>By:</w:t>
            </w:r>
          </w:p>
        </w:tc>
        <w:tc>
          <w:tcPr>
            <w:tcW w:w="64" w:type="dxa"/>
            <w:tcBorders/>
            <w:vAlign w:val="bottom"/>
          </w:tcPr>
          <w:p>
            <w:pPr>
              <w:pStyle w:val="TableContents"/>
              <w:bidi w:val="0"/>
              <w:spacing w:before="0" w:after="283"/>
              <w:jc w:val="left"/>
              <w:rPr/>
            </w:pPr>
            <w:r>
              <w:rPr/>
              <w:t> </w:t>
            </w:r>
          </w:p>
        </w:tc>
        <w:tc>
          <w:tcPr>
            <w:tcW w:w="35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Laurie Conslato</w:t>
            </w:r>
          </w:p>
        </w:tc>
      </w:tr>
      <w:tr>
        <w:trPr/>
        <w:tc>
          <w:tcPr>
            <w:tcW w:w="461"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57" w:type="dxa"/>
            <w:tcBorders/>
          </w:tcPr>
          <w:p>
            <w:pPr>
              <w:pStyle w:val="TableContents"/>
              <w:bidi w:val="0"/>
              <w:spacing w:before="0" w:after="283"/>
              <w:jc w:val="left"/>
              <w:rPr/>
            </w:pPr>
            <w:r>
              <w:rPr/>
              <w:t>Name: Laurie Conslato</w:t>
            </w:r>
          </w:p>
        </w:tc>
      </w:tr>
      <w:tr>
        <w:trPr/>
        <w:tc>
          <w:tcPr>
            <w:tcW w:w="461"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57" w:type="dxa"/>
            <w:tcBorders/>
          </w:tcPr>
          <w:p>
            <w:pPr>
              <w:pStyle w:val="TableContents"/>
              <w:bidi w:val="0"/>
              <w:spacing w:before="0" w:after="283"/>
              <w:jc w:val="left"/>
              <w:rPr/>
            </w:pPr>
            <w:r>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w:t>
            </w:r>
          </w:p>
        </w:tc>
      </w:tr>
      <w:tr>
        <w:trPr/>
        <w:tc>
          <w:tcPr>
            <w:tcW w:w="4082" w:type="dxa"/>
            <w:gridSpan w:val="3"/>
            <w:tcBorders/>
          </w:tcPr>
          <w:p>
            <w:pPr>
              <w:pStyle w:val="TableContents"/>
              <w:bidi w:val="0"/>
              <w:spacing w:before="0" w:after="283"/>
              <w:jc w:val="left"/>
              <w:rPr/>
            </w:pPr>
            <w:r>
              <w:rPr/>
              <w:t>ASSOCIATION (as successor in interest to U.S. Bank National Association), as Trustee</w:t>
            </w:r>
          </w:p>
        </w:tc>
      </w:tr>
      <w:tr>
        <w:trPr>
          <w:trHeight w:val="240" w:hRule="atLeast"/>
        </w:trPr>
        <w:tc>
          <w:tcPr>
            <w:tcW w:w="461" w:type="dxa"/>
            <w:tcBorders/>
            <w:vAlign w:val="center"/>
          </w:tcPr>
          <w:p>
            <w:pPr>
              <w:pStyle w:val="TableContents"/>
              <w:bidi w:val="0"/>
              <w:spacing w:before="0" w:after="283"/>
              <w:jc w:val="left"/>
              <w:rPr>
                <w:sz w:val="4"/>
                <w:szCs w:val="4"/>
              </w:rPr>
            </w:pPr>
            <w:r>
              <w:rPr>
                <w:sz w:val="4"/>
                <w:szCs w:val="4"/>
              </w:rPr>
            </w:r>
          </w:p>
        </w:tc>
        <w:tc>
          <w:tcPr>
            <w:tcW w:w="3621" w:type="dxa"/>
            <w:gridSpan w:val="2"/>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pPr>
            <w:r>
              <w:rPr/>
              <w:t>By:</w:t>
            </w:r>
          </w:p>
        </w:tc>
        <w:tc>
          <w:tcPr>
            <w:tcW w:w="64" w:type="dxa"/>
            <w:tcBorders/>
            <w:vAlign w:val="bottom"/>
          </w:tcPr>
          <w:p>
            <w:pPr>
              <w:pStyle w:val="TableContents"/>
              <w:bidi w:val="0"/>
              <w:spacing w:before="0" w:after="283"/>
              <w:jc w:val="left"/>
              <w:rPr/>
            </w:pPr>
            <w:r>
              <w:rPr/>
              <w:t> </w:t>
            </w:r>
          </w:p>
        </w:tc>
        <w:tc>
          <w:tcPr>
            <w:tcW w:w="35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DiGiacomo</w:t>
            </w:r>
          </w:p>
        </w:tc>
      </w:tr>
      <w:tr>
        <w:trPr/>
        <w:tc>
          <w:tcPr>
            <w:tcW w:w="461"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57" w:type="dxa"/>
            <w:tcBorders/>
          </w:tcPr>
          <w:p>
            <w:pPr>
              <w:pStyle w:val="TableContents"/>
              <w:bidi w:val="0"/>
              <w:spacing w:before="0" w:after="283"/>
              <w:jc w:val="left"/>
              <w:rPr/>
            </w:pPr>
            <w:r>
              <w:rPr/>
              <w:t>Name: Mark DiGiacomo</w:t>
            </w:r>
          </w:p>
        </w:tc>
      </w:tr>
      <w:tr>
        <w:trPr/>
        <w:tc>
          <w:tcPr>
            <w:tcW w:w="461"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57"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Fourth Supplemental Indenture</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4685</Words>
  <Characters>26024</Characters>
  <CharactersWithSpaces>30777</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