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cover_page"/>
      <w:bookmarkStart w:id="1" w:name="ck0001755672-20260831.htm"/>
      <w:bookmarkStart w:id="2" w:name="ksck000175567220260831"/>
      <w:bookmarkEnd w:id="0"/>
      <w:bookmarkEnd w:id="1"/>
      <w:bookmarkEnd w:id="2"/>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spacing w:before="22" w:after="283"/>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6" w:space="1" w:color="000000"/>
        </w:pBdr>
        <w:bidi w:val="0"/>
        <w:spacing w:before="120" w:after="283"/>
        <w:jc w:val="center"/>
        <w:rPr/>
      </w:pPr>
      <w:r>
        <w:rPr/>
        <w:t> </w:t>
      </w:r>
    </w:p>
    <w:p>
      <w:pPr>
        <w:pStyle w:val="Heading2"/>
        <w:bidi w:val="0"/>
        <w:spacing w:before="120" w:after="283"/>
        <w:jc w:val="center"/>
        <w:rPr>
          <w:rFonts w:ascii="Times New Roman" w:hAnsi="Times New Roman"/>
          <w:sz w:val="30"/>
        </w:rPr>
      </w:pPr>
      <w:r>
        <w:rPr>
          <w:rFonts w:ascii="Times New Roman" w:hAnsi="Times New Roman"/>
          <w:color w:val="000000"/>
          <w:sz w:val="30"/>
        </w:rPr>
        <w:t xml:space="preserve">FORM </w:t>
      </w:r>
      <w:r>
        <w:rPr>
          <w:rFonts w:ascii="Times New Roman" w:hAnsi="Times New Roman"/>
          <w:b/>
          <w:color w:val="000000"/>
          <w:sz w:val="30"/>
        </w:rPr>
        <w:t>8-K</w:t>
      </w:r>
    </w:p>
    <w:p>
      <w:pPr>
        <w:pStyle w:val="TextBody"/>
        <w:pBdr>
          <w:bottom w:val="single" w:sz="6" w:space="1" w:color="000000"/>
        </w:pBdr>
        <w:bidi w:val="0"/>
        <w:jc w:val="center"/>
        <w:rPr/>
      </w:pPr>
      <w:bookmarkStart w:id="3" w:name="current_report"/>
      <w:bookmarkEnd w:id="3"/>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CURRENT REPORT</w:t>
      </w:r>
    </w:p>
    <w:p>
      <w:pPr>
        <w:pStyle w:val="TextBody"/>
        <w:bidi w:val="0"/>
        <w:spacing w:before="23" w:after="283"/>
        <w:jc w:val="center"/>
        <w:rPr>
          <w:rFonts w:ascii="Times New Roman" w:hAnsi="Times New Roman"/>
          <w:b/>
          <w:color w:val="000000"/>
          <w:sz w:val="18"/>
        </w:rPr>
      </w:pPr>
      <w:bookmarkStart w:id="4" w:name="pursuant_to_section_13_or_15_d__of_the_s"/>
      <w:bookmarkEnd w:id="4"/>
      <w:r>
        <w:rPr>
          <w:rFonts w:ascii="Times New Roman" w:hAnsi="Times New Roman"/>
          <w:b/>
          <w:color w:val="000000"/>
          <w:sz w:val="18"/>
        </w:rPr>
        <w:t>Pursuant to Section 13 or 15(d) of the Securities Exchange Act of 1934</w:t>
      </w:r>
    </w:p>
    <w:p>
      <w:pPr>
        <w:pStyle w:val="TextBody"/>
        <w:bidi w:val="0"/>
        <w:spacing w:before="224" w:after="283"/>
        <w:jc w:val="center"/>
        <w:rPr>
          <w:rFonts w:ascii="Times New Roman" w:hAnsi="Times New Roman"/>
          <w:b/>
          <w:color w:val="000000"/>
          <w:sz w:val="18"/>
        </w:rPr>
      </w:pPr>
      <w:bookmarkStart w:id="5" w:name="date_of_report__date_of_earliest_event_r"/>
      <w:bookmarkEnd w:id="5"/>
      <w:r>
        <w:rPr>
          <w:rFonts w:ascii="Times New Roman" w:hAnsi="Times New Roman"/>
          <w:b/>
          <w:color w:val="000000"/>
          <w:sz w:val="18"/>
        </w:rPr>
        <w:t>Date of Report (Date of earliest event reported): August 31, 2026</w:t>
      </w:r>
    </w:p>
    <w:p>
      <w:pPr>
        <w:pStyle w:val="TextBody"/>
        <w:pBdr>
          <w:bottom w:val="single" w:sz="6" w:space="1" w:color="000000"/>
        </w:pBdr>
        <w:bidi w:val="0"/>
        <w:spacing w:before="120" w:after="283"/>
        <w:jc w:val="center"/>
        <w:rPr/>
      </w:pPr>
      <w:r>
        <w:rPr/>
        <w:t> </w:t>
      </w:r>
    </w:p>
    <w:p>
      <w:pPr>
        <w:pStyle w:val="Heading1"/>
        <w:bidi w:val="0"/>
        <w:jc w:val="center"/>
        <w:rPr>
          <w:rFonts w:ascii="Times New Roman" w:hAnsi="Times New Roman"/>
          <w:b/>
          <w:color w:val="000000"/>
          <w:sz w:val="40"/>
        </w:rPr>
      </w:pPr>
      <w:r>
        <w:rPr>
          <w:rFonts w:ascii="Times New Roman" w:hAnsi="Times New Roman"/>
          <w:b/>
          <w:color w:val="000000"/>
          <w:sz w:val="40"/>
        </w:rPr>
        <w:t>Corteva, Inc.</w:t>
      </w:r>
    </w:p>
    <w:p>
      <w:pPr>
        <w:pStyle w:val="Heading1"/>
        <w:bidi w:val="0"/>
        <w:spacing w:before="120" w:after="283"/>
        <w:jc w:val="center"/>
        <w:rPr>
          <w:rFonts w:ascii="Times New Roman" w:hAnsi="Times New Roman"/>
          <w:b/>
          <w:color w:val="000000"/>
          <w:sz w:val="40"/>
        </w:rPr>
      </w:pPr>
      <w:r>
        <w:rPr>
          <w:rFonts w:ascii="Times New Roman" w:hAnsi="Times New Roman"/>
          <w:b/>
          <w:color w:val="000000"/>
          <w:sz w:val="40"/>
        </w:rPr>
        <w:t>EIDP, Inc.</w:t>
      </w:r>
    </w:p>
    <w:p>
      <w:pPr>
        <w:pStyle w:val="TextBody"/>
        <w:bidi w:val="0"/>
        <w:spacing w:before="17" w:after="283"/>
        <w:jc w:val="center"/>
        <w:rPr>
          <w:rFonts w:ascii="Times New Roman" w:hAnsi="Times New Roman"/>
          <w:b/>
          <w:color w:val="000000"/>
          <w:sz w:val="18"/>
        </w:rPr>
      </w:pPr>
      <w:r>
        <w:rPr>
          <w:rFonts w:ascii="Times New Roman" w:hAnsi="Times New Roman"/>
          <w:b/>
          <w:color w:val="000000"/>
          <w:sz w:val="18"/>
        </w:rPr>
        <w:t>(Exact Name of Registrant as Specified in Charter)</w:t>
      </w:r>
    </w:p>
    <w:p>
      <w:pPr>
        <w:pStyle w:val="TextBody"/>
        <w:pBdr>
          <w:top w:val="single" w:sz="6" w:space="1" w:color="000000"/>
        </w:pBdr>
        <w:bidi w:val="0"/>
        <w:spacing w:before="120" w:after="283"/>
        <w:jc w:val="center"/>
        <w:rPr/>
      </w:pPr>
      <w:r>
        <w:rPr/>
        <w:t> </w:t>
      </w:r>
    </w:p>
    <w:tbl>
      <w:tblPr>
        <w:tblW w:w="7953" w:type="dxa"/>
        <w:jc w:val="left"/>
        <w:tblInd w:w="0" w:type="dxa"/>
        <w:tblLayout w:type="fixed"/>
        <w:tblCellMar>
          <w:top w:w="28" w:type="dxa"/>
          <w:left w:w="28" w:type="dxa"/>
          <w:bottom w:w="28" w:type="dxa"/>
          <w:right w:w="28" w:type="dxa"/>
        </w:tblCellMar>
      </w:tblPr>
      <w:tblGrid>
        <w:gridCol w:w="3301"/>
        <w:gridCol w:w="2071"/>
        <w:gridCol w:w="2581"/>
      </w:tblGrid>
      <w:tr>
        <w:trPr/>
        <w:tc>
          <w:tcPr>
            <w:tcW w:w="330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001-38710</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82-4979096</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001-00815</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51-0014090</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(Commission File Number)</w:t>
            </w:r>
          </w:p>
        </w:tc>
        <w:tc>
          <w:tcPr>
            <w:tcW w:w="25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(IRS Employer Identification No.)</w:t>
            </w:r>
          </w:p>
          <w:p>
            <w:pPr>
              <w:pStyle w:val="TableContents"/>
              <w:bidi w:val="0"/>
              <w:spacing w:before="0" w:after="283"/>
              <w:jc w:val="center"/>
              <w:rPr/>
            </w:pPr>
            <w:r>
              <w:rPr/>
              <w:t> </w:t>
            </w:r>
          </w:p>
        </w:tc>
      </w:tr>
    </w:tbl>
    <w:p>
      <w:pPr>
        <w:pStyle w:val="TextBody"/>
        <w:bidi w:val="0"/>
        <w:spacing w:before="36" w:after="283"/>
        <w:jc w:val="left"/>
        <w:rPr/>
      </w:pPr>
      <w:r>
        <w:rPr/>
        <w:t> </w:t>
      </w:r>
    </w:p>
    <w:tbl>
      <w:tblPr>
        <w:tblW w:w="4427" w:type="dxa"/>
        <w:jc w:val="left"/>
        <w:tblInd w:w="0" w:type="dxa"/>
        <w:tblLayout w:type="fixed"/>
        <w:tblCellMar>
          <w:top w:w="28" w:type="dxa"/>
          <w:left w:w="28" w:type="dxa"/>
          <w:bottom w:w="28" w:type="dxa"/>
          <w:right w:w="28" w:type="dxa"/>
        </w:tblCellMar>
      </w:tblPr>
      <w:tblGrid>
        <w:gridCol w:w="3496"/>
        <w:gridCol w:w="931"/>
      </w:tblGrid>
      <w:tr>
        <w:trPr/>
        <w:tc>
          <w:tcPr>
            <w:tcW w:w="349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9330 Zionsville Road, Indianapolis, Indiana</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46268</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974 Centre Road, Wilmington, Delaware</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19805 </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spacing w:before="36" w:after="283"/>
        <w:jc w:val="left"/>
        <w:rPr/>
      </w:pPr>
      <w:r>
        <w:rPr/>
        <w:t> </w:t>
      </w:r>
    </w:p>
    <w:p>
      <w:pPr>
        <w:pStyle w:val="TextBody"/>
        <w:bidi w:val="0"/>
        <w:jc w:val="center"/>
        <w:rPr>
          <w:rFonts w:ascii="Times New Roman" w:hAnsi="Times New Roman"/>
          <w:sz w:val="18"/>
        </w:rPr>
      </w:pPr>
      <w:r>
        <w:rPr>
          <w:rFonts w:ascii="Times New Roman" w:hAnsi="Times New Roman"/>
          <w:color w:val="000000"/>
          <w:sz w:val="18"/>
        </w:rPr>
        <w:t xml:space="preserve">Registrant’s Telephone Number, including area code: </w:t>
      </w:r>
      <w:r>
        <w:rPr>
          <w:rFonts w:ascii="Times New Roman" w:hAnsi="Times New Roman"/>
          <w:b/>
          <w:color w:val="000000"/>
          <w:sz w:val="18"/>
        </w:rPr>
        <w:t>(833) 267-8382</w:t>
      </w:r>
    </w:p>
    <w:p>
      <w:pPr>
        <w:pStyle w:val="TextBody"/>
        <w:bidi w:val="0"/>
        <w:spacing w:before="10" w:after="283"/>
        <w:jc w:val="left"/>
        <w:rPr/>
      </w:pPr>
      <w:r>
        <w:rPr/>
        <w:t> </w:t>
      </w:r>
    </w:p>
    <w:p>
      <w:pPr>
        <w:pStyle w:val="TextBody"/>
        <w:bidi w:val="0"/>
        <w:spacing w:before="27"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pBdr>
          <w:bottom w:val="single" w:sz="6" w:space="1" w:color="000000"/>
        </w:pBdr>
        <w:bidi w:val="0"/>
        <w:spacing w:before="36" w:after="283"/>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spacing w:before="17" w:after="283"/>
        <w:jc w:val="left"/>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18"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18"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bl>
    <w:p>
      <w:pPr>
        <w:pStyle w:val="TextBody"/>
        <w:bidi w:val="0"/>
        <w:spacing w:before="17"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1142"/>
        <w:gridCol w:w="2506"/>
        <w:gridCol w:w="1667"/>
        <w:gridCol w:w="3587"/>
      </w:tblGrid>
      <w:tr>
        <w:trPr/>
        <w:tc>
          <w:tcPr>
            <w:tcW w:w="114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3587" w:type="dxa"/>
            <w:tcBorders/>
            <w:vAlign w:val="center"/>
          </w:tcPr>
          <w:p>
            <w:pPr>
              <w:pStyle w:val="TableContents"/>
              <w:bidi w:val="0"/>
              <w:spacing w:before="0" w:after="283"/>
              <w:ind w:left="0" w:right="0" w:firstLine="106"/>
              <w:jc w:val="left"/>
              <w:rPr>
                <w:sz w:val="4"/>
                <w:szCs w:val="4"/>
              </w:rPr>
            </w:pPr>
            <w:r>
              <w:rPr>
                <w:sz w:val="4"/>
                <w:szCs w:val="4"/>
              </w:rPr>
            </w:r>
          </w:p>
        </w:tc>
      </w:tr>
      <w:tr>
        <w:trPr/>
        <w:tc>
          <w:tcPr>
            <w:tcW w:w="114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106"/>
              <w:jc w:val="center"/>
              <w:rPr>
                <w:rFonts w:ascii="Times New Roman" w:hAnsi="Times New Roman"/>
                <w:b/>
                <w:color w:val="000000"/>
                <w:sz w:val="18"/>
              </w:rPr>
            </w:pPr>
            <w:r>
              <w:rPr>
                <w:rFonts w:ascii="Times New Roman" w:hAnsi="Times New Roman"/>
                <w:b/>
                <w:color w:val="000000"/>
                <w:sz w:val="18"/>
              </w:rPr>
              <w:t>Registrant</w:t>
            </w:r>
          </w:p>
        </w:tc>
        <w:tc>
          <w:tcPr>
            <w:tcW w:w="250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105"/>
              <w:jc w:val="center"/>
              <w:rPr>
                <w:rFonts w:ascii="Times New Roman" w:hAnsi="Times New Roman"/>
                <w:b/>
                <w:color w:val="000000"/>
                <w:sz w:val="18"/>
              </w:rPr>
            </w:pPr>
            <w:r>
              <w:rPr>
                <w:rFonts w:ascii="Times New Roman" w:hAnsi="Times New Roman"/>
                <w:b/>
                <w:color w:val="000000"/>
                <w:sz w:val="18"/>
              </w:rPr>
              <w:t>Title of each class</w:t>
            </w:r>
          </w:p>
        </w:tc>
        <w:tc>
          <w:tcPr>
            <w:tcW w:w="1667"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106"/>
              <w:jc w:val="center"/>
              <w:rPr>
                <w:rFonts w:ascii="Times New Roman" w:hAnsi="Times New Roman"/>
                <w:b/>
                <w:color w:val="000000"/>
                <w:sz w:val="18"/>
              </w:rPr>
            </w:pPr>
            <w:r>
              <w:rPr>
                <w:rFonts w:ascii="Times New Roman" w:hAnsi="Times New Roman"/>
                <w:b/>
                <w:color w:val="000000"/>
                <w:sz w:val="18"/>
              </w:rPr>
              <w:t>Trading Symbol(s)</w:t>
            </w:r>
          </w:p>
        </w:tc>
        <w:tc>
          <w:tcPr>
            <w:tcW w:w="3587"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106"/>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14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Corteva, Inc.</w:t>
            </w:r>
          </w:p>
        </w:tc>
        <w:tc>
          <w:tcPr>
            <w:tcW w:w="25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5"/>
              <w:jc w:val="center"/>
              <w:rPr>
                <w:rFonts w:ascii="Times New Roman" w:hAnsi="Times New Roman"/>
                <w:color w:val="000000"/>
                <w:sz w:val="18"/>
              </w:rPr>
            </w:pPr>
            <w:r>
              <w:rPr>
                <w:rFonts w:ascii="Times New Roman" w:hAnsi="Times New Roman"/>
                <w:color w:val="000000"/>
                <w:sz w:val="18"/>
              </w:rPr>
              <w:t>Common Stock, $0.01 par value</w:t>
            </w:r>
          </w:p>
        </w:tc>
        <w:tc>
          <w:tcPr>
            <w:tcW w:w="166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CTVA</w:t>
            </w:r>
          </w:p>
        </w:tc>
        <w:tc>
          <w:tcPr>
            <w:tcW w:w="35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New York Stock Exchange</w:t>
            </w:r>
          </w:p>
        </w:tc>
      </w:tr>
      <w:tr>
        <w:trPr/>
        <w:tc>
          <w:tcPr>
            <w:tcW w:w="114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EIDP, Inc.</w:t>
            </w:r>
          </w:p>
        </w:tc>
        <w:tc>
          <w:tcPr>
            <w:tcW w:w="25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5"/>
              <w:jc w:val="center"/>
              <w:rPr>
                <w:rFonts w:ascii="Times New Roman" w:hAnsi="Times New Roman"/>
                <w:color w:val="000000"/>
                <w:sz w:val="18"/>
              </w:rPr>
            </w:pPr>
            <w:r>
              <w:rPr>
                <w:rFonts w:ascii="Times New Roman" w:hAnsi="Times New Roman"/>
                <w:color w:val="000000"/>
                <w:sz w:val="18"/>
              </w:rPr>
              <w:t>$3.50 Series Preferred Stock</w:t>
            </w:r>
          </w:p>
        </w:tc>
        <w:tc>
          <w:tcPr>
            <w:tcW w:w="166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CTAPrA</w:t>
            </w:r>
          </w:p>
        </w:tc>
        <w:tc>
          <w:tcPr>
            <w:tcW w:w="35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New York Stock Exchange</w:t>
            </w:r>
          </w:p>
        </w:tc>
      </w:tr>
      <w:tr>
        <w:trPr/>
        <w:tc>
          <w:tcPr>
            <w:tcW w:w="114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EIDP, Inc.</w:t>
            </w:r>
          </w:p>
        </w:tc>
        <w:tc>
          <w:tcPr>
            <w:tcW w:w="25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5"/>
              <w:jc w:val="center"/>
              <w:rPr>
                <w:rFonts w:ascii="Times New Roman" w:hAnsi="Times New Roman"/>
                <w:color w:val="000000"/>
                <w:sz w:val="18"/>
              </w:rPr>
            </w:pPr>
            <w:r>
              <w:rPr>
                <w:rFonts w:ascii="Times New Roman" w:hAnsi="Times New Roman"/>
                <w:color w:val="000000"/>
                <w:sz w:val="18"/>
              </w:rPr>
              <w:t>$4.50 Series Preferred Stock</w:t>
            </w:r>
          </w:p>
        </w:tc>
        <w:tc>
          <w:tcPr>
            <w:tcW w:w="166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CTAPrB</w:t>
            </w:r>
          </w:p>
        </w:tc>
        <w:tc>
          <w:tcPr>
            <w:tcW w:w="35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spacing w:before="15"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7" w:after="283"/>
        <w:jc w:val="left"/>
        <w:rPr/>
      </w:pPr>
      <w:r>
        <w:rPr/>
        <w:t> </w:t>
      </w:r>
    </w:p>
    <w:p>
      <w:pPr>
        <w:pStyle w:val="TextBody"/>
        <w:bidi w:val="0"/>
        <w:spacing w:before="1" w:after="283"/>
        <w:jc w:val="left"/>
        <w:rPr>
          <w:rFonts w:ascii="Times New Roman" w:hAnsi="Times New Roman"/>
          <w:color w:val="000000"/>
          <w:sz w:val="18"/>
        </w:rPr>
      </w:pPr>
      <w:r>
        <w:rPr>
          <w:rFonts w:ascii="Times New Roman" w:hAnsi="Times New Roman"/>
          <w:color w:val="000000"/>
          <w:sz w:val="18"/>
        </w:rPr>
        <w:t>Emerging growth company ☐</w:t>
      </w:r>
    </w:p>
    <w:p>
      <w:pPr>
        <w:pStyle w:val="TextBody"/>
        <w:bidi w:val="0"/>
        <w:spacing w:before="42"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2"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bookmarkStart w:id="6" w:name="item_8_01_other_events_"/>
      <w:bookmarkEnd w:id="6"/>
      <w:r>
        <w:rPr>
          <w:rFonts w:ascii="Times New Roman" w:hAnsi="Times New Roman"/>
          <w:b/>
          <w:color w:val="000000"/>
          <w:sz w:val="18"/>
        </w:rPr>
        <w:t>Item 8.01 Other Events.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Vylor Inc. Notes Offering</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As previously disclosed, on October 1, 2025, Corteva, Inc. (the “Company” or “Corteva”) announced that its Board of Directors is pursuing a plan to separate Corteva into two independent, publicly traded companies, one comprising its current crop protection business and the other comprising its current seed business to be owned and conducted, directly or indirectly, by Vylor Inc., a Delaware corporation and a wholly owned subsidiary of the Company (“Vylor”) (the “Separation”).</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In connection with the Separation, Vylor issued $1,100,000,000 aggregate principal amount of senior notes in a private offering, consisting of $550,000,000 aggregate principal amount of Senior Notes due 2031 (the “2031 notes”) and $550,000,000 aggregate principal amount of Senior Notes due 2036 (the “2036 notes” and, together with the 2031 notes, the “new notes” and such offering the “Notes Offering”).</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xml:space="preserve">The 2031 notes bear interest at a rate of 5.125% per year and mature on August 15, 2031. The 2036 notes bear interest at a rate of 5.625% per year and mature on August 15, 2036. Vylor will pay interest on the new notes on February 15 and August 15 of each year, with the first payment on February 15, 2027.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issuance of the new notes and the guarantees (as described herein) was not registered under the Securities Act of 1933, as amended (the “Securities Act”), or any state securities laws and the new notes and the guarantees were not offered or sold within the United States or to, or for the account or benefit of, U.S. persons (as defined in Regulation S under the Securities Act (“Regulation S”)), except in transactions exempt from, or not subject to, the registration requirements of the Securities Act. The new notes and the guarantees were offered and sold only to persons reasonably believed to be qualified institutional buyers in reliance on Rule 144A under the Securities Act and to certain non-U.S. persons in transactions outside the United States in reliance on Regulation 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Vylor intends to use the net proceeds from the Notes Offering to make a cash distribution to EIDP, Inc. (“EIDP”), the parent company of Vylor and a wholly owned subsidiary of Corteva, as partial consideration for the contribution of the seed business to Vylor in connection with the Separation, with any additional amounts not distributed to EIDP used to pay fees and expenses related to the previously disclosed private offers to exchange any and all of the outstanding 2.300% Senior Notes due 2030, 5.125% Senior Notes due 2032 and 4.800% Senior Notes due 2033, in each case issued by EIDP, to the extent held by certain eligible holders, in exchange for notes of the corresponding series to be issued by Vylor, and for general corporate purposes.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Indenture</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new notes were issued pursuant to an indenture and a first supplemental indenture, each dated August 31, 2026, between Vylor and U.S. Bank Trust Company, National Association, as trustee (the “Trustee”) (together, the “Indenture”). The Indenture provides for customary events of default, which, if any of them occurs, may cause the principal of and accrued interest on the new notes to become, or to be declared, due and payable. Events of default include, among others, nonpayment of principal or interest, breach of other covenants or agreements in the Indenture and certain events of bankruptcy or insolvency.</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xml:space="preserve">The Indenture also provides for customary redemption provisions as well as a special mandatory redemption provision (the “SMR”) that will require Vylor to redeem the new notes at a redemption price of 101% of the aggregate principal amount of the new notes, plus accrued and unpaid interest thereon, if the Separation is not completed. Vylor’s failure to redeem the new notes pursuant to the SMR, if applicable, will constitute an event of default under the Indenture. The SMR will no longer apply to the new notes upon completion of the Separation.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This summary does not purport to be complete and is qualified in its entirety by reference to the Indenture, filed as Exhibits 4.1 and 4.2 hereto and incorporated by reference herein.</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EIDP Guarantee</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xml:space="preserve">The new notes are the senior unsecured obligations of Vylor and are guaranteed on a senior unsecured basis by EIDP until the Separation is completed pursuant to a Guarantee Agreement, dated August 31, 2026, among EIDP, as guarantor of the notes, Vylor and the Trustee. Upon consummation of the Separation, EIDP will be automatically and unconditionally released from all obligations under the Guarantee Agreement without any action required on the part of the Trustee, any holder of the new notes, or the initial purchasers in the Notes Offering.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This summary does not purport to be complete and is qualified in its entirety by reference to the Guarantee Agreement, filed as Exhibit 4.3 hereto and incorporated by reference herein.</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Registration Rights Agreement</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 xml:space="preserve">Vylor has entered into a Registration Rights Agreement, dated August 31, 2026, among Vylor and Morgan Stanley &amp; Co. LLC, J.P. Morgan Securities LLC and BofA Securities, Inc., as representatives of the initial purchasers of the new notes, pursuant to which Vylor has agreed to file with the Securities and Exchange Commission a registration statement with respect to an exchange offer for the new notes or a shelf registration statement for the resale of the new notes within 366 days from the first day on which Vylor operates as an independent public company after consummation of the Separation.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This summary does not purport to be complete and is qualified in its entirety by reference to the Registration Rights Agreement, filed as Exhibit 99.1 hereto and incorporated by reference herein.</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Item 9.01 Financial Statements and Exhibits.</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(d)</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Exhibits</w:t>
      </w:r>
    </w:p>
    <w:p>
      <w:pPr>
        <w:pStyle w:val="TextBody"/>
        <w:bidi w:val="0"/>
        <w:spacing w:before="240" w:after="283"/>
        <w:jc w:val="both"/>
        <w:rPr>
          <w:rFonts w:ascii="Times New Roman" w:hAnsi="Times New Roman"/>
          <w:color w:val="000000"/>
          <w:sz w:val="18"/>
        </w:rPr>
      </w:pPr>
      <w:bookmarkStart w:id="7" w:name="exhibit_index"/>
      <w:bookmarkEnd w:id="7"/>
      <w:r>
        <w:rPr>
          <w:rFonts w:ascii="Times New Roman" w:hAnsi="Times New Roman"/>
          <w:color w:val="000000"/>
          <w:sz w:val="18"/>
        </w:rPr>
        <w:t>The following exhibits are filed as part of this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8"/>
        <w:gridCol w:w="146"/>
        <w:gridCol w:w="9301"/>
      </w:tblGrid>
      <w:tr>
        <w:trPr/>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1" w:type="dxa"/>
            <w:tcBorders/>
            <w:vAlign w:val="center"/>
          </w:tcPr>
          <w:p>
            <w:pPr>
              <w:pStyle w:val="TableContents"/>
              <w:bidi w:val="0"/>
              <w:spacing w:before="0" w:after="283"/>
              <w:jc w:val="left"/>
              <w:rPr>
                <w:sz w:val="4"/>
                <w:szCs w:val="4"/>
              </w:rPr>
            </w:pPr>
            <w:r>
              <w:rPr>
                <w:sz w:val="4"/>
                <w:szCs w:val="4"/>
              </w:rPr>
            </w:r>
          </w:p>
        </w:tc>
      </w:tr>
      <w:tr>
        <w:trPr/>
        <w:tc>
          <w:tcPr>
            <w:tcW w:w="75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hyperlink w:anchor="ck0001755672-ex4_1.htm">
              <w:r>
                <w:rPr>
                  <w:rStyle w:val="InternetLink"/>
                  <w:rFonts w:ascii="Times New Roman" w:hAnsi="Times New Roman"/>
                  <w:color w:val="0000FF"/>
                  <w:sz w:val="18"/>
                  <w:u w:val="single"/>
                </w:rPr>
                <w:t>Indenture, dated as of August 31, 2026, between Vylor Inc. and U.S. Bank Trust Company, National Association, as trustee.</w:t>
              </w:r>
            </w:hyperlink>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hyperlink w:anchor="ck0001755672-ex4_2.htm">
              <w:r>
                <w:rPr>
                  <w:rStyle w:val="InternetLink"/>
                  <w:rFonts w:ascii="Times New Roman" w:hAnsi="Times New Roman"/>
                  <w:color w:val="0000FF"/>
                  <w:sz w:val="18"/>
                  <w:u w:val="single"/>
                </w:rPr>
                <w:t>First Supplemental Indenture, dated as of August 31, 2026, between Vylor Inc. and U.S. Bank Trust Company, National Association, as trustee.</w:t>
              </w:r>
            </w:hyperlink>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hyperlink w:anchor="ck0001755672-ex4_3.htm">
              <w:r>
                <w:rPr>
                  <w:rStyle w:val="InternetLink"/>
                  <w:rFonts w:ascii="Times New Roman" w:hAnsi="Times New Roman"/>
                  <w:color w:val="0000FF"/>
                  <w:sz w:val="18"/>
                  <w:u w:val="single"/>
                </w:rPr>
                <w:t>Guarantee Agreement, dated as of August 31, 2026, among EIDP, Inc., as guarantor, Vylor Inc. and U.S. Bank Trust Company, National Association, as trustee.</w:t>
              </w:r>
            </w:hyperlink>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hyperlink w:anchor="ck0001755672-ex99_1.htm">
              <w:r>
                <w:rPr>
                  <w:rStyle w:val="InternetLink"/>
                  <w:rFonts w:ascii="Times New Roman" w:hAnsi="Times New Roman"/>
                  <w:color w:val="0000FF"/>
                  <w:sz w:val="18"/>
                  <w:u w:val="single"/>
                </w:rPr>
                <w:t>Registration Rights Agreement, dated as of August 31, 2026, among Vylor Inc. and Morgan Stanley &amp; Co. LLC, J.P. Morgan Securities LLC and BofA Securities, Inc.</w:t>
              </w:r>
            </w:hyperlink>
          </w:p>
        </w:tc>
      </w:tr>
      <w:tr>
        <w:trPr/>
        <w:tc>
          <w:tcPr>
            <w:tcW w:w="7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SIGNATURES</w:t>
      </w:r>
    </w:p>
    <w:p>
      <w:pPr>
        <w:pStyle w:val="TextBody"/>
        <w:bidi w:val="0"/>
        <w:jc w:val="left"/>
        <w:rPr>
          <w:rFonts w:ascii="Times New Roman" w:hAnsi="Times New Roman"/>
          <w:color w:val="000000"/>
          <w:sz w:val="18"/>
        </w:rPr>
      </w:pPr>
      <w:r>
        <w:rPr>
          <w:rFonts w:ascii="Times New Roman" w:hAnsi="Times New Roman"/>
          <w:color w:val="000000"/>
          <w:sz w:val="18"/>
        </w:rPr>
        <w:t>Pursuant to the requirements of the Securities Exchange Act of 1934, each registrant has duly caused this report to be signed on its behalf by the undersigned, hereunto duly authorized.</w:t>
      </w:r>
    </w:p>
    <w:p>
      <w:pPr>
        <w:pStyle w:val="TextBody"/>
        <w:bidi w:val="0"/>
        <w:jc w:val="left"/>
        <w:rPr/>
      </w:pPr>
      <w:r>
        <w:rPr/>
        <w:t> </w:t>
      </w:r>
    </w:p>
    <w:tbl>
      <w:tblPr>
        <w:tblW w:w="6104" w:type="dxa"/>
        <w:jc w:val="left"/>
        <w:tblInd w:w="0" w:type="dxa"/>
        <w:tblLayout w:type="fixed"/>
        <w:tblCellMar>
          <w:top w:w="28" w:type="dxa"/>
          <w:left w:w="28" w:type="dxa"/>
          <w:bottom w:w="28" w:type="dxa"/>
          <w:right w:w="28" w:type="dxa"/>
        </w:tblCellMar>
      </w:tblPr>
      <w:tblGrid>
        <w:gridCol w:w="1741"/>
        <w:gridCol w:w="146"/>
        <w:gridCol w:w="571"/>
        <w:gridCol w:w="36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CORTEVA,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David P. Johnson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P. Johnson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Vice President,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EIDP,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David P. Johnson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P. Johnson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Vice President,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8" w:name="ck0001755672-ex4_1.htm"/>
      <w:bookmarkStart w:id="9" w:name="ksck0001755672ex4_1"/>
      <w:bookmarkEnd w:id="8"/>
      <w:bookmarkEnd w:id="9"/>
      <w:r>
        <w:rPr>
          <w:rFonts w:ascii="Times New Roman" w:hAnsi="Times New Roman"/>
          <w:b/>
          <w:color w:val="000000"/>
          <w:sz w:val="24"/>
        </w:rPr>
        <w:t>Exhibit 4.1</w:t>
      </w:r>
      <w:r>
        <w:br w:type="page"/>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Vylor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INDENTURE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as of</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August 31,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DEBT SECURITIES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U.S. Bank Trust Company, National Association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Trustee</w:t>
      </w:r>
    </w:p>
    <w:p>
      <w:pPr>
        <w:pStyle w:val="TextBody"/>
        <w:bidi w:val="0"/>
        <w:spacing w:before="120" w:after="12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xml:space="preserve">Reconciliation and Tie Between </w:t>
        <w:br/>
        <w:t>Trust Indenture Act of 1939 and Indenture*</w:t>
      </w:r>
    </w:p>
    <w:tbl>
      <w:tblPr>
        <w:tblW w:w="6758" w:type="dxa"/>
        <w:jc w:val="left"/>
        <w:tblInd w:w="0" w:type="dxa"/>
        <w:tblLayout w:type="fixed"/>
        <w:tblCellMar>
          <w:top w:w="28" w:type="dxa"/>
          <w:left w:w="28" w:type="dxa"/>
          <w:bottom w:w="28" w:type="dxa"/>
          <w:right w:w="28" w:type="dxa"/>
        </w:tblCellMar>
      </w:tblPr>
      <w:tblGrid>
        <w:gridCol w:w="161"/>
        <w:gridCol w:w="511"/>
        <w:gridCol w:w="686"/>
        <w:gridCol w:w="1773"/>
        <w:gridCol w:w="146"/>
        <w:gridCol w:w="3481"/>
      </w:tblGrid>
      <w:tr>
        <w:trPr/>
        <w:tc>
          <w:tcPr>
            <w:tcW w:w="1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Trust Indenture Act Section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Indenture Section</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§310</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11.04(a),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11.01(g), 11.04(b), 11.05(1),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11.04(b),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§311</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11.01(g),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§312</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10.03, 17.02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11.10, 17.02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11.10, 17.02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§313</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10.01(a),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10.01(a),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10.01(b),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10.01(b),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§314</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10.02, 17.02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10.02, 17.02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10.02, 17.02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6.07, 17.02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17.01(a),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17.01(b),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Not applicable</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§315</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11.02(a),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11.03, 17.02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11.02(b),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11.02(b),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7.08, 17.02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§316</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7.07, 17.02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14.02(d),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§317</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7.04, 17.02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6.03, 17.02</w:t>
            </w:r>
          </w:p>
        </w:tc>
      </w:tr>
      <w:tr>
        <w:trPr/>
        <w:tc>
          <w:tcPr>
            <w:tcW w:w="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§318</w:t>
            </w:r>
          </w:p>
        </w:tc>
        <w:tc>
          <w:tcPr>
            <w:tcW w:w="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 xml:space="preserve">17.02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This reconciliation and tie shall not, for any purpose, be deemed to be a part of the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jc w:val="center"/>
        <w:rPr>
          <w:rFonts w:ascii="Times New Roman" w:hAnsi="Times New Roman"/>
          <w:sz w:val="24"/>
        </w:rPr>
      </w:pPr>
      <w:r>
        <w:rPr>
          <w:rFonts w:ascii="Times New Roman" w:hAnsi="Times New Roman"/>
          <w:b/>
          <w:color w:val="000000"/>
          <w:sz w:val="24"/>
        </w:rPr>
        <w:t>TABLE OF CONTENTS</w:t>
      </w:r>
      <w:r>
        <w:rPr>
          <w:rFonts w:ascii="Times New Roman" w:hAnsi="Times New Roman"/>
          <w:b/>
          <w:color w:val="000000"/>
          <w:sz w:val="16"/>
        </w:rPr>
        <w:t>1</w:t>
      </w:r>
    </w:p>
    <w:p>
      <w:pPr>
        <w:pStyle w:val="TextBody"/>
        <w:bidi w:val="0"/>
        <w:jc w:val="right"/>
        <w:rPr/>
      </w:pPr>
      <w:r>
        <w:rPr/>
        <w:t> </w:t>
      </w:r>
    </w:p>
    <w:tbl>
      <w:tblPr>
        <w:tblW w:w="9318" w:type="dxa"/>
        <w:jc w:val="left"/>
        <w:tblInd w:w="0" w:type="dxa"/>
        <w:tblLayout w:type="fixed"/>
        <w:tblCellMar>
          <w:top w:w="28" w:type="dxa"/>
          <w:left w:w="28" w:type="dxa"/>
          <w:bottom w:w="28" w:type="dxa"/>
          <w:right w:w="28" w:type="dxa"/>
        </w:tblCellMar>
      </w:tblPr>
      <w:tblGrid>
        <w:gridCol w:w="1696"/>
        <w:gridCol w:w="72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318" w:type="dxa"/>
            <w:gridSpan w:val="3"/>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4"/>
              </w:rPr>
            </w:pPr>
            <w:r>
              <w:rPr>
                <w:rFonts w:ascii="Times New Roman" w:hAnsi="Times New Roman"/>
                <w:color w:val="000000"/>
                <w:sz w:val="24"/>
              </w:rPr>
              <w:t>PAGE</w:t>
            </w:r>
          </w:p>
        </w:tc>
      </w:tr>
      <w:tr>
        <w:trPr/>
        <w:tc>
          <w:tcPr>
            <w:tcW w:w="9318" w:type="dxa"/>
            <w:gridSpan w:val="3"/>
            <w:tcBorders/>
            <w:shd w:fill="FFFFFF" w:val="clear"/>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ARTICLE I</w:t>
              <w:br/>
              <w:t>DEFINITIONS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1.01.</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9318"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II</w:t>
              <w:br/>
              <w:t>FORMS OF SECURITIES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2.01.</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Terms of the Securities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2.02.</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Trustee’s Certificate of Authentication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2.03.</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Trustee’s Certificate of Authentication by an Authenticating Agent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9318"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III</w:t>
              <w:br/>
              <w:t>THE DEBT SECURITIES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3.01.</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Amount Unlimited; Issuable in Series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3.02.</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Denominations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3.03.</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Execution, Authentication, Delivery and Dating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18</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3.04.</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Temporary Securities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3.05.</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3.06.</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Transfer and Exchange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3.07.</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Mutilated, Destroyed, Lost and Stolen Securities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3.08.</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Interest; Interest Rights Preserved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3.09.</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Cancellation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3.10.</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Computation of Interest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3.11.</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Currency of Payments in Respect of Securities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3.12.</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Judgments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3.13.</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CUSIP Numbers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9318"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IV</w:t>
              <w:br/>
              <w:t>REDEMPTION OF SECURITIES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4.01.</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Applicability of Right of Redemption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4.02.</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Selection of Securities to be Redeemed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4.03.</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Redemption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4.04.</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Deposit of Redemption Price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4.05.</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Securities Payable on Redemption 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4.06.</w:t>
            </w:r>
          </w:p>
        </w:tc>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Securities Redeemed in Part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r>
    </w:tbl>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13"/>
        </w:rPr>
      </w:pPr>
      <w:r>
        <w:rPr>
          <w:rFonts w:ascii="Times New Roman" w:hAnsi="Times New Roman"/>
          <w:color w:val="000000"/>
          <w:sz w:val="13"/>
        </w:rPr>
        <w:t xml:space="preserve">* </w:t>
      </w:r>
      <w:r>
        <w:rPr>
          <w:rFonts w:ascii="Times New Roman" w:hAnsi="Times New Roman"/>
          <w:color w:val="000000"/>
          <w:sz w:val="20"/>
        </w:rPr>
        <w:t>The Table of Contents is not a part of the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63" w:type="dxa"/>
        <w:jc w:val="left"/>
        <w:tblInd w:w="0" w:type="dxa"/>
        <w:tblLayout w:type="fixed"/>
        <w:tblCellMar>
          <w:top w:w="28" w:type="dxa"/>
          <w:left w:w="28" w:type="dxa"/>
          <w:bottom w:w="28" w:type="dxa"/>
          <w:right w:w="28" w:type="dxa"/>
        </w:tblCellMar>
      </w:tblPr>
      <w:tblGrid>
        <w:gridCol w:w="1696"/>
        <w:gridCol w:w="5476"/>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54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V</w:t>
              <w:br/>
              <w:t>SINKING FUNDS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5.01.</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Applicability of Sinking Fund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5.02.</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Mandatory Sinking Fund Obligation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5.03.</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Optional Redemption at Sinking Fund Redemption Price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5.04.</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Sinking Fund Payment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w:t>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VI</w:t>
              <w:br/>
              <w:t>PARTICULAR COVENANTS OF THE COMPANY</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6.01.</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Payments of Securities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6.02.</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Paying Agent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6.03.</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 Hold Payment in Trust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6.04.</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Liens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6.05.</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Sale and Leaseback Transactions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6.06.</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Consolidation and Sale of Assets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6.07.</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Certificate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6.08.</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Conditional Waiver by Holders of Securities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6.09.</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Statement by Officers as to Default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39</w:t>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VII</w:t>
              <w:br/>
              <w:t>REMEDIES OF TRUSTEE AND SECURITYHOLDERS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7.01.</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Events of Default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39</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7.02.</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Acceleration; Rescission and Annulment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7.03.</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Remedies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7.04.</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as Attorney-in-Fact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7.05.</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Priorities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7.06.</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Control by Securityholders; Waiver of Past Defaults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7.07.</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Suits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7.08.</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Undertaking for Costs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7.09.</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Remedies Cumulative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VIII</w:t>
              <w:br/>
              <w:t>CONCERNING THE SECURITYHOLDERS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8.01.</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Evidence of Action of Securityholders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8.02.</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Proof of Execution or Holding of Securities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8.03.</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Persons Deemed Owners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8.04.</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Consents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w:t>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IX</w:t>
              <w:br/>
              <w:t>SECURITYHOLDERS’ MEETINGS</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9.01.</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Purposes of Meetings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9.02.</w:t>
            </w:r>
          </w:p>
        </w:tc>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Call of Meetings by Trustee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1"/>
        <w:gridCol w:w="8102"/>
        <w:gridCol w:w="392"/>
      </w:tblGrid>
      <w:tr>
        <w:trPr/>
        <w:tc>
          <w:tcPr>
            <w:tcW w:w="1711" w:type="dxa"/>
            <w:tcBorders/>
            <w:vAlign w:val="center"/>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9.03.</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Call of Meetings by Company or Securityholders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9.04.</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Qualifications for Voting</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9.05.</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Regulation of Meetings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9.06.</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Voting</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9.07.</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Delay of Rights by Meeting</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w:t>
              <w:br/>
              <w:t>REPORTS BY THE COMPANY AND THE TRUSTEE AND</w:t>
              <w:br/>
              <w:t>SECURITYHOLDERS’ LISTS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10.01.</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Reports by Trustee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10.02.</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Reports by the Company</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10.03.</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Securityholders’ Lists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XI</w:t>
              <w:br/>
              <w:t>CONCERNING THE TRUSTEE</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11.01.</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of Trustees; Compensation and Indemnity</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11.02.</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Duties of Trustee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11.03.</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Defaults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11.04.</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Eligibility; Disqualification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11.05.</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Resignation and Notice; Removal</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11.06.</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Trustee by Appointment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56</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11.07.</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Trustee by Merger</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11.08.</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 to Rely on Officer’s Certificate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58</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11.09.</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Appointment of Authenticating Agent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58</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11.10.</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Communications by Securityholders with Other Securityholders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XII</w:t>
              <w:br/>
              <w:t>SATISFACTION AND DISCHARGE; DEFEASANCE</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12.01.</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Applicability of Article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12.02.</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Satisfaction and Discharge of Indenture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12.03.</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Defeasance and Covenant Defeasance upon Deposit of Moneys or U.S. Government Obligations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12.04.</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Repayment to Company</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12.05.</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Indemnity for U.S. Government Obligations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12.06.</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Deposits to Be Held in Escrow</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12.07.</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Trust Money</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12.08.</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Deposits of Non-U.S. Currencies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XIII</w:t>
              <w:br/>
              <w:t>IMMUNITY OF CERTAIN PERSONS</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13.01.</w:t>
            </w:r>
          </w:p>
        </w:tc>
        <w:tc>
          <w:tcPr>
            <w:tcW w:w="8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Personal Liability</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9"/>
        <w:gridCol w:w="8024"/>
        <w:gridCol w:w="392"/>
      </w:tblGrid>
      <w:tr>
        <w:trPr/>
        <w:tc>
          <w:tcPr>
            <w:tcW w:w="1789" w:type="dxa"/>
            <w:tcBorders/>
            <w:vAlign w:val="center"/>
          </w:tcPr>
          <w:p>
            <w:pPr>
              <w:pStyle w:val="TableContents"/>
              <w:bidi w:val="0"/>
              <w:spacing w:before="0" w:after="283"/>
              <w:jc w:val="left"/>
              <w:rPr>
                <w:sz w:val="4"/>
                <w:szCs w:val="4"/>
              </w:rPr>
            </w:pPr>
            <w:r>
              <w:rPr>
                <w:sz w:val="4"/>
                <w:szCs w:val="4"/>
              </w:rPr>
            </w:r>
          </w:p>
        </w:tc>
        <w:tc>
          <w:tcPr>
            <w:tcW w:w="802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XIV</w:t>
              <w:br/>
              <w:t>SUPPLEMENTAL INDENTURES</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14.01.</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Without Consent of Securityholders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14.02.</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Consent of Securityholders; Limitations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66</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14.03.</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Protected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67</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14.04.</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Execution of Supplemental Indenture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67</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14.05.</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Notation on or Exchange of Securities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14.06.</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Conformity with TIA</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XV</w:t>
              <w:br/>
              <w:t>SUBORDINATION OF SECURITIES</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15.01.</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Agreement to Subordinate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15.02.</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Distribution on Dissolution, Liquidation and Reorganization; Subrogation of Securities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15.03.</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Payment on Securities in Event of Default on Senior Indebtedness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15.04.</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Payments on Securities Permitted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15.05.</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 of Securityholders to Trustee to Effect Subordination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15.06.</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 to Trustee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15.07.</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as Holder of Senior Indebtedness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15.08.</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Modifications of Terms of Senior Indebtedness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15.09.</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Reliance on Judicial Order or Certificate of Liquidating Agent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15.10.</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Satisfaction and Discharge; Defeasance and Covenant Defeasance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15.11.</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 Not Fiduciary for Holders of Senior Indebtedness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XVI</w:t>
              <w:br/>
              <w:t>GUARANTEE</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16.01.</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Unconditional Guarantee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16.02.</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16.03.</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Guarantee of Payment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16.04.</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Continued Effectiveness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74</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16.05.</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Subrogation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74</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16.06.</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Information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74</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16.07.</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Subordination</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74</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16.08.</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Release of Guarantor</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74</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16.09.</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of Guarantor’s Liability</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75</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16.10.</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Contribution from Other Guarantors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75</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16.11.</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Obligation to Take Action Against the Company</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76</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ARTICLE XVII</w:t>
              <w:br/>
              <w:t>MISCELLANEOUS PROVISIONS</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17.01.</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Certificates and Opinions as to Conditions Precedent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76</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17.02.</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 Indenture Act Controls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17.03.</w:t>
            </w:r>
          </w:p>
        </w:tc>
        <w:tc>
          <w:tcPr>
            <w:tcW w:w="8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68" w:type="dxa"/>
        <w:jc w:val="left"/>
        <w:tblInd w:w="0" w:type="dxa"/>
        <w:tblLayout w:type="fixed"/>
        <w:tblCellMar>
          <w:top w:w="28" w:type="dxa"/>
          <w:left w:w="28" w:type="dxa"/>
          <w:bottom w:w="28" w:type="dxa"/>
          <w:right w:w="28" w:type="dxa"/>
        </w:tblCellMar>
      </w:tblPr>
      <w:tblGrid>
        <w:gridCol w:w="1816"/>
        <w:gridCol w:w="5161"/>
        <w:gridCol w:w="391"/>
      </w:tblGrid>
      <w:tr>
        <w:trPr/>
        <w:tc>
          <w:tcPr>
            <w:tcW w:w="181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17.04.</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 to Securityholders; Waiver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17.05.</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Holiday</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17.06.</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Effects of Headings and Table of Contents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17.07.</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 and Assigns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17.08.</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Separability Clause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17.09.</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Benefits of Indenture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17.10.</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 Originals. Electronic Signatures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79</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17.11.</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 Jurisdiction; Waiver of Trial by Jury</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79</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17.12.</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Force Majeure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80</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17.13.</w:t>
            </w:r>
          </w:p>
        </w:tc>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U.S.A. PATRIOT Act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80</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A – Form of Global Note</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INDENTURE dated as of August 31, 2026, among Vylor Inc., a Delaware corporation (the “Company”), and U.S. Bank Trust Company, National Association, as trustee (the “Trustee”).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WITNESSETH: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the Company has duly authorized the execution and delivery of this Indenture to provide for the issuance of unsecured debentures, notes, bonds or other evidences of indebtedness and any guarantees thereof (the “Securities”) in an unlimited aggregate principal amount to be issued from time to time in one or more series as provided in this Indenture;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all things necessary to make this Indenture a valid and legally binding agreement of the Company, in accordance with its terms, have been done.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THIS INDENTURE WITNESSETH: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in consideration of the premises and the purchase of the Securities by the Holders thereof for the equal and proportionate benefit of all of the present and future Holders of the Securities, each party agrees and covenants as follows:</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all purposes of this Indenture, except as otherwise expressly provided or unless the context otherwise requires: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terms defined in this Article have the meanings assigned to them in this Article and include the plural as well as the singular;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unless otherwise defined in this Indenture or the context otherwise requires, all terms used herein without definition which are defined in the Trust Indenture Act, either directly or by reference therein, have the meanings assigned to them therein;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words “herein”, “hereof” and “hereunder” and other words of similar import refer to this Indenture as a whole and not to any particular Article, Section or other subdivision;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references to “Article” or “Section” or other subdivision herein are references to an Article, Section or other subdivision of this Indenture, unless the context otherwise requires.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1.01. </w:t>
      </w:r>
      <w:r>
        <w:rPr>
          <w:rFonts w:ascii="Times New Roman" w:hAnsi="Times New Roman"/>
          <w:b w:val="false"/>
          <w:color w:val="000000"/>
          <w:sz w:val="24"/>
          <w:u w:val="single"/>
        </w:rPr>
        <w:t>Definitions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the context otherwise requires, the terms defined in this Section 1.01 shall for all purposes of this Indenture have the meanings hereinafter set forth:</w:t>
      </w:r>
    </w:p>
    <w:p>
      <w:pPr>
        <w:pStyle w:val="TextBody"/>
        <w:bidi w:val="0"/>
        <w:spacing w:before="120" w:after="12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Affiliate: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Attributable Debt: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“Attributable Debt” means the present value (discounted at the rate of 1% per annum over the weighted average Yield to Maturity of the outstanding Securities hereunder, such average being weighted by the principal amount of the Securities of each series or, in the case of Original Issue Discount Securities, such amount to be determined in a manner consistent with the manner described in the definition of “Outstanding”) of the obligation of a lessee for rental payments (excluding from such rental payments, however, amounts payable with respect to income and property taxes, insurance, maintenance, and other similar charges and contingent rents, such as those based on sales) during the remaining term of any lease (including any period for which such lease has been extended).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Authenticating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“Authenticating Agent” shall have the meaning assigned to it in Section 11.09.</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Bankruptcy Code: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“Bankruptcy Code” shall mean Title 11 of the United States Code, as now or hereafter in effect or any successor thereto.</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Board of Directors: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“Board of Directors” shall mean either the board of directors of the Company or the executive or any other committee of that board duly authorized to act in respect hereof.</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Board Resolution: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Business Day: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obligated by law or executive order to close.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Capital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“Capital Stock” shall mean: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in the case of a corporation, corporate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in the case of an association or business entity, any and all shares, interests, participations, rights or other equivalents (however designated) of corporate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in the case of a partnership or limited liability company, partnership interests (whether general or limited) or membership interests;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“Code” shall mean the Internal Revenue Code of 1986, as amended.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Company Order: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“Company Order” shall mean a written order signed in the name of the Company by any Officer and delivered to the Trustee.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Consolidated Net Tangible Assets: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term “Consolidated Net Tangible Assets” means the total amount of assets less applicable reserves and other properly deductible items after deducting (a) all current liabilities excluding any thereof which are by their terms extendable or renewable at the option of the obligor thereon to a time more than 12 months after the time as of which the amount thereof is being computed, and (b) all goodwill, trade names, trademarks, patents, purchased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technology, unamortized debt discount and other intangible assets, all as set forth on the Company’s most recent quarterly balance sheet and computed in accordance with GAAP.</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Corporate Trust Office: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“Corporate Trust Office,” or other similar term, shall mean the principal office of the Trustee at which at any particular time its corporate trust business shall be administered, which office at the date hereof is located at 333 Thornall St, Edison, NJ 08837, Attention: Global Corporate Trust – Vylor Administrator,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Currency: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“Currency” shall mean U.S. Dollars or Foreign Currency.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Default: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“Default” shall have the meaning assigned to it in Section 11.03.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Defaulted Interest: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“Defaulted Interest” shall have the meaning assigned to it in Section 3.08(b).</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Depositary: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Designated Currency: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“Designated Currency” shall have the meaning assigned to it in Section 3.12.</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Discharged: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“Discharged” shall have the meaning assigned to it in Section 12.03.</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“DTC” shall mean The Depository Trust Company, Inc. and its successors.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Event of Default: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“Event of Default” shall have the meaning specified in Section 7.01.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Exchange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“Exchange Act” shall mean the United States Securities Exchange Act of 1934, and the rules and regulations promulgated by the SEC thereunder and any statute successor thereto, in each case as amended from time to time.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Exchange Rate: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“Exchange Rate” shall have the meaning assigned to it in Section 7.01.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Floating Rate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“Floating Rate Security” shall mean a Security that provides for the payment of interest at a variable rate determined periodically by reference to an interest rate index specified pursuant to Section 3.01.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Foreign Currency: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“Foreign Currency” shall mean a currency issued by the government of any country other than the United States or a composite currency, the value of which is determined by reference to the values of the currencies of any group of countries.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GAAP: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term “GAAP,” with respect to any computations required or permitted hereunder, shall mean generally accepted accounting principles in effect in the United States as in effect from time to time; provided, however,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Notwithstanding the foregoing, for purposes of this Indenture, GAAP shall be determined, all terms of an accounting or financial nature shall be construed, and all computations of amounts and ratios referred to herein shall be made, without giving effect to any change in accounting for leases pursuant to GAAP resulting from the implementation of Financial Accounting Standards Board ASU No. 2016-02, Leases (Topic 842), to the extent such adoption would require treating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lease (or similar arrangement conveying the right to use) as a capitalized asset with a corresponding lease liability where such lease (or similar arrangement) would not have been required to be so treated under GAAP as in effect on December 31, 2015.</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Global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Guarantee: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“Guarantee” shall have the meaning specified in Section 16.01(a). The term “Guarantee” used as a verb has a corresponding meaning.</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Guarantor: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“Guarantor” shall have the meaning specified in Section 16.01(a).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Holder; Holder of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terms “Holder” and “Holder of Securities” are defined under “Securityholder; Holder of Securities; Holder.”</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Indebtedness: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“Indebtedness” shall mean any and all obligations of a Person for money borrowed which, in accordance with GAAP, would be reflected on the balance sheet of such Person as a liability on the date as of which Indebtedness is to be determined.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Individual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“Individual Securities” shall have the meaning specified in Section 3.01(p).</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Interest: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“interest” shall mean, unless the context otherwise requires, interest payable on any Securities, and with respect to an Original Issue Discount Security that by its terms bears interest only after Maturity, interest payable after Maturity.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Interest Payment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“Interest Payment Date” shall mean, with respect to any Security, the Stated Maturity of an installment of interest on such Security.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Issue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“Issue Date” shall mean the date hereof.</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Mandatory Sinking Fund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“Mandatory Sinking Fund Payment” shall have the meaning assigned to it in Section 5.01(b).</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Maturity: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“Maturity,” with respect to any Security, shall mean the date on which the principal of such Security shall become due and payable as therein and herein provided, whether by declaration, call for redemption or otherwise.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Members: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“Members” shall have the meaning assigned to it in Section 3.03(i).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Mortgages: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“Mortgages” shall have the meaning assigned to it in Section 6.04(a).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“Obligations” shall have the meaning specified in Section 16.01(a).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Officer: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“Officer” shall mean any of the Chairman of the Board of Directors, Chief Executive Officer, Chief Financial Officer, President or a Vice President, Treasurer or Assistant Treasurer, Controller, Secretary or Assistant Secretary of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Officer’s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“Officer’s Certificate” shall mean a certificate signed by any Officer and delivered to the Trustee. Each such certificate shall include the statements provided for in Section 17.01 if and to the extent required by the provisions of such Section.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Opinion of Counsel: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“Opinion of Counsel” shall mean an opinion in writing signed by one or more legal counsel, who may be an employee of or of counsel to the Company, and meets the requirements provided for in Section 17.01.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Optional Sinking Fund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“Optional Sinking Fund Payment” shall have the meaning assigned to it in Section 5.01(b).</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Original Issue Discount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Outstanding: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“Outstanding,” when used with respect to Securities means, as of the date of determination, all Securities theretofore authenticated and delivered under this Indenture, except: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Securities theretofore canceled by the Trustee or delivered to the Trustee for cancellation;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pStyle w:val="TextBody"/>
        <w:bidi w:val="0"/>
        <w:spacing w:before="0" w:after="240"/>
        <w:jc w:val="left"/>
        <w:rPr>
          <w:rFonts w:ascii="Times New Roman" w:hAnsi="Times New Roman"/>
          <w:sz w:val="24"/>
        </w:rPr>
      </w:pPr>
      <w:r>
        <w:rPr>
          <w:rFonts w:ascii="Times New Roman" w:hAnsi="Times New Roman"/>
          <w:i/>
          <w:color w:val="000000"/>
          <w:sz w:val="24"/>
        </w:rPr>
        <w:t>provided</w:t>
      </w:r>
      <w:r>
        <w:rPr>
          <w:rFonts w:ascii="Times New Roman" w:hAnsi="Times New Roman"/>
          <w:color w:val="000000"/>
          <w:sz w:val="24"/>
        </w:rPr>
        <w:t>, however,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Paying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“Paying Agent” shall have the meaning assigned to it in Section 6.02(a).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Person: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“Person” shall mean any individual, a corporation, a limited liability company, a partnership, an association, a joint stock company, a trust, an unincorporated organization or a government or an agency or political subdivision thereof or other entity.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Place of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“Place of Payment” shall mean, when used with respect to the Securities of any series, the place or places where the principal of and premium, if any, and interest on the Securities of that series are payable as specified pursuant to Section 3.01.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Predecessor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Principal Property: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“Principal Property” shall mean any manufacturing plant or facility or distribution facility or research facility owned by the Company or any Restricted Subsidiary that is located within the continental United States, unless, in the opinion of the Board of Directors, such plant or facility is not of material importance to the total business conducted by the Company and its Restricted Subsidiaries, taken as a whole.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Record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“Record Date” shall mean, with respect to any interest payable on any Security on any Interest Payment Date, any date specified in such Security or pursuant to Section 3.01 with respect to such Security as the record date for the payment of interest.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Redemption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Redemption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“Redemption Price,” when used with respect to any Security to be redeemed, in whole or in part, shall mean the price at which it is to be redeemed pursuant to the terms of the applicable Security and this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Register: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“Register” shall have the meaning assigned to it in Section 3.05(a).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Registrar: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“Registrar” shall have the meaning assigned to it in Section 3.05(a).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Responsible Officers: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“Responsible Officers” of the Trustee hereunder shall mean any vice president, any assistant vice president, any trust officer, any assistant trust officer, secretary, associate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Restricted Subsidiary: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“Restricted Subsidiary” shall mean any wholly-owned subsidiary (i) substantially all the property of which is located within the United States; (ii) which owns a Principal Property; and (iii) in which the Company’s investment exceeds 1% of its total consolidated assets, as set forth on the Company’s most recent annual audited balance sheet. The term “Restricted Subsidiary” does not include any wholly-owned subsidiary which is principally engaged in leasing or in financing or which is principally engaged in financing the Company’s operations outside the continental United States.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“SEC” shall mean the United States Securities and Exchange Commission, as constituted from time to time.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“Securities Act” shall mean the United States Securities Act of 1933, and the rules and regulations promulgated by the SEC thereunder and any statute successor thereto, in each case as amended from time to time.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“Security” or “Securities” shall have the meaning stated in the recitals and shall more particularly mean one or more of the Securities duly authenticated by the Trustee and delivered pursuant to the provisions of this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Security Custodian: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“Security Custodian” shall mean the custodian with respect to any Global Security appointed by the Depositary, or any successor Person thereto, and shall initially be the Trustee.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Securityholder; Holder of Securities; 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“Securityholder” or “Holder of Securities” or “Holder,” shall mean the Person in whose name Securities shall be registered in the Register kept for that purpose hereunder.</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Senior Indebtedness: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term “Senior Indebtedness” means the principal of (and premium, if any) and unpaid interest on (x) Indebtedness of the Company, whether outstanding on the Issue Date or thereafter created, incurred, assumed or guaranteed, for money borrowed other than (a) any Indebtedness of the Company which when incurred, and without respect to any election under Section 1111(b) of the Bankruptcy Code, was without recourse to the Company, (b) any Indebtedness of the Company to any of its Subsidiaries, (c) Indebtedness to any employee of the Company, (d) any liability for taxes, (e) Trade Payables and (f) any Indebtedness of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Special Record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“Special Record Date” shall have the meaning assigned to it in Section 3.08(b)(i).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Stated Maturity: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Subsidiary: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“Subsidiary,” when used with respect to any Person, shall mean a corporation, partnership, association, joint venture, trust, limited liability company or other business entity which is required to be consolidated with such Person in accordance with GAAP.</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Successor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“Successor Company” shall have the meaning assigned to it in Section 3.06(h).</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Trade Payables: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Trust Indenture Act; TIA: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U.S. Dollars: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“U.S. Dollars” shall mean such currency of the United States as at the time of payment shall be legal tender for the payment of public and private debts.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U.S. Government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“U.S. Government Obligations” shall have the meaning assigned to it in Section 12.03.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United States: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“United States” shall mean the United States of America, its territories and possessions, any State of the United States and the District of Columbia.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Yield to Maturity: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“Yield to Maturity” means the yield to maturity, calculated at the time of issuance of a series of Securities or, in the case of a series of Floating Rate Securities, at the most recent redetermination of interest of such series, in each case, calculated in accordance with accepted financial practice.</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II</w:t>
      </w:r>
    </w:p>
    <w:p>
      <w:pPr>
        <w:pStyle w:val="Heading1"/>
        <w:bidi w:val="0"/>
        <w:jc w:val="center"/>
        <w:rPr>
          <w:rFonts w:ascii="Times New Roman" w:hAnsi="Times New Roman"/>
          <w:b w:val="false"/>
          <w:color w:val="000000"/>
          <w:sz w:val="24"/>
          <w:u w:val="single"/>
        </w:rPr>
      </w:pPr>
      <w:r>
        <w:rPr>
          <w:rFonts w:ascii="Times New Roman" w:hAnsi="Times New Roman"/>
          <w:b w:val="false"/>
          <w:color w:val="000000"/>
          <w:sz w:val="24"/>
          <w:u w:val="single"/>
        </w:rPr>
        <w:t>FORMS OF SECURITIES</w:t>
      </w:r>
    </w:p>
    <w:p>
      <w:pPr>
        <w:pStyle w:val="Heading2"/>
        <w:bidi w:val="0"/>
        <w:spacing w:before="240" w:after="240"/>
        <w:jc w:val="left"/>
        <w:rPr>
          <w:rFonts w:ascii="Times New Roman" w:hAnsi="Times New Roman"/>
          <w:sz w:val="24"/>
        </w:rPr>
      </w:pPr>
      <w:r>
        <w:rPr>
          <w:rFonts w:ascii="Times New Roman" w:hAnsi="Times New Roman"/>
          <w:b w:val="false"/>
          <w:color w:val="000000"/>
          <w:sz w:val="24"/>
        </w:rPr>
        <w:t xml:space="preserve">SECTION 2.01. </w:t>
      </w:r>
      <w:r>
        <w:rPr>
          <w:rFonts w:ascii="Times New Roman" w:hAnsi="Times New Roman"/>
          <w:b w:val="false"/>
          <w:color w:val="000000"/>
          <w:sz w:val="24"/>
          <w:u w:val="single"/>
        </w:rPr>
        <w:t>Terms of the Securities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2.02. </w:t>
      </w:r>
      <w:r>
        <w:rPr>
          <w:rFonts w:ascii="Times New Roman" w:hAnsi="Times New Roman"/>
          <w:b w:val="false"/>
          <w:color w:val="000000"/>
          <w:sz w:val="24"/>
          <w:u w:val="single"/>
        </w:rPr>
        <w:t>Form of Trustee’s Certificate of Authentication</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Each Security shall be dated the date of its authentication, except that any Global Security shall be dated as of the date specified as contemplated in Section 3.01.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form of the Trustee’s certificate of authentication to be borne by the Securities shall be substantially as follows: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TRUSTEE’S CERTIFICATE OF AUTHENTICATION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is one of the Securities of the series designated therein referred to in the within-mentioned Indenture.</w:t>
      </w:r>
    </w:p>
    <w:tbl>
      <w:tblPr>
        <w:tblW w:w="8497" w:type="dxa"/>
        <w:jc w:val="left"/>
        <w:tblInd w:w="0" w:type="dxa"/>
        <w:tblLayout w:type="fixed"/>
        <w:tblCellMar>
          <w:top w:w="28" w:type="dxa"/>
          <w:left w:w="28" w:type="dxa"/>
          <w:bottom w:w="28" w:type="dxa"/>
          <w:right w:w="28" w:type="dxa"/>
        </w:tblCellMar>
      </w:tblPr>
      <w:tblGrid>
        <w:gridCol w:w="2326"/>
        <w:gridCol w:w="146"/>
        <w:gridCol w:w="146"/>
        <w:gridCol w:w="345"/>
        <w:gridCol w:w="345"/>
        <w:gridCol w:w="5189"/>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89"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of authentication: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 Bank Trust Company, National Association, as Trustee</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1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tcMar>
              <w:top w:w="0" w:type="dxa"/>
              <w:left w:w="0" w:type="dxa"/>
              <w:bottom w:w="0" w:type="dxa"/>
              <w:right w:w="0" w:type="dxa"/>
            </w:tcMar>
            <w:vAlign w:val="center"/>
          </w:tcPr>
          <w:p>
            <w:pPr>
              <w:pStyle w:val="TableContents"/>
              <w:bidi w:val="0"/>
              <w:spacing w:before="0" w:after="283"/>
              <w:jc w:val="left"/>
              <w:rPr/>
            </w:pPr>
            <w:r>
              <w:rPr/>
              <w:t> </w:t>
            </w:r>
          </w:p>
        </w:tc>
        <w:tc>
          <w:tcPr>
            <w:tcW w:w="51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Signatory</w:t>
            </w:r>
          </w:p>
        </w:tc>
      </w:tr>
    </w:tbl>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2.03. </w:t>
      </w:r>
      <w:r>
        <w:rPr>
          <w:rFonts w:ascii="Times New Roman" w:hAnsi="Times New Roman"/>
          <w:b w:val="false"/>
          <w:color w:val="000000"/>
          <w:sz w:val="24"/>
          <w:u w:val="single"/>
        </w:rPr>
        <w:t>Form of Trustee’s Certificate of Authentication by an Authenticating Agent</w:t>
      </w:r>
      <w:r>
        <w:rPr>
          <w:rFonts w:ascii="Times New Roman" w:hAnsi="Times New Roman"/>
          <w:b w:val="false"/>
          <w:color w:val="000000"/>
          <w:sz w:val="24"/>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TRUSTEE’S CERTIFICATE OF AUTHENTICATION</w:t>
      </w:r>
    </w:p>
    <w:p>
      <w:pPr>
        <w:pStyle w:val="TextBody"/>
        <w:bidi w:val="0"/>
        <w:jc w:val="left"/>
        <w:rPr>
          <w:rFonts w:ascii="Times New Roman" w:hAnsi="Times New Roman"/>
          <w:color w:val="000000"/>
          <w:sz w:val="24"/>
        </w:rPr>
      </w:pPr>
      <w:r>
        <w:rPr>
          <w:rFonts w:ascii="Times New Roman" w:hAnsi="Times New Roman"/>
          <w:color w:val="000000"/>
          <w:sz w:val="24"/>
        </w:rPr>
        <w:t>This is one of the Securities of the series designated therein referred to in the within-mentioned Indenture.</w:t>
      </w:r>
    </w:p>
    <w:p>
      <w:pPr>
        <w:pStyle w:val="TextBody"/>
        <w:bidi w:val="0"/>
        <w:jc w:val="left"/>
        <w:rPr/>
      </w:pPr>
      <w:r>
        <w:rPr/>
        <w:t> </w:t>
      </w:r>
    </w:p>
    <w:tbl>
      <w:tblPr>
        <w:tblW w:w="8498" w:type="dxa"/>
        <w:jc w:val="left"/>
        <w:tblInd w:w="0" w:type="dxa"/>
        <w:tblLayout w:type="fixed"/>
        <w:tblCellMar>
          <w:top w:w="28" w:type="dxa"/>
          <w:left w:w="28" w:type="dxa"/>
          <w:bottom w:w="28" w:type="dxa"/>
          <w:right w:w="28" w:type="dxa"/>
        </w:tblCellMar>
      </w:tblPr>
      <w:tblGrid>
        <w:gridCol w:w="2326"/>
        <w:gridCol w:w="146"/>
        <w:gridCol w:w="146"/>
        <w:gridCol w:w="532"/>
        <w:gridCol w:w="5348"/>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of authentication: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 Bank Trust Company, National Association, as Trustee</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3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AUTHENTICATING AGENT]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5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Authenticating Agent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53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3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5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Signatory</w:t>
            </w:r>
          </w:p>
        </w:tc>
      </w:tr>
    </w:tbl>
    <w:p>
      <w:pPr>
        <w:pStyle w:val="TextBody"/>
        <w:bidi w:val="0"/>
        <w:spacing w:before="0" w:after="240"/>
        <w:jc w:val="left"/>
        <w:rPr/>
      </w:pPr>
      <w:r>
        <w:rPr/>
        <w:t> </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III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THE DEBT SECURITIES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3.01. </w:t>
      </w:r>
      <w:r>
        <w:rPr>
          <w:rFonts w:ascii="Times New Roman" w:hAnsi="Times New Roman"/>
          <w:b w:val="false"/>
          <w:color w:val="000000"/>
          <w:sz w:val="24"/>
          <w:u w:val="single"/>
        </w:rPr>
        <w:t>Amount Unlimited; Issuable in Series</w:t>
      </w:r>
      <w:r>
        <w:rPr>
          <w:rFonts w:ascii="Times New Roman" w:hAnsi="Times New Roman"/>
          <w:b w:val="false"/>
          <w:color w:val="000000"/>
          <w:sz w:val="24"/>
        </w:rPr>
        <w:t>. The aggregate principal amount of Securities that may be authenticated and delivered under this Indenture is unlimited. The Securities may be issued in one or more series. At or prior to the issuance of Securities of any series, the title and terms on each series of Securities shall be as set forth in a Board Resolution, Company Order or in one or more indentures supplemental hereto, including the following: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title of the Securities of the series (which shall distinguish the Securities of such series from the Securities of all other series, except to the extent that additional Securities of an existing series are being issued);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if other than U.S. Dollars, the Foreign Currency in which Securities of the series shall be denominated or in which payment of the principal of, premium, if any, or interest on the Securities of the series shall be payable and any other terms concerning such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price or prices at which, the period or periods within which or the date or dates on which, and the terms and conditions upon which Securities of the series may be redeemed, in whole or in part, at the option of the Company, if the Company is to have that option;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 if other than denominations of $2,000 and any integral multiple of $1,000 in excess thereof, the denominations in which Securities of the series shall be issuable;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 if other than the principal amount thereof, the portion of the principal amount of the Securities of the series which shall be payable upon declaration of acceleration of the Maturity thereof pursuant to Section 7.02;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 whether the Securities of such series are to be entitled to the benefit of any Guarantees of any Guarantors pursuant to this Indenture, including any addition to or change in the provisions of Article XVI which apply to the Securities of such series (for the avoidance of doubt, Article XVI shall not apply to the Securities of any series unless the terms of such series expressly state that it applies);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 whether the Securities of the series are to be issued as Original Issue Discount Securities and the amount of discount with which such Securities may be issued;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 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 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(q) the date as of which any Global Security of the series shall be dated if other than the original issuance of the first Security of the series to be issued;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 the form or forms of the Securities of the series including such legends as may be required by applicable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 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 whether the Securities of such series are subject to subordination and the terms of such subordination (for avoidance of doubt, Article XV shall not apply to the Securities of any series unless the terms of such series expressly state it applies) and whether any Guarantees of the Securities of such series are subject to subordination and the terms of such subordination (such Guarantees to be subordinated on the same terms as the Securities of such series unless otherwise provided);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 whether the Securities of such series are to be secured and the terms of such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any restriction or condition on the transferability of the Securities of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 any addition or change in the provisions related to compensation and reimbursement of the Trustee which applies to Securities of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any addition or change in the provisions related to supplemental indentures set forth in Sections 14.01, 14.02 and 14.04 which applies to Securities of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 provisions, if any, granting special rights to Holders upon the occurrence of specified events;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(z) 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(aa) any addition to or change in the covenants set forth in Article VI which applies to Securities of the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(bb) any other terms of the Securities of such series (which terms shall not be inconsistent with the provisions of the TIA, but may modify, amend, supplement or delete any of the terms of this Indenture with respect to such series);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(cc) any limitations on recourse to any subsidiaries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Securities of any one series shall be substantially identical, except as to denomination and except as may otherwise be provided herein or set forth in a Board Resolution, a Company Order or in one or more indentures supplemental 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3.02. </w:t>
      </w:r>
      <w:r>
        <w:rPr>
          <w:rFonts w:ascii="Times New Roman" w:hAnsi="Times New Roman"/>
          <w:b w:val="false"/>
          <w:color w:val="000000"/>
          <w:sz w:val="24"/>
          <w:u w:val="single"/>
        </w:rPr>
        <w:t>Denominations</w:t>
      </w:r>
      <w:r>
        <w:rPr>
          <w:rFonts w:ascii="Times New Roman" w:hAnsi="Times New Roman"/>
          <w:b w:val="false"/>
          <w:color w:val="000000"/>
          <w:sz w:val="24"/>
        </w:rPr>
        <w:t>. In the absence of any specification pursuant to Section 3.01 with respect to Securities of any series, the Securities of such series shall be issuable only as Securities in denominations of $2,000 and any integral multiple of $1,000 in excess thereof, and shall be payable only in U.S. Dollars.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3.03. </w:t>
      </w:r>
      <w:r>
        <w:rPr>
          <w:rFonts w:ascii="Times New Roman" w:hAnsi="Times New Roman"/>
          <w:b w:val="false"/>
          <w:color w:val="000000"/>
          <w:sz w:val="24"/>
          <w:u w:val="single"/>
        </w:rPr>
        <w:t>Execution, Authentication, Delivery and Dating</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Securities shall be executed in the name and on behalf of the Company by the manual, electronic or facsimile signature of any Officer. If the Person whose signature is on a Security no longer holds that office at the time the Security is authenticated and delivered, the Security shall nevertheless be valid.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(c) In authenticating the first Securities of any series and accepting the additional responsibilities under this Indenture in relation to such Securities the Trustee shall receive, and (subject to Section 11.02) shall be fully protected in relying upon an Officer’s Certificate and an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Opinion of Counsel, each prepared in accordance with Section 17.01 stating that the conditions precedent, if any, provided for in the Indenture have been complied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Each Security shall be dated the date of its authentication, except as otherwise provided pursuant to Section 3.01 with respect to the Securities of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pStyle w:val="TextBody"/>
        <w:bidi w:val="0"/>
        <w:spacing w:before="0" w:after="240"/>
        <w:jc w:val="left"/>
        <w:rPr>
          <w:color w:val="000000"/>
        </w:rPr>
      </w:pPr>
      <w:r>
        <w:rPr>
          <w:color w:val="000000"/>
        </w:rPr>
        <w:t>“</w:t>
      </w:r>
      <w:r>
        <w:rPr>
          <w:rFonts w:ascii="Times New Roman" w:hAnsi="Times New Roman"/>
          <w:color w:val="000000"/>
          <w:sz w:val="24"/>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THIS CERTIFICATE IS PRESENTED BY AN AUTHORIZED REPRESENTATIVE OF THE DEPOSITORY TRUST COMPANY INC. TO THE COMPANY OR ITS AGENT FOR REGISTRATION OF TRANSFER, EXCHANGE OR PAYMENT, AND ANY CERTIFICATE ISSUED IS REGISTERED IN THE NAME OF CEDE &amp; CO. OR IN SUCH OTHER NAME AS IS REQUESTED BY AN AUTHORIZED REPRESENTATIVE OF THE DEPOSITORY TRUST COMPANY INC. (AND ANY PAYMENT HEREON IS MADE TO CEDE &amp; CO. OR TO SUCH OTHER ENTITY AS IS REQUESTED BY AN AUTHORIZED REPRESENTATIVE OF THE DEPOSITORY TRUST COMPANY INC.), ANY TRANSFER, PLEDGE OR OTHER USE HEREOF FOR VALUE OR OTHERWISE BY OR TO ANY PERSON IS WRONGFUL SINCE THE REGISTERED OWNER HEREOF, CEDE &amp; CO., HAS AN INTEREST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TRANSFERS OF THIS GLOBAL SECURITY SHALL BE LIMITED TO TRANSFERS IN WHOLE, BUT NOT IN PART, BY THE DEPOSITARY TO A NOMINEE OF THE DEPOSITARY, OR BY A NOMINEE OF THE DEPOSITARY TO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DEPOSITARY OR ANOTHER NOMINEE OF THE DEPOSITARY, OR BY THE DEPOSITARY OR ANY SUCH NOMINEE TO A SUCCESSOR DEPOSITARY OR A NOMINEE OF SUCH SUCCESSOR DEPOSITARY.”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aggregate principal amount of each Global Security may from time to time be increased or decreased by adjustments made on the records of the Security Custodian, as provided in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electronic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3.04. </w:t>
      </w:r>
      <w:r>
        <w:rPr>
          <w:rFonts w:ascii="Times New Roman" w:hAnsi="Times New Roman"/>
          <w:b w:val="false"/>
          <w:color w:val="000000"/>
          <w:sz w:val="24"/>
          <w:u w:val="single"/>
        </w:rPr>
        <w:t>Temporary Securities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3.05. </w:t>
      </w:r>
      <w:r>
        <w:rPr>
          <w:rFonts w:ascii="Times New Roman" w:hAnsi="Times New Roman"/>
          <w:b w:val="false"/>
          <w:color w:val="000000"/>
          <w:sz w:val="24"/>
          <w:u w:val="single"/>
        </w:rPr>
        <w:t>Registrar</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Company hereby appoints the Trustee at its Corporate Trust Office as Registrar in connection with the Securities and this Indenture, until such time as another Person is appointed as such.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3.06. </w:t>
      </w:r>
      <w:r>
        <w:rPr>
          <w:rFonts w:ascii="Times New Roman" w:hAnsi="Times New Roman"/>
          <w:b w:val="false"/>
          <w:color w:val="000000"/>
          <w:sz w:val="24"/>
          <w:u w:val="single"/>
        </w:rPr>
        <w:t>Transfer and Exchange</w:t>
      </w:r>
      <w:r>
        <w:rPr>
          <w:rFonts w:ascii="Times New Roman" w:hAnsi="Times New Roman"/>
          <w:b w:val="false"/>
          <w:color w:val="000000"/>
          <w:sz w:val="24"/>
        </w:rPr>
        <w: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Transfer</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Exchange</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Whenever any Securities are so surrendered for exchange, the Company shall execute, and the Trustee or Authenticating Agent shall authenticate and deliver, the Securities that the Holder making the exchange is entitled to receive.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Exchange of Global Securities for Individual Securities</w:t>
      </w:r>
      <w:r>
        <w:rPr>
          <w:rFonts w:ascii="Times New Roman" w:hAnsi="Times New Roman"/>
          <w:color w:val="000000"/>
          <w:sz w:val="24"/>
        </w:rPr>
        <w:t>. Except as provided below, owners of beneficial interests in Global Securities will not be entitled to receive Individual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at its option, elects to terminate the record book-entry system through the Depositary with respect to all or a portion of the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authenticate and deliver to each beneficial owner identified by the Depositary in exchange for its beneficial interest in such Global Security, an equal aggregate principal amount of Individual Securities of authorized denominations.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Security Custodian and Registrar shall notify the Company and the Trustee of such instructions, identifying the owner and amount of such beneficial interest in such Global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to such Depositary a new Global Security in a denomination equal to the difference, if any, between the principal amount of the surrendered Global Security and the aggregate principal amount of Individual Securities delivered to Holders thereof.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In any exchange provided for in clauses (i) through (iii), the Company will execute and the Trustee will authenticate and deliver Individual Securities in registered form in authorized denominations.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 transmission, or (ii) register, transfer or exchange any Security so selected for redemption in whole or in part, except the unredeemed portion of any Security being redeemed in part.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(h) In case a successor Company (“Successor Company”) has executed an indenture supplemental hereto with the Trustee pursuant to Section 6.06,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at the option of the Holders but without expense to them, shall provide for the exchange of all Securities at the time Outstanding for Securities authenticated and delivered in such new name.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Neither the Trustee nor any agent of the Trustee shall have any responsibility for any actions taken or not taken by the Depositary.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3.07. </w:t>
      </w:r>
      <w:r>
        <w:rPr>
          <w:rFonts w:ascii="Times New Roman" w:hAnsi="Times New Roman"/>
          <w:b w:val="false"/>
          <w:color w:val="000000"/>
          <w:sz w:val="24"/>
          <w:u w:val="single"/>
        </w:rPr>
        <w:t>Mutilated, Destroyed, Lost and Stolen Securities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In case any such mutilated, destroyed, lost or stolen Security has become or is about to become due and payable, the Company in its discretion may, instead of issuing a new Security, pay the amount due on such Security in accordance with its terms.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The provisions of this Section are exclusive and shall preclude (to the extent lawful) all other rights and remedies with respect to the replacement or payment of mutilated, destroyed, lost or stolen Securities.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3.08. </w:t>
      </w:r>
      <w:r>
        <w:rPr>
          <w:rFonts w:ascii="Times New Roman" w:hAnsi="Times New Roman"/>
          <w:b w:val="false"/>
          <w:color w:val="000000"/>
          <w:sz w:val="24"/>
          <w:u w:val="single"/>
        </w:rPr>
        <w:t>Payment of Interest; Interest Rights Preserved</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Payment Date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3.09. </w:t>
      </w:r>
      <w:r>
        <w:rPr>
          <w:rFonts w:ascii="Times New Roman" w:hAnsi="Times New Roman"/>
          <w:b w:val="false"/>
          <w:color w:val="000000"/>
          <w:sz w:val="24"/>
          <w:u w:val="single"/>
        </w:rPr>
        <w:t>Cancellation</w:t>
      </w:r>
      <w:r>
        <w:rPr>
          <w:rFonts w:ascii="Times New Roman" w:hAnsi="Times New Roman"/>
          <w:b w:val="false"/>
          <w:color w:val="000000"/>
          <w:sz w:val="24"/>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3.10. </w:t>
      </w:r>
      <w:r>
        <w:rPr>
          <w:rFonts w:ascii="Times New Roman" w:hAnsi="Times New Roman"/>
          <w:b w:val="false"/>
          <w:color w:val="000000"/>
          <w:sz w:val="24"/>
          <w:u w:val="single"/>
        </w:rPr>
        <w:t>Computation of Interest</w:t>
      </w:r>
      <w:r>
        <w:rPr>
          <w:rFonts w:ascii="Times New Roman" w:hAnsi="Times New Roman"/>
          <w:b w:val="false"/>
          <w:color w:val="000000"/>
          <w:sz w:val="24"/>
        </w:rPr>
        <w:t>. Except as otherwise specified pursuant to Section 3.01 for Securities of any series, interest on the Securities of each series shall be computed on the basis of a 360-day year of twelve 30-day months.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3.11. </w:t>
      </w:r>
      <w:r>
        <w:rPr>
          <w:rFonts w:ascii="Times New Roman" w:hAnsi="Times New Roman"/>
          <w:b w:val="false"/>
          <w:color w:val="000000"/>
          <w:sz w:val="24"/>
          <w:u w:val="single"/>
        </w:rPr>
        <w:t>Currency of Payments in Respect of Securities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Except as otherwise specified pursuant to Section 3.01 for Securities of any series, payment of the principal of and premium, if any, and interest on Securities of such series will be made in U.S. Dollars.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3.12. </w:t>
      </w:r>
      <w:r>
        <w:rPr>
          <w:rFonts w:ascii="Times New Roman" w:hAnsi="Times New Roman"/>
          <w:b w:val="false"/>
          <w:color w:val="000000"/>
          <w:sz w:val="24"/>
          <w:u w:val="single"/>
        </w:rPr>
        <w:t>Judgments</w:t>
      </w:r>
      <w:r>
        <w:rPr>
          <w:rFonts w:ascii="Times New Roman" w:hAnsi="Times New Roman"/>
          <w:b w:val="false"/>
          <w:color w:val="000000"/>
          <w:sz w:val="24"/>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3.13. </w:t>
      </w:r>
      <w:r>
        <w:rPr>
          <w:rFonts w:ascii="Times New Roman" w:hAnsi="Times New Roman"/>
          <w:b w:val="false"/>
          <w:color w:val="000000"/>
          <w:sz w:val="24"/>
          <w:u w:val="single"/>
        </w:rPr>
        <w:t>CUSIP Numbers</w:t>
      </w:r>
      <w:r>
        <w:rPr>
          <w:rFonts w:ascii="Times New Roman" w:hAnsi="Times New Roman"/>
          <w:b w:val="false"/>
          <w:color w:val="000000"/>
          <w:sz w:val="24"/>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Any such redemption shall not be affected by any defect in or omission of such numbers. The Company will promptly notify the Trustee in writing of any change in the CUSIP, ISIN or other similar numbers.</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IV</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REDEMPTION OF SECURITIES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4.01. </w:t>
      </w:r>
      <w:r>
        <w:rPr>
          <w:rFonts w:ascii="Times New Roman" w:hAnsi="Times New Roman"/>
          <w:b w:val="false"/>
          <w:color w:val="000000"/>
          <w:sz w:val="24"/>
          <w:u w:val="single"/>
        </w:rPr>
        <w:t>Applicability of Right of Redemption</w:t>
      </w:r>
      <w:r>
        <w:rPr>
          <w:rFonts w:ascii="Times New Roman" w:hAnsi="Times New Roman"/>
          <w:b w:val="false"/>
          <w:color w:val="000000"/>
          <w:sz w:val="24"/>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4.02. </w:t>
      </w:r>
      <w:r>
        <w:rPr>
          <w:rFonts w:ascii="Times New Roman" w:hAnsi="Times New Roman"/>
          <w:b w:val="false"/>
          <w:color w:val="000000"/>
          <w:sz w:val="24"/>
          <w:u w:val="single"/>
        </w:rPr>
        <w:t>Selection of Securities to be Redeemed</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If the Company shall at any time elect to redeem all or any portion of the Securities of a series then Outstanding, it shall at least 15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in accordance with the procedures of the Depositary and which may provide for the selection for redemption of 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4.03. </w:t>
      </w:r>
      <w:r>
        <w:rPr>
          <w:rFonts w:ascii="Times New Roman" w:hAnsi="Times New Roman"/>
          <w:b w:val="false"/>
          <w:color w:val="000000"/>
          <w:sz w:val="24"/>
          <w:u w:val="single"/>
        </w:rPr>
        <w:t>Notice of Redemption</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Notice of redemption shall be given by the Company or, at the Company’s request, by the Trustee in the name and at the expense of the Company, not less than 10 nor more than 60 days prior to the Redemption Date (unless a shorter period shall be satisfactory to the Trustee), to the Holders of Securities of any series to be redeemed in whole or in part pursuant to this Article, in the manner provided in Section 17.04.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All notices of redemption shall identify the Securities to be redeemed (including CUSIP, ISIN or other similar numbers, if available along with the statement in Section 3.13) and shall state: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such election by the Company to redeem Securities of such series pursuant to provisions contained in this Indenture or the terms of the Securities of such series or a supplemental indenture establishing such series, if such be the case;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Redemption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Redemption Price or the method by which the Redemption Price shall be determined;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if less than all Outstanding Securities of any series are to be redeemed, the identification (and, in the case of partial redemption, the aggregate principal amounts) of the Securities of such series to be redeemed;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that, subject to the satisfaction or waiver by the Company of any applicable conditions precedent, on the Redemption Date the Redemption Price will become due and payable upon each such Security to be redeemed, and that, if applicable, interest thereon shall cease to accrue on and after said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the Place or Places of Payment where such Securities are to be surrendered for payment of the Redemption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that the redemption is for a sinking fund, if such is the case;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if applicable, any conditions precedent to such redemption.</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4.04. </w:t>
      </w:r>
      <w:r>
        <w:rPr>
          <w:rFonts w:ascii="Times New Roman" w:hAnsi="Times New Roman"/>
          <w:b w:val="false"/>
          <w:color w:val="000000"/>
          <w:sz w:val="24"/>
          <w:u w:val="single"/>
        </w:rPr>
        <w:t>Deposit of Redemption Price</w:t>
      </w:r>
      <w:r>
        <w:rPr>
          <w:rFonts w:ascii="Times New Roman" w:hAnsi="Times New Roman"/>
          <w:b w:val="false"/>
          <w:color w:val="000000"/>
          <w:sz w:val="24"/>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4.05. </w:t>
      </w:r>
      <w:r>
        <w:rPr>
          <w:rFonts w:ascii="Times New Roman" w:hAnsi="Times New Roman"/>
          <w:b w:val="false"/>
          <w:color w:val="000000"/>
          <w:sz w:val="24"/>
          <w:u w:val="single"/>
        </w:rPr>
        <w:t>Securities Payable on Redemption Date</w:t>
      </w:r>
      <w:r>
        <w:rPr>
          <w:rFonts w:ascii="Times New Roman" w:hAnsi="Times New Roman"/>
          <w:b w:val="false"/>
          <w:color w:val="000000"/>
          <w:sz w:val="24"/>
        </w:rPr>
        <w:t>. Notice of redemption having been given as aforesaid, any Securities so to be redeemed shall, on the Redemption Date, become due and payable at the Redemption Price, subject to any condition stated therein, and from and after such date (unless the Company shall Default in the payment of the Redemption Price) such Securities shall cease to bear interest unless subject to a condition precedent that has not been satisfied.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redemption and notice of such redemption may, at the Company’s option,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as any or all such conditions shall be satisfied (or waived by the Company), or such redemption may not occur and such notice may be rescinded in the event that any or all such conditions shall not have been satisfied (or waived by the Company) by the Redemption Date, or by the Redemption Date as so delayed. In addition, the Company may provide in such notice that payment of the Redemption Price and performance of the Company’s obligations with respect to such redemption may be performed by another Person. If any condition precedent has not been satisfied, the Company shall provide written notice to the Trustee of any rescission of such notice as soon as practicable after the Company determines that the Company will not be able to satisfy or otherwise waive such condition precedent (but in no event later than 10:00 am, New York City time, on the Redemption Date). Upon receipt of such notice, such notice of redemption shall be rescinded and the redemption of such series of Securities shall not occur. Upon receipt, the Trustee shall provide such notice to each Holder of the Securities that were to be redeemed in the same manner in which the notice of redemption was given.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4.06. </w:t>
      </w:r>
      <w:r>
        <w:rPr>
          <w:rFonts w:ascii="Times New Roman" w:hAnsi="Times New Roman"/>
          <w:b w:val="false"/>
          <w:color w:val="000000"/>
          <w:sz w:val="24"/>
          <w:u w:val="single"/>
        </w:rPr>
        <w:t>Securities Redeemed in Part</w:t>
      </w:r>
      <w:r>
        <w:rPr>
          <w:rFonts w:ascii="Times New Roman" w:hAnsi="Times New Roman"/>
          <w:b w:val="false"/>
          <w:color w:val="000000"/>
          <w:sz w:val="24"/>
        </w:rPr>
        <w:t>. Any Security that is to be redeemed only in part shall be surrendered at the Corporate Trust Office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V</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SINKING FUNDS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5.01. </w:t>
      </w:r>
      <w:r>
        <w:rPr>
          <w:rFonts w:ascii="Times New Roman" w:hAnsi="Times New Roman"/>
          <w:b w:val="false"/>
          <w:color w:val="000000"/>
          <w:sz w:val="24"/>
          <w:u w:val="single"/>
        </w:rPr>
        <w:t>Applicability of Sinking Fund</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provided, however, that if any such terms of a series of Securities shall conflict with any provision of this Article, the terms of such series shall govern.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5.02. </w:t>
      </w:r>
      <w:r>
        <w:rPr>
          <w:rFonts w:ascii="Times New Roman" w:hAnsi="Times New Roman"/>
          <w:b w:val="false"/>
          <w:color w:val="000000"/>
          <w:sz w:val="24"/>
          <w:u w:val="single"/>
        </w:rPr>
        <w:t>Mandatory Sinking Fund Obligation</w:t>
      </w:r>
      <w:r>
        <w:rPr>
          <w:rFonts w:ascii="Times New Roman" w:hAnsi="Times New Roman"/>
          <w:b w:val="false"/>
          <w:color w:val="000000"/>
          <w:sz w:val="24"/>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5.03. </w:t>
      </w:r>
      <w:r>
        <w:rPr>
          <w:rFonts w:ascii="Times New Roman" w:hAnsi="Times New Roman"/>
          <w:b w:val="false"/>
          <w:color w:val="000000"/>
          <w:sz w:val="24"/>
          <w:u w:val="single"/>
        </w:rPr>
        <w:t>Optional Redemption at Sinking Fund Redemption Price</w:t>
      </w:r>
      <w:r>
        <w:rPr>
          <w:rFonts w:ascii="Times New Roman" w:hAnsi="Times New Roman"/>
          <w:b w:val="false"/>
          <w:color w:val="000000"/>
          <w:sz w:val="24"/>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5.04. </w:t>
      </w:r>
      <w:r>
        <w:rPr>
          <w:rFonts w:ascii="Times New Roman" w:hAnsi="Times New Roman"/>
          <w:b w:val="false"/>
          <w:color w:val="000000"/>
          <w:sz w:val="24"/>
          <w:u w:val="single"/>
        </w:rPr>
        <w:t>Application of Sinking Fund Payment</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On or prior to each sinking fund payment date, the Company shall pay to the Trustee a sum equal to all interest accrued to but not including the date fixed for redemption on Securities to be redeemed on such sinking fund payment date pursuant to this Section 5.04.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Section 5.04(c))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VI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PARTICULAR COVENANTS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hereby covenants and agrees as follows: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6.01. </w:t>
      </w:r>
      <w:r>
        <w:rPr>
          <w:rFonts w:ascii="Times New Roman" w:hAnsi="Times New Roman"/>
          <w:b w:val="false"/>
          <w:color w:val="000000"/>
          <w:sz w:val="24"/>
          <w:u w:val="single"/>
        </w:rPr>
        <w:t>Payments of Securities</w:t>
      </w:r>
      <w:r>
        <w:rPr>
          <w:rFonts w:ascii="Times New Roman" w:hAnsi="Times New Roman"/>
          <w:b w:val="false"/>
          <w:color w:val="000000"/>
          <w:sz w:val="24"/>
        </w:rPr>
        <w:t>. The Company will duly and punctually pay the principal of and premium, if any, on each series of Securities, and the interest which shall have accrued thereon, at the dates and place and in the manner provided in the Securities and in this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6.02. </w:t>
      </w:r>
      <w:r>
        <w:rPr>
          <w:rFonts w:ascii="Times New Roman" w:hAnsi="Times New Roman"/>
          <w:b w:val="false"/>
          <w:color w:val="000000"/>
          <w:sz w:val="24"/>
          <w:u w:val="single"/>
        </w:rPr>
        <w:t>Paying Agent</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(but not service of process) may be made at the Corporate Trust Office of the Trustee, and the Company hereby appoints the Trustee as Paying Agent to receive all presentations, surrenders, notices and demands.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 The Company may also from time to time designate different or additional offices or agencies where the Securities of any series may be presented or surrendered for any or all such purposes (in or outside of such Place of Payment), and may from time to time rescind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such designations; provided, however, that no such designation or rescission shall in any manner relieve the Company of its obligations under Section 6.02(a).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6.03. </w:t>
      </w:r>
      <w:r>
        <w:rPr>
          <w:rFonts w:ascii="Times New Roman" w:hAnsi="Times New Roman"/>
          <w:b w:val="false"/>
          <w:color w:val="000000"/>
          <w:sz w:val="24"/>
          <w:u w:val="single"/>
        </w:rPr>
        <w:t>To Hold Payment in Trust</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give to the Trustee notice of any Default by the Company or any other obligor upon the Securities of that series in the making of any payment of the principal of and premium, if any, or interest on the Securities of that series;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at any time during the continuance of any such Default, upon the written request of the Trustee, pay to the Trustee all sums so held in trust by such Paying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6.04. </w:t>
      </w:r>
      <w:r>
        <w:rPr>
          <w:rFonts w:ascii="Times New Roman" w:hAnsi="Times New Roman"/>
          <w:b w:val="false"/>
          <w:color w:val="000000"/>
          <w:sz w:val="24"/>
          <w:u w:val="single"/>
        </w:rPr>
        <w:t>Limitation on Liens</w:t>
      </w:r>
      <w:r>
        <w:rPr>
          <w:rFonts w:ascii="Times New Roman" w:hAnsi="Times New Roman"/>
          <w:b w:val="false"/>
          <w:color w:val="000000"/>
          <w:sz w:val="24"/>
        </w:rPr>
        <w:t>. Except as otherwise provided as contemplated by Section 3.01 with respect to any series of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shall not, nor shall the Company permit any Restricted Subsidiary to, issue, assume or guarantee any Indebtedness secured by a mortgage, security interest, pledge, lien or other encumbrance (mortgages, security interests, pledges, liens and other encumbrances being hereinafter called “Mortgages”) on any Principal Property or on any shares of stock or Indebtedness of any Restricted Subsidiary (whether such Principal Property, shares of stock or Indebtedness are owned on the Issue Date or thereafter acquired) without in any such case effectively providing concurrently with the issuance, assumption or guaranty of any such Indebtedness that the Securities (together with, if the Company shall so determine, any other Indebtedness of or guaranty by the Company or such Restricted Subsidiary ranking equally with the Securities and then existing or thereafter created) shall be secured equally and ratably with such Indebtedness for so long as such Indebtedness is so secured; provided, however, that the foregoing restrictions shall not apply to Indebtedness secured by: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Mortgages on property, shares of stock or Indebtedness of any Person existing at the time such Person becomes a Restricted Subsidiary;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(ii) Mortgages on property existing at the time of acquisition of such property by the Company or a Restricted Subsidiary, or Mortgages to secure the payment of all or any part of the purchase price of such property upon the acquisition of such property by the Company or a Restricted Subsidiary or to secure any Indebtedness incurred by the Company or a Restricted Subsidiary prior to, at the time of, or within one year after the later of the acquisition, the completion of construction (including any improvements on an existing property) or the commencement of commercial operation of such property,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which Indebtedness is incurred for the purpose of financing all or any part of the purchase price thereof or construction or improvements thereon; provided, however, that in the case of any such acquisition, construction or improvement the Mortgage shall not apply to any property theretofore owned by the Company or a Restricted Subsidiary, other than, in the case of any such construction or improvement, any theretofore unimproved real property on which the property so constructed, or the improvement, is located;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Mortgages securing Indebtedness owing by any Restricted Subsidiary to the Company or another Restricted Subsidiary;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Mortgages on property of a Person existing at the time that Person is merged into or consolidated with the Company or a Restricted Subsidiary or at the time of a sale, lease or other disposition of the properties of a Person as an entirety or substantially as an entirety to the Company or a Restricted Subsidiary;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Mortgages on property of the Company or a Restricted Subsidiary in favor of the United States or any State thereof, or any department, agency or instrumentality or political subdivision of the United States or any State thereof, or in favor of any other country, or any political subdivision thereof, to secure partial, progress, advance or other payments pursuant to any contract or statute or to secure any Indebtedness incurred for the purpose of financing all or any part of the purchase price or the cost of construction of the property subject to such Mortgages (including without limitation Mortgages incurred in connection with pollution control, industrial revenue or similar financings);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Mortgages existing on the Issue Date;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any extension, renewal or replacement (or successive extensions, renewals or replacements), in whole or in part, of any Mortgage referred to in the foregoing clauses (i) to (vi); provided, however, that the principal amount of Indebtedness secured thereby shall not exceed the principal amount of Indebtedness so secured at the time of such extension, renewal or replacement, and that such extension, renewal or replacement shall be limited to all or a part of the property which secured the Mortgage so extended, renewed or replaced (plus improvements on such property).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Notwithstanding Section 6.04(a), the Company and one or more of its Restricted Subsidiaries may, without securing the Securities, issue, assume, or guarantee Indebtedness secured by Mortgages which would otherwise be subject to the restrictions set forth in Section 6.04(a); provided that the aggregate amount of secured Indebtedness incurred under this Section 6.04(b) that would then be outstanding after giving pro forma effect to any such incurrence (including the pro forma application of the proceeds of such Indebtedness incurred), together with the aggregate amount of the then outstanding Attributable Debt incurred under Section 6.05(a)(i) of this Indenture, does not exceed 10% of the Consolidated Net Tangible Assets of the Company and its consolidated Subsidiaries.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6.05. </w:t>
      </w:r>
      <w:r>
        <w:rPr>
          <w:rFonts w:ascii="Times New Roman" w:hAnsi="Times New Roman"/>
          <w:b w:val="false"/>
          <w:color w:val="000000"/>
          <w:sz w:val="24"/>
          <w:u w:val="single"/>
        </w:rPr>
        <w:t>Sale and Leaseback Transactions</w:t>
      </w:r>
      <w:r>
        <w:rPr>
          <w:rFonts w:ascii="Times New Roman" w:hAnsi="Times New Roman"/>
          <w:b w:val="false"/>
          <w:color w:val="000000"/>
          <w:sz w:val="24"/>
        </w:rPr>
        <w:t>. Except as otherwise provided as contemplated by Section 3.01 with respect to any series of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shall not, nor shall the Company permit any Restricted Subsidiary to, enter into any arrangement with any Person providing for the leasing by the Company or any Restricted Subsidiary of any Principal Property of the Company or any Restricted Subsidiary (whether such Principal Property is owned on the Issue Date or thereafter acquired) (except for temporary leases for a term of not more than three years and except for leases between the Company and a Restricted Subsidiary or between Restricted Subsidiaries), which Principal Property has been or is to be sold or transferred by the Company or such Restricted Subsidiary to such Person, unless (i) the Company or such Restricted Subsidiary would be entitled to issue, assume or guarantee Indebtedness secured by a Mortgage upon the Principal Property involved at least equal in amount to the Attributable Debt for that transaction without equally and ratably securing the Securities pursuant to Section 6.04 of this Indenture or (ii) the Company applies an amount in cash equal to the Attributable Debt for that transaction to the retirement (other than any mandatory retirement or by way of payment at maturity), within 90 days of the effective date of any such arrangement, of Indebtedness of the Company or any Restricted Subsidiary (other than Indebtedness owed by the Company or any Restricted Subsidiary and other than Indebtedness of the Company which is subordinated to the Securities), which by its terms matures at or is extendible or renewable at the option of the obligor to a date more than twelve months after the date of creation of such Indebtedness.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It is understood that transactions entered into pursuant to Section 168(f)(8) of the Internal Revenue Code of 1954, as amended, are not Indebtedness secured by a Mortgage within the meaning of Section 6.04 or sale and leaseback transactions prohibited by Section 6.05(a).</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6.06. </w:t>
      </w:r>
      <w:r>
        <w:rPr>
          <w:rFonts w:ascii="Times New Roman" w:hAnsi="Times New Roman"/>
          <w:b w:val="false"/>
          <w:color w:val="000000"/>
          <w:sz w:val="24"/>
          <w:u w:val="single"/>
        </w:rPr>
        <w:t>Merger, Consolidation and Sale of Assets</w:t>
      </w:r>
      <w:r>
        <w:rPr>
          <w:rFonts w:ascii="Times New Roman" w:hAnsi="Times New Roman"/>
          <w:b w:val="false"/>
          <w:color w:val="000000"/>
          <w:sz w:val="24"/>
        </w:rPr>
        <w:t>. Except as otherwise provided as contemplated by Section 3.01 with respect to any series of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will not consolidate with any other Person or permit a merger of any other Person into the Company or permit the Company to be merged into any other Person, or sell, convey, transfer or lease all or substantially all its assets to another Person, unless (i) either the Company shall be the continuing entity or the successor, transferee or lessee entity (if other than the Company) shall expressly assume, by indenture supplemental hereto, executed and delivered by such Person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the Securities to be performed or observed by the Company and (ii) immediately after such consolidation, merger, sale, conveyance, transfer or lease, the Company or the successor, transferee or lessee entity (if other than the Company) would not be in Default in the performance of any covenant or condition of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 Upon any consolidation with, or merger into, any other Person, or any sale, conveyance, transfer or lease of all or substantially all of the assets of the Company in accordance with this Section 6.06, the successor entity formed by such consolidation or into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6.06) shall be discharged from all obligations and covenants under this Indenture and the Securities and may thereupon be dissolved and liquidated.</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6.07. </w:t>
      </w:r>
      <w:r>
        <w:rPr>
          <w:rFonts w:ascii="Times New Roman" w:hAnsi="Times New Roman"/>
          <w:b w:val="false"/>
          <w:color w:val="000000"/>
          <w:sz w:val="24"/>
          <w:u w:val="single"/>
        </w:rPr>
        <w:t>Compliance Certificate</w:t>
      </w:r>
      <w:r>
        <w:rPr>
          <w:rFonts w:ascii="Times New Roman" w:hAnsi="Times New Roman"/>
          <w:b w:val="false"/>
          <w:color w:val="000000"/>
          <w:sz w:val="24"/>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17.01 of this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6.08. </w:t>
      </w:r>
      <w:r>
        <w:rPr>
          <w:rFonts w:ascii="Times New Roman" w:hAnsi="Times New Roman"/>
          <w:b w:val="false"/>
          <w:color w:val="000000"/>
          <w:sz w:val="24"/>
          <w:u w:val="single"/>
        </w:rPr>
        <w:t>Conditional Waiver by Holders of Securities</w:t>
      </w:r>
      <w:r>
        <w:rPr>
          <w:rFonts w:ascii="Times New Roman" w:hAnsi="Times New Roman"/>
          <w:b w:val="false"/>
          <w:color w:val="000000"/>
          <w:sz w:val="24"/>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6.09. </w:t>
      </w:r>
      <w:r>
        <w:rPr>
          <w:rFonts w:ascii="Times New Roman" w:hAnsi="Times New Roman"/>
          <w:b w:val="false"/>
          <w:color w:val="000000"/>
          <w:sz w:val="24"/>
          <w:u w:val="single"/>
        </w:rPr>
        <w:t>Statement by Officers as to Default</w:t>
      </w:r>
      <w:r>
        <w:rPr>
          <w:rFonts w:ascii="Times New Roman" w:hAnsi="Times New Roman"/>
          <w:b w:val="false"/>
          <w:color w:val="000000"/>
          <w:sz w:val="24"/>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VII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REMEDIES OF TRUSTEE AND SECURITYHOLDERS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7.01. </w:t>
      </w:r>
      <w:r>
        <w:rPr>
          <w:rFonts w:ascii="Times New Roman" w:hAnsi="Times New Roman"/>
          <w:b w:val="false"/>
          <w:color w:val="000000"/>
          <w:sz w:val="24"/>
          <w:u w:val="single"/>
        </w:rPr>
        <w:t>Events of Default</w:t>
      </w:r>
      <w:r>
        <w:rPr>
          <w:rFonts w:ascii="Times New Roman" w:hAnsi="Times New Roman"/>
          <w:b w:val="false"/>
          <w:color w:val="000000"/>
          <w:sz w:val="24"/>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failure of the Company to pay any installment of interest on any Security of such series when and as the same shall become payable, which failure shall have continued unremedied for a period of 30 days;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failure of the Company to pay a sinking fund installment, if any, when and as the same shall become payable by the terms of a Security of such series, which failure shall have continued unremedied for a period of 30 days;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failure of the Company, subject to the provisions of Section 6.08,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(f) 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the occurrence of any other Event of Default with respect to Securities of such series as provided in Section 3.01;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provided, however, that no event described in clause (d) or (other than with respect to a payment default) (g) above shall constitute an Event of Default hereunder until the Trustee or the Holders of 25% or more in aggregate principal amount of the Securities of such series then Outstanding, notify the Company (and the Trustee in case of notice by the Holders) of the Default, specifying the Default, requiring the Company to remedy the same and stating that such notice is a “Notice of Default”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7.02. </w:t>
      </w:r>
      <w:r>
        <w:rPr>
          <w:rFonts w:ascii="Times New Roman" w:hAnsi="Times New Roman"/>
          <w:b w:val="false"/>
          <w:color w:val="000000"/>
          <w:sz w:val="24"/>
          <w:u w:val="single"/>
        </w:rPr>
        <w:t>Acceleration; Rescission and Annulment</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on the Securities of such series shall terminate.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such series then Outstanding, by written notice to the Company and the Trustee, may rescind and annul such acceleration if: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Company has paid or deposited with the Trustee or Paying Agent a sum in the Currency in which such Securities are denominated (subject to the last paragraph of Section 7.01 and except as otherwise provided pursuant to Section 3.01) sufficient to pay: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all amounts owing the Trustee and any predecessor trustee hereunder under Section 11.01(a) (provided, however, that all sums payable under this clause (A) shall be paid in U.S. Dollars);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all accrued and unpaid interest, if any, upon all the Securities of such series with interest thereon to the extent that interest thereon shall be legally enforceable, on any overdue installment of interest at the rate borne by or prescribed in such Securities;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every other Default and Event of Default with respect to Securities of that series, other than the non-payment of the principal of Securities of that series which have become due solely by such acceleration, have been cured or waived as provided in Section 7.06.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No such rescission shall affect any subsequent default or impair any right consequent thereon.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 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thereof as shall be due and payable as a result of such acceleration, together with interest, if any, thereon and all other amounts owing thereunder, shall constitute payment in full of such Original Issue Discount Securities.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7.03. </w:t>
      </w:r>
      <w:r>
        <w:rPr>
          <w:rFonts w:ascii="Times New Roman" w:hAnsi="Times New Roman"/>
          <w:b w:val="false"/>
          <w:color w:val="000000"/>
          <w:sz w:val="24"/>
          <w:u w:val="single"/>
        </w:rPr>
        <w:t>Other Remedies</w:t>
      </w:r>
      <w:r>
        <w:rPr>
          <w:rFonts w:ascii="Times New Roman" w:hAnsi="Times New Roman"/>
          <w:b w:val="false"/>
          <w:color w:val="000000"/>
          <w:sz w:val="24"/>
        </w:rPr>
        <w:t>.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7.04. </w:t>
      </w:r>
      <w:r>
        <w:rPr>
          <w:rFonts w:ascii="Times New Roman" w:hAnsi="Times New Roman"/>
          <w:b w:val="false"/>
          <w:color w:val="000000"/>
          <w:sz w:val="24"/>
          <w:u w:val="single"/>
        </w:rPr>
        <w:t>Trustee as Attorney-in-Fact</w:t>
      </w:r>
      <w:r>
        <w:rPr>
          <w:rFonts w:ascii="Times New Roman" w:hAnsi="Times New Roman"/>
          <w:b w:val="false"/>
          <w:color w:val="000000"/>
          <w:sz w:val="24"/>
        </w:rPr>
        <w:t>.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or the Guarantor shall be in Default in respect of its Guarantees), in its own name and as trustee of an express trust or otherwise as it shall deem advisable, in any receivership, insolvency, liquidation, bankruptcy, reorganization or other judicial proceeding relative to the Company, any Guarantor or any other obligor upon the Securities or Guarantees, as the case may be,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or the Guarantees, as the case may be, allowed in any such proceeding and to collect and receive any moneys or other property payable or deliverable on any such claim, and</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or the Guarantees, as the case may be; and any receiver, assignee, trustee, custodian or debtor in any such proceeding is hereby authorized, and each and every taker or Holder of the Securities and the Guarantees,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or Guarantees, any plan of reorganization or readjustment affecting the Securities or Guarantees or the rights of any Holder thereof, or to authorize or empower the Trustee to vote in respect of the claim of any Holder of any Securities or Guarantees in any such proceeding.</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7.05. </w:t>
      </w:r>
      <w:r>
        <w:rPr>
          <w:rFonts w:ascii="Times New Roman" w:hAnsi="Times New Roman"/>
          <w:b w:val="false"/>
          <w:color w:val="000000"/>
          <w:sz w:val="24"/>
          <w:u w:val="single"/>
        </w:rPr>
        <w:t>Priorities</w:t>
      </w:r>
      <w:r>
        <w:rPr>
          <w:rFonts w:ascii="Times New Roman" w:hAnsi="Times New Roman"/>
          <w:b w:val="false"/>
          <w:color w:val="000000"/>
          <w:sz w:val="24"/>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First: To the payment of all amounts due to the Trustee and any predecessor trustee hereunder under Section 11.01(a).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surplus then remaining shall be paid to the Company or as directed by a court of competent jurisdiction.</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7.06. </w:t>
      </w:r>
      <w:r>
        <w:rPr>
          <w:rFonts w:ascii="Times New Roman" w:hAnsi="Times New Roman"/>
          <w:b w:val="false"/>
          <w:color w:val="000000"/>
          <w:sz w:val="24"/>
          <w:u w:val="single"/>
        </w:rPr>
        <w:t>Control by Securityholders; Waiver of Past Defaults</w:t>
      </w:r>
      <w:r>
        <w:rPr>
          <w:rFonts w:ascii="Times New Roman" w:hAnsi="Times New Roman"/>
          <w:b w:val="false"/>
          <w:color w:val="000000"/>
          <w:sz w:val="24"/>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and except as to a</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7.07. </w:t>
      </w:r>
      <w:r>
        <w:rPr>
          <w:rFonts w:ascii="Times New Roman" w:hAnsi="Times New Roman"/>
          <w:b w:val="false"/>
          <w:color w:val="000000"/>
          <w:sz w:val="24"/>
          <w:u w:val="single"/>
        </w:rPr>
        <w:t>Limitation on Suits</w:t>
      </w:r>
      <w:r>
        <w:rPr>
          <w:rFonts w:ascii="Times New Roman" w:hAnsi="Times New Roman"/>
          <w:b w:val="false"/>
          <w:color w:val="000000"/>
          <w:sz w:val="24"/>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7.08. </w:t>
      </w:r>
      <w:r>
        <w:rPr>
          <w:rFonts w:ascii="Times New Roman" w:hAnsi="Times New Roman"/>
          <w:b w:val="false"/>
          <w:color w:val="000000"/>
          <w:sz w:val="24"/>
          <w:u w:val="single"/>
        </w:rPr>
        <w:t>Undertaking for Costs</w:t>
      </w:r>
      <w:r>
        <w:rPr>
          <w:rFonts w:ascii="Times New Roman" w:hAnsi="Times New Roman"/>
          <w:b w:val="false"/>
          <w:color w:val="000000"/>
          <w:sz w:val="24"/>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7.09. </w:t>
      </w:r>
      <w:r>
        <w:rPr>
          <w:rFonts w:ascii="Times New Roman" w:hAnsi="Times New Roman"/>
          <w:b w:val="false"/>
          <w:color w:val="000000"/>
          <w:sz w:val="24"/>
          <w:u w:val="single"/>
        </w:rPr>
        <w:t>Remedies Cumulative</w:t>
      </w:r>
      <w:r>
        <w:rPr>
          <w:rFonts w:ascii="Times New Roman" w:hAnsi="Times New Roman"/>
          <w:b w:val="false"/>
          <w:color w:val="000000"/>
          <w:sz w:val="24"/>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VIII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CONCERNING THE SECURITYHOLDERS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8.01. </w:t>
      </w:r>
      <w:r>
        <w:rPr>
          <w:rFonts w:ascii="Times New Roman" w:hAnsi="Times New Roman"/>
          <w:b w:val="false"/>
          <w:color w:val="000000"/>
          <w:sz w:val="24"/>
          <w:u w:val="single"/>
        </w:rPr>
        <w:t>Evidence of Action of Securityholders</w:t>
      </w:r>
      <w:r>
        <w:rPr>
          <w:rFonts w:ascii="Times New Roman" w:hAnsi="Times New Roman"/>
          <w:b w:val="false"/>
          <w:color w:val="000000"/>
          <w:sz w:val="24"/>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8.02. </w:t>
      </w:r>
      <w:r>
        <w:rPr>
          <w:rFonts w:ascii="Times New Roman" w:hAnsi="Times New Roman"/>
          <w:b w:val="false"/>
          <w:color w:val="000000"/>
          <w:sz w:val="24"/>
          <w:u w:val="single"/>
        </w:rPr>
        <w:t>Proof of Execution or Holding of Securities</w:t>
      </w:r>
      <w:r>
        <w:rPr>
          <w:rFonts w:ascii="Times New Roman" w:hAnsi="Times New Roman"/>
          <w:b w:val="false"/>
          <w:color w:val="000000"/>
          <w:sz w:val="24"/>
        </w:rPr>
        <w:t>. Proof of the execution of any instrument by a Securityholder or his, her or its agent or proxy and proof of the holding by any Person of any of the Securities shall be sufficient if made in the following manner: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ownership of Securities of any series shall be proved by the Register of such Securities or by a certificate of the Registrar for such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record of any Holders’ meeting shall be proved in the manner provided in Section 9.06.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Trustee may require such additional proof of any matter referred to in this Section 8.02 as it shall deem appropriate or necessary, so long as the request is a reasonable one.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8.03. </w:t>
      </w:r>
      <w:r>
        <w:rPr>
          <w:rFonts w:ascii="Times New Roman" w:hAnsi="Times New Roman"/>
          <w:b w:val="false"/>
          <w:color w:val="000000"/>
          <w:sz w:val="24"/>
          <w:u w:val="single"/>
        </w:rPr>
        <w:t>Persons Deemed Owners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the Trustee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 None of the Company, the Trustee, or any of their agents will have any responsibility or liability for any aspect of the records relating to or payments made on account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beneficial ownership interests in a Global Security or for maintaining, supervising or reviewing any records relating to such beneficial ownership interests.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8.04. </w:t>
      </w:r>
      <w:r>
        <w:rPr>
          <w:rFonts w:ascii="Times New Roman" w:hAnsi="Times New Roman"/>
          <w:b w:val="false"/>
          <w:color w:val="000000"/>
          <w:sz w:val="24"/>
          <w:u w:val="single"/>
        </w:rPr>
        <w:t>Effect of Consents</w:t>
      </w:r>
      <w:r>
        <w:rPr>
          <w:rFonts w:ascii="Times New Roman" w:hAnsi="Times New Roman"/>
          <w:b w:val="false"/>
          <w:color w:val="000000"/>
          <w:sz w:val="24"/>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IX</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SECURITYHOLDERS’ MEETINGS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9.01. </w:t>
      </w:r>
      <w:r>
        <w:rPr>
          <w:rFonts w:ascii="Times New Roman" w:hAnsi="Times New Roman"/>
          <w:b w:val="false"/>
          <w:color w:val="000000"/>
          <w:sz w:val="24"/>
          <w:u w:val="single"/>
        </w:rPr>
        <w:t>Purposes of Meetings</w:t>
      </w:r>
      <w:r>
        <w:rPr>
          <w:rFonts w:ascii="Times New Roman" w:hAnsi="Times New Roman"/>
          <w:b w:val="false"/>
          <w:color w:val="000000"/>
          <w:sz w:val="24"/>
        </w:rPr>
        <w:t>. A meeting of Securityholders of any or all series may be called at any time and from time to time pursuant to the provisions of this Article IX for any of the following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to remove the Trustee and nominate a successor trustee pursuant to the provisions of Article XI;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consent to the execution of an Indenture or of indentures supplemental hereto pursuant to the provisions of Section 14.02;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to take any other action authorized to be taken by or on behalf of the Holders of any specified aggregate principal amount of the Securities of any one or more or all series, as the case may be, under any other provision of this Indenture or under applicable law.</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9.02. </w:t>
      </w:r>
      <w:r>
        <w:rPr>
          <w:rFonts w:ascii="Times New Roman" w:hAnsi="Times New Roman"/>
          <w:b w:val="false"/>
          <w:color w:val="000000"/>
          <w:sz w:val="24"/>
          <w:u w:val="single"/>
        </w:rPr>
        <w:t>Call of Meetings by Trustee</w:t>
      </w:r>
      <w:r>
        <w:rPr>
          <w:rFonts w:ascii="Times New Roman" w:hAnsi="Times New Roman"/>
          <w:b w:val="false"/>
          <w:color w:val="000000"/>
          <w:sz w:val="24"/>
        </w:rPr>
        <w:t>. The Trustee may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at the expense of the Company to Holders of Securities of such series at their addresses as they shall appear on the Register of the Company. Such notice shall be mailed not less than 20 nor more than 90 days prior to the date fixed for the meeting.</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9.03. </w:t>
      </w:r>
      <w:r>
        <w:rPr>
          <w:rFonts w:ascii="Times New Roman" w:hAnsi="Times New Roman"/>
          <w:b w:val="false"/>
          <w:color w:val="000000"/>
          <w:sz w:val="24"/>
          <w:u w:val="single"/>
        </w:rPr>
        <w:t>Call of Meetings by Company or Securityholders</w:t>
      </w:r>
      <w:r>
        <w:rPr>
          <w:rFonts w:ascii="Times New Roman" w:hAnsi="Times New Roman"/>
          <w:b w:val="false"/>
          <w:color w:val="000000"/>
          <w:sz w:val="24"/>
        </w:rPr>
        <w:t>. In case at any time the Company or the Holders of at least 10% in aggregate principal amount of the Securities of any or all series then Outstanding affected by the action proposed to be taken, shall have requested the Trustee to call a meeting of Securityholders of such series, by written request setting forth in reasonable detail the action proposed to be taken at the meeting, and the Trustee shall not have mailed the notice of such meeting within 20 days after receipt of such request,</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then the Company or such Securityholders may determine the time and the place for such meeting and may call such meeting to take any action authorized in Section 9.01, by mailing notice thereof as provided in Section 9.02.</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9.04.</w:t>
      </w:r>
      <w:r>
        <w:rPr>
          <w:rFonts w:ascii="Times New Roman" w:hAnsi="Times New Roman"/>
          <w:color w:val="000000"/>
          <w:sz w:val="20"/>
        </w:rPr>
        <w:t xml:space="preserve"> </w:t>
      </w:r>
      <w:r>
        <w:rPr>
          <w:rFonts w:ascii="Times New Roman" w:hAnsi="Times New Roman"/>
          <w:b w:val="false"/>
          <w:color w:val="000000"/>
          <w:sz w:val="24"/>
          <w:u w:val="single"/>
        </w:rPr>
        <w:t>Qualifications for Voting</w:t>
      </w:r>
      <w:r>
        <w:rPr>
          <w:rFonts w:ascii="Times New Roman" w:hAnsi="Times New Roman"/>
          <w:b w:val="false"/>
          <w:color w:val="000000"/>
          <w:sz w:val="24"/>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a majority in aggregate principal amount of the Outstanding Securities of all series so affected by such vote, consent, waiver or other action voting as a single class.</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9.05.</w:t>
      </w:r>
      <w:r>
        <w:rPr>
          <w:rFonts w:ascii="Times New Roman" w:hAnsi="Times New Roman"/>
          <w:color w:val="000000"/>
          <w:sz w:val="20"/>
        </w:rPr>
        <w:t xml:space="preserve"> </w:t>
      </w:r>
      <w:r>
        <w:rPr>
          <w:rFonts w:ascii="Times New Roman" w:hAnsi="Times New Roman"/>
          <w:b w:val="false"/>
          <w:color w:val="000000"/>
          <w:sz w:val="24"/>
          <w:u w:val="single"/>
        </w:rPr>
        <w:t>Regulation of Meetings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(c) At any meeting of Securityholders of a series, each Securityholder of such series or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9.06.</w:t>
      </w:r>
      <w:r>
        <w:rPr>
          <w:rFonts w:ascii="Times New Roman" w:hAnsi="Times New Roman"/>
          <w:color w:val="000000"/>
          <w:sz w:val="20"/>
        </w:rPr>
        <w:t xml:space="preserve"> </w:t>
      </w:r>
      <w:r>
        <w:rPr>
          <w:rFonts w:ascii="Times New Roman" w:hAnsi="Times New Roman"/>
          <w:b w:val="false"/>
          <w:color w:val="000000"/>
          <w:sz w:val="24"/>
          <w:u w:val="single"/>
        </w:rPr>
        <w:t>Voting</w:t>
      </w:r>
      <w:r>
        <w:rPr>
          <w:rFonts w:ascii="Times New Roman" w:hAnsi="Times New Roman"/>
          <w:b w:val="false"/>
          <w:color w:val="000000"/>
          <w:sz w:val="24"/>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record so signed and verified shall be conclusive evidence of the matters therein stated.</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9.07.</w:t>
      </w:r>
      <w:r>
        <w:rPr>
          <w:rFonts w:ascii="Times New Roman" w:hAnsi="Times New Roman"/>
          <w:color w:val="000000"/>
          <w:sz w:val="20"/>
        </w:rPr>
        <w:t xml:space="preserve"> </w:t>
      </w:r>
      <w:r>
        <w:rPr>
          <w:rFonts w:ascii="Times New Roman" w:hAnsi="Times New Roman"/>
          <w:b w:val="false"/>
          <w:color w:val="000000"/>
          <w:sz w:val="24"/>
          <w:u w:val="single"/>
        </w:rPr>
        <w:t>No Delay of Rights by Meeting</w:t>
      </w:r>
      <w:r>
        <w:rPr>
          <w:rFonts w:ascii="Times New Roman" w:hAnsi="Times New Roman"/>
          <w:b w:val="false"/>
          <w:color w:val="000000"/>
          <w:sz w:val="24"/>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w:t>
      </w:r>
    </w:p>
    <w:p>
      <w:pPr>
        <w:pStyle w:val="Heading1"/>
        <w:bidi w:val="0"/>
        <w:jc w:val="center"/>
        <w:rPr>
          <w:rFonts w:ascii="Times New Roman" w:hAnsi="Times New Roman"/>
          <w:b w:val="false"/>
          <w:color w:val="000000"/>
          <w:sz w:val="24"/>
          <w:u w:val="single"/>
        </w:rPr>
      </w:pPr>
      <w:r>
        <w:rPr>
          <w:rFonts w:ascii="Times New Roman" w:hAnsi="Times New Roman"/>
          <w:b w:val="false"/>
          <w:color w:val="000000"/>
          <w:sz w:val="24"/>
          <w:u w:val="single"/>
        </w:rPr>
        <w:t>REPORTS BY THE COMPANY AND THE TRUSTEE AND</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SECURITYHOLDERS’ LISTS</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10.01.</w:t>
      </w:r>
      <w:r>
        <w:rPr>
          <w:rFonts w:ascii="Times New Roman" w:hAnsi="Times New Roman"/>
          <w:color w:val="000000"/>
          <w:sz w:val="20"/>
        </w:rPr>
        <w:t xml:space="preserve"> </w:t>
      </w:r>
      <w:r>
        <w:rPr>
          <w:rFonts w:ascii="Times New Roman" w:hAnsi="Times New Roman"/>
          <w:b w:val="false"/>
          <w:color w:val="000000"/>
          <w:sz w:val="24"/>
          <w:u w:val="single"/>
        </w:rPr>
        <w:t>Reports by Trustee</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 The Trustee shall, at the time of the transmission to the Holders of Securities of any report pursuant to the provisions of this Section 10.01, file a copy of such report with each stock exchange upon which the Securities are listed, if any, and also with the SEC in respect of 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Security listed and registered on a national securities exchange, if any. The Company agrees to notify the Trustee when, as and if the Securities become listed on any stock exchange or any delisting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Company will reimburse the Trustee for all expenses incurred in the preparation and transmission of any report pursuant to the provisions of this Section 10.01 and of Section 10.02.</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10.02.</w:t>
      </w:r>
      <w:r>
        <w:rPr>
          <w:rFonts w:ascii="Times New Roman" w:hAnsi="Times New Roman"/>
          <w:color w:val="000000"/>
          <w:sz w:val="20"/>
        </w:rPr>
        <w:t xml:space="preserve"> </w:t>
      </w:r>
      <w:r>
        <w:rPr>
          <w:rFonts w:ascii="Times New Roman" w:hAnsi="Times New Roman"/>
          <w:b w:val="false"/>
          <w:color w:val="000000"/>
          <w:sz w:val="24"/>
          <w:u w:val="single"/>
        </w:rPr>
        <w:t>Reports by the Company</w:t>
      </w:r>
      <w:r>
        <w:rPr>
          <w:rFonts w:ascii="Times New Roman" w:hAnsi="Times New Roman"/>
          <w:b w:val="false"/>
          <w:color w:val="000000"/>
          <w:sz w:val="24"/>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responsibility for the filing, timeliness or content of such reports.</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10.03.</w:t>
      </w:r>
      <w:r>
        <w:rPr>
          <w:rFonts w:ascii="Times New Roman" w:hAnsi="Times New Roman"/>
          <w:color w:val="000000"/>
          <w:sz w:val="20"/>
        </w:rPr>
        <w:t xml:space="preserve"> </w:t>
      </w:r>
      <w:r>
        <w:rPr>
          <w:rFonts w:ascii="Times New Roman" w:hAnsi="Times New Roman"/>
          <w:b w:val="false"/>
          <w:color w:val="000000"/>
          <w:sz w:val="24"/>
          <w:u w:val="single"/>
        </w:rPr>
        <w:t>Securityholders’ Lists</w:t>
      </w:r>
      <w:r>
        <w:rPr>
          <w:rFonts w:ascii="Times New Roman" w:hAnsi="Times New Roman"/>
          <w:b w:val="false"/>
          <w:color w:val="000000"/>
          <w:sz w:val="24"/>
        </w:rPr>
        <w:t>. The Company covenants and agrees that it will furnish or cause to be furnished to the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at such other times as the Trustee may request in writing, within 30 days after receipt by the Company of any such request, a list of similar form and content as of a date not more than 15 days prior to the time such list is furnished;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provided, however, that so long as the Trustee shall be the Registrar, such lists shall not be required to be furnished.</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CONCERNING THE TRUSTEE</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11.01.</w:t>
      </w:r>
      <w:r>
        <w:rPr>
          <w:rFonts w:ascii="Times New Roman" w:hAnsi="Times New Roman"/>
          <w:color w:val="000000"/>
          <w:sz w:val="20"/>
        </w:rPr>
        <w:t xml:space="preserve"> </w:t>
      </w:r>
      <w:r>
        <w:rPr>
          <w:rFonts w:ascii="Times New Roman" w:hAnsi="Times New Roman"/>
          <w:b w:val="false"/>
          <w:color w:val="000000"/>
          <w:sz w:val="24"/>
          <w:u w:val="single"/>
        </w:rPr>
        <w:t>Rights of Trustees; Compensation and Indemnity</w:t>
      </w:r>
      <w:r>
        <w:rPr>
          <w:rFonts w:ascii="Times New Roman" w:hAnsi="Times New Roman"/>
          <w:b w:val="false"/>
          <w:color w:val="000000"/>
          <w:sz w:val="24"/>
        </w:rPr>
        <w:t>. The Trustee accepts the trusts created by this Indenture upon the terms and conditions hereof, including the following, to all of which the parties hereto and the Holders from time to time of the Securities agree: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(including the reasonable expenses and disbursements of its agents and counsel), except any such expense, disbursement or advance as may be attributable to its own negligence or willful misconduct as determined by a court of competent jurisdiction in a final non-appealable order.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also agrees to indemnify each of the Trustee, any predecessor Trustee hereunder, and their respective officers, agents, directors and employees for, and to hold them harmless against, any and all loss, liability, damage, claim, or expense (including the reasonable expenses and disbursements of its agents and counsel) incurred without their own negligence or willful misconduct as determined by a court of competent jurisdiction in a final non-appealable order, arising out of or in connection with the acceptance or administration of the trust or trusts hereunder and the performance of their duties (including in any agent capacity in which they act), as well as the costs and expenses (including the reasonable expenses and disbursements of its agents and counsel) of enforcing this Indenture (including this Section 11.01) and the Securities and of defending themselves against any claim or liability in connection with the exercise or performance of any of their powers or duties hereunder, except those attributable to their negligence or willful misconduct as determined by a court of competent jurisdiction in a final non-appealable order.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security for the performance of the obligations of the Company under this Section 11.01(a), the Trustee shall have a lien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Before the Trustee acts or refrains from acting, it shall be entitled to receive an Officer’s Certificate and an Opinion of Counsel. The Trustee shall not be liable for any action it takes or omits to take in good faith in reliance on the Officer’s Certificate or Opinion of Counsel.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The Trustee may consult with counsel of its selection, and advice of counsel shall be full and complete authorization and protection in respect of any action taken or suffered by the Trustee hereunder in good faith and in accordance with such advice of counsel.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reasonably satisfactory to it against the costs, expenses and liabilities which may be incurred by it therein or thereby.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 The Trustee shall not be liable for any action taken or omitted by it in good faith and believed by it to be authorized or within its discretion or within the rights or powers conferred upon it by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 The Trustee shall not be deemed to have knowledge or notice of any Default or Event of Default unless a Responsible Officer of the Trustee has actual knowledge thereof or unless the Company or Holders of not less than 25% of the Outstanding Securities notify the Trustee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 The rights, privileges, protections, immunities and benefits given to the Trustee, including, without limitation, its right to be indemnified, are extended to, and shall be enforceable by, the Trustee in each of its capacities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(q) The Trustee shall not be required to give any bond or surety in respect of the performance of its powers and duties hereunder.</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11.02.</w:t>
      </w:r>
      <w:r>
        <w:rPr>
          <w:rFonts w:ascii="Times New Roman" w:hAnsi="Times New Roman"/>
          <w:color w:val="000000"/>
          <w:sz w:val="20"/>
        </w:rPr>
        <w:t xml:space="preserve"> </w:t>
      </w:r>
      <w:r>
        <w:rPr>
          <w:rFonts w:ascii="Times New Roman" w:hAnsi="Times New Roman"/>
          <w:b w:val="false"/>
          <w:color w:val="000000"/>
          <w:sz w:val="24"/>
          <w:u w:val="single"/>
        </w:rPr>
        <w:t>Duties of Trustee</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unless and until an Event of Default specified in Section 7.01 with respect to the Securities of any series shall have happened and is continuing,</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Whether or not therein expressly so provided, every provision of this Indenture relating to the conduct or affecting the liability of or affording protection to the Trustee shall be subject to the provisions of this Section 11.02.</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11.03.</w:t>
      </w:r>
      <w:r>
        <w:rPr>
          <w:rFonts w:ascii="Times New Roman" w:hAnsi="Times New Roman"/>
          <w:color w:val="000000"/>
          <w:sz w:val="20"/>
        </w:rPr>
        <w:t xml:space="preserve"> </w:t>
      </w:r>
      <w:r>
        <w:rPr>
          <w:rFonts w:ascii="Times New Roman" w:hAnsi="Times New Roman"/>
          <w:b w:val="false"/>
          <w:color w:val="000000"/>
          <w:sz w:val="24"/>
          <w:u w:val="single"/>
        </w:rPr>
        <w:t>Notice of Defaults</w:t>
      </w:r>
      <w:r>
        <w:rPr>
          <w:rFonts w:ascii="Times New Roman" w:hAnsi="Times New Roman"/>
          <w:b w:val="false"/>
          <w:color w:val="000000"/>
          <w:sz w:val="24"/>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11.04.</w:t>
      </w:r>
      <w:r>
        <w:rPr>
          <w:rFonts w:ascii="Times New Roman" w:hAnsi="Times New Roman"/>
          <w:color w:val="000000"/>
          <w:sz w:val="20"/>
        </w:rPr>
        <w:t xml:space="preserve"> </w:t>
      </w:r>
      <w:r>
        <w:rPr>
          <w:rFonts w:ascii="Times New Roman" w:hAnsi="Times New Roman"/>
          <w:b w:val="false"/>
          <w:color w:val="000000"/>
          <w:sz w:val="24"/>
          <w:u w:val="single"/>
        </w:rPr>
        <w:t>Eligibility; Disqualification</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Trustee shall comply with TIA Section 310(b); provided, however,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11.05.</w:t>
      </w:r>
      <w:r>
        <w:rPr>
          <w:rFonts w:ascii="Times New Roman" w:hAnsi="Times New Roman"/>
          <w:color w:val="000000"/>
          <w:sz w:val="20"/>
        </w:rPr>
        <w:t xml:space="preserve"> </w:t>
      </w:r>
      <w:r>
        <w:rPr>
          <w:rFonts w:ascii="Times New Roman" w:hAnsi="Times New Roman"/>
          <w:b w:val="false"/>
          <w:color w:val="000000"/>
          <w:sz w:val="24"/>
          <w:u w:val="single"/>
        </w:rPr>
        <w:t>Resignation and Notice; Removal</w:t>
      </w:r>
      <w:r>
        <w:rPr>
          <w:rFonts w:ascii="Times New Roman" w:hAnsi="Times New Roman"/>
          <w:b w:val="false"/>
          <w:color w:val="000000"/>
          <w:sz w:val="24"/>
        </w:rPr>
        <w:t>. The Trustee, or any successor to it hereafter appointed, may at any time resign and be discharged of the trusts hereby created with respect to any or all series of Securities by giving to the Company notice in writing. Such resignation shall take effect upon the appointment of a successor Trustee and the acceptance of such appointment by such successor Trustee. Any Trustee hereunder may be removed with respect to any or all series of Securities at any time by the filing at least 30 days prior to such removal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at any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(2) the Trustee shall cease to be eligible under Section 11.04 and shall fail to resign after written request therefor by the Company or by any Holder who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has been a bona fide Holder of a Security for at least six months (or, if it is a shorter period, the period since the initial issuance of the Securities of such series),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11.06.</w:t>
      </w:r>
      <w:r>
        <w:rPr>
          <w:rFonts w:ascii="Times New Roman" w:hAnsi="Times New Roman"/>
          <w:color w:val="000000"/>
          <w:sz w:val="20"/>
        </w:rPr>
        <w:t xml:space="preserve"> </w:t>
      </w:r>
      <w:r>
        <w:rPr>
          <w:rFonts w:ascii="Times New Roman" w:hAnsi="Times New Roman"/>
          <w:b w:val="false"/>
          <w:color w:val="000000"/>
          <w:sz w:val="24"/>
          <w:u w:val="single"/>
        </w:rPr>
        <w:t>Successor Trustee by Appointment</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any Trustee with respect to the Securities of any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11.07.</w:t>
      </w:r>
      <w:r>
        <w:rPr>
          <w:rFonts w:ascii="Times New Roman" w:hAnsi="Times New Roman"/>
          <w:color w:val="000000"/>
          <w:sz w:val="20"/>
        </w:rPr>
        <w:t xml:space="preserve"> </w:t>
      </w:r>
      <w:r>
        <w:rPr>
          <w:rFonts w:ascii="Times New Roman" w:hAnsi="Times New Roman"/>
          <w:b w:val="false"/>
          <w:color w:val="000000"/>
          <w:sz w:val="24"/>
          <w:u w:val="single"/>
        </w:rPr>
        <w:t>Successor Trustee by Merger</w:t>
      </w:r>
      <w:r>
        <w:rPr>
          <w:rFonts w:ascii="Times New Roman" w:hAnsi="Times New Roman"/>
          <w:b w:val="false"/>
          <w:color w:val="000000"/>
          <w:sz w:val="24"/>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11.08.</w:t>
      </w:r>
      <w:r>
        <w:rPr>
          <w:rFonts w:ascii="Times New Roman" w:hAnsi="Times New Roman"/>
          <w:color w:val="000000"/>
          <w:sz w:val="20"/>
        </w:rPr>
        <w:t xml:space="preserve"> </w:t>
      </w:r>
      <w:r>
        <w:rPr>
          <w:rFonts w:ascii="Times New Roman" w:hAnsi="Times New Roman"/>
          <w:b w:val="false"/>
          <w:color w:val="000000"/>
          <w:sz w:val="24"/>
          <w:u w:val="single"/>
        </w:rPr>
        <w:t>Right to Rely on Officer’s Certificate</w:t>
      </w:r>
      <w:r>
        <w:rPr>
          <w:rFonts w:ascii="Times New Roman" w:hAnsi="Times New Roman"/>
          <w:b w:val="false"/>
          <w:color w:val="000000"/>
          <w:sz w:val="24"/>
        </w:rPr>
        <w:t>.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11.09.</w:t>
      </w:r>
      <w:r>
        <w:rPr>
          <w:rFonts w:ascii="Times New Roman" w:hAnsi="Times New Roman"/>
          <w:color w:val="000000"/>
          <w:sz w:val="20"/>
        </w:rPr>
        <w:t xml:space="preserve"> </w:t>
      </w:r>
      <w:r>
        <w:rPr>
          <w:rFonts w:ascii="Times New Roman" w:hAnsi="Times New Roman"/>
          <w:b w:val="false"/>
          <w:color w:val="000000"/>
          <w:sz w:val="24"/>
          <w:u w:val="single"/>
        </w:rPr>
        <w:t>Appointment of Authenticating Agent</w:t>
      </w:r>
      <w:r>
        <w:rPr>
          <w:rFonts w:ascii="Times New Roman" w:hAnsi="Times New Roman"/>
          <w:b w:val="false"/>
          <w:color w:val="000000"/>
          <w:sz w:val="24"/>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agrees to pay to each Authenticating Agent from time to time reasonable compensation for its services under this Section 11.09.</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11.10.</w:t>
      </w:r>
      <w:r>
        <w:rPr>
          <w:rFonts w:ascii="Times New Roman" w:hAnsi="Times New Roman"/>
          <w:color w:val="000000"/>
          <w:sz w:val="20"/>
        </w:rPr>
        <w:t xml:space="preserve"> </w:t>
      </w:r>
      <w:r>
        <w:rPr>
          <w:rFonts w:ascii="Times New Roman" w:hAnsi="Times New Roman"/>
          <w:b w:val="false"/>
          <w:color w:val="000000"/>
          <w:sz w:val="24"/>
          <w:u w:val="single"/>
        </w:rPr>
        <w:t>Communications by Securityholders with Other Securityholders</w:t>
      </w:r>
      <w:r>
        <w:rPr>
          <w:rFonts w:ascii="Times New Roman" w:hAnsi="Times New Roman"/>
          <w:b w:val="false"/>
          <w:color w:val="000000"/>
          <w:sz w:val="24"/>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XII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SATISFACTION AND DISCHARGE; DEFEASANCE</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12.01.</w:t>
      </w:r>
      <w:r>
        <w:rPr>
          <w:rFonts w:ascii="Times New Roman" w:hAnsi="Times New Roman"/>
          <w:color w:val="000000"/>
          <w:sz w:val="20"/>
        </w:rPr>
        <w:t xml:space="preserve"> </w:t>
      </w:r>
      <w:r>
        <w:rPr>
          <w:rFonts w:ascii="Times New Roman" w:hAnsi="Times New Roman"/>
          <w:b w:val="false"/>
          <w:color w:val="000000"/>
          <w:sz w:val="24"/>
          <w:u w:val="single"/>
        </w:rPr>
        <w:t>Applicability of Article</w:t>
      </w:r>
      <w:r>
        <w:rPr>
          <w:rFonts w:ascii="Times New Roman" w:hAnsi="Times New Roman"/>
          <w:b w:val="false"/>
          <w:color w:val="000000"/>
          <w:sz w:val="24"/>
        </w:rPr>
        <w:t>. The provisions of this Article shall be applicable to the Securities of all series issued pursuant to this Indenture, except as otherwise specified pursuant to Section 3.01.</w:t>
      </w:r>
    </w:p>
    <w:p>
      <w:pPr>
        <w:pStyle w:val="Heading2"/>
        <w:bidi w:val="0"/>
        <w:spacing w:before="0" w:after="240"/>
        <w:jc w:val="left"/>
        <w:rPr>
          <w:rFonts w:ascii="Times New Roman" w:hAnsi="Times New Roman"/>
          <w:sz w:val="20"/>
        </w:rPr>
      </w:pPr>
      <w:r>
        <w:rPr>
          <w:rFonts w:ascii="Times New Roman" w:hAnsi="Times New Roman"/>
          <w:b w:val="false"/>
          <w:color w:val="000000"/>
          <w:sz w:val="24"/>
        </w:rPr>
        <w:t>SECTION 12.02.</w:t>
      </w:r>
      <w:r>
        <w:rPr>
          <w:rFonts w:ascii="Times New Roman" w:hAnsi="Times New Roman"/>
          <w:color w:val="000000"/>
          <w:sz w:val="20"/>
        </w:rPr>
        <w:t xml:space="preserve"> </w:t>
      </w:r>
      <w:r>
        <w:rPr>
          <w:rFonts w:ascii="Times New Roman" w:hAnsi="Times New Roman"/>
          <w:b w:val="false"/>
          <w:color w:val="000000"/>
          <w:sz w:val="24"/>
          <w:u w:val="single"/>
        </w:rPr>
        <w:t>Satisfaction and Discharge of Indenture</w:t>
      </w:r>
      <w:r>
        <w:rPr>
          <w:rFonts w:ascii="Times New Roman" w:hAnsi="Times New Roman"/>
          <w:b w:val="false"/>
          <w:color w:val="000000"/>
          <w:sz w:val="24"/>
        </w:rPr>
        <w:t>. This Indenture, with respect to the Securities of any series (if all series issued under this Indenture are not to be affected) and any related Guarantees,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expense of the Company, shall execute proper instruments acknowledging satisfaction and discharge of this Indenture with respect to the Securities of such series and any related Guarantees, when,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either: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 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thereafter repaid to the Company or discharged from such trust, as provided in Section 6.03(e)) have been delivered to the Trustee for cancellation;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all Securities of such series not theretofore delivered to the Trustee for cancellation,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have become due and payable,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will become due and payable at their Stated Maturity within one year,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 and the Company, in the case of (A), (B) or (C) above, has irrevocably deposited or caused to be deposited with the Trustee funds in trust for the purpose an 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Company has paid or caused to be paid all other sums payable hereunder by the Company with respect to the Securities of such series;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satisfaction and discharge of this Indenture with respect to the Securities of any series, the obligations of the Company to the Trustee under Section 11.01, the provisions of Sections 3.04, 3.05, 3.06, 3.07, 3.10, 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12.03. </w:t>
      </w:r>
      <w:r>
        <w:rPr>
          <w:rFonts w:ascii="Times New Roman" w:hAnsi="Times New Roman"/>
          <w:b w:val="false"/>
          <w:color w:val="000000"/>
          <w:sz w:val="24"/>
          <w:u w:val="single"/>
        </w:rPr>
        <w:t>Defeasance and Covenant Defeasance upon Deposit of Moneys or U.S. Government Obligations</w:t>
      </w:r>
      <w:r>
        <w:rPr>
          <w:rFonts w:ascii="Times New Roman" w:hAnsi="Times New Roman"/>
          <w:b w:val="false"/>
          <w:color w:val="000000"/>
          <w:sz w:val="24"/>
        </w:rPr>
        <w:t>. At the Company’s option, either (x) the Company shall be deemed to have been Discharged (as defined below) from its obligations with respect to Securities of any series and the Guarantor shall be deemed to have been Discharged from its obligations with respect to any Guarantees of such series, in each case on the first day after the</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applicable conditions set forth below have been satisfied or (y) the Company and the Guarantors shall cease to be under any obligation to comply with any term, provision or condition set forth in Section 6.04, Section 6.05, Section 6.06, Section 6.07, Section 10.02 and Article XVI with respect to Securities of any series and the related Guarantees, as applicable, (and, unless otherwise specified pursuant to Section 3.01, any other restrictive covenant added for the benefit of such series pursuant to Section 3.01) (“</w:t>
      </w:r>
      <w:r>
        <w:rPr>
          <w:rFonts w:ascii="Times New Roman" w:hAnsi="Times New Roman"/>
          <w:b w:val="false"/>
          <w:color w:val="000000"/>
          <w:sz w:val="24"/>
          <w:u w:val="single"/>
        </w:rPr>
        <w:t>covenant defeasance</w:t>
      </w:r>
      <w:r>
        <w:rPr>
          <w:rFonts w:ascii="Times New Roman" w:hAnsi="Times New Roman"/>
          <w:color w:val="000000"/>
          <w:sz w:val="24"/>
        </w:rPr>
        <w:t>”</w:t>
      </w:r>
      <w:r>
        <w:rPr>
          <w:rFonts w:ascii="Times New Roman" w:hAnsi="Times New Roman"/>
          <w:b w:val="false"/>
          <w:color w:val="000000"/>
          <w:sz w:val="24"/>
        </w:rPr>
        <w:t>) upon the satisfaction of the applicable conditions set forth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no Default with respect to the Securities of such series shall have occurred and be continuing on the date of such deposit (other than a Default resulting from the borrowing of funds and the grant of any related liens to be applied to such deposit);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the Company shall have delivered to the Trustee an Officer’s Certificate and an Opinion of Counsel, each stating that all conditions precedent to such action under this Indenture have been complied with.</w:t>
      </w:r>
    </w:p>
    <w:p>
      <w:pPr>
        <w:pStyle w:val="TextBody"/>
        <w:bidi w:val="0"/>
        <w:spacing w:before="0" w:after="240"/>
        <w:jc w:val="left"/>
        <w:rPr>
          <w:color w:val="000000"/>
        </w:rPr>
      </w:pPr>
      <w:r>
        <w:rPr>
          <w:color w:val="000000"/>
        </w:rPr>
        <w:t>“</w:t>
      </w:r>
      <w:r>
        <w:rPr>
          <w:rFonts w:ascii="Times New Roman" w:hAnsi="Times New Roman"/>
          <w:color w:val="000000"/>
          <w:sz w:val="24"/>
        </w:rPr>
        <w:t>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and immunities of the Trustee hereunder. “U.S.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12.04. </w:t>
      </w:r>
      <w:r>
        <w:rPr>
          <w:rFonts w:ascii="Times New Roman" w:hAnsi="Times New Roman"/>
          <w:b w:val="false"/>
          <w:color w:val="000000"/>
          <w:sz w:val="24"/>
          <w:u w:val="single"/>
        </w:rPr>
        <w:t>Repayment to Company</w:t>
      </w:r>
      <w:r>
        <w:rPr>
          <w:rFonts w:ascii="Times New Roman" w:hAnsi="Times New Roman"/>
          <w:b w:val="false"/>
          <w:color w:val="000000"/>
          <w:sz w:val="24"/>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12.05. </w:t>
      </w:r>
      <w:r>
        <w:rPr>
          <w:rFonts w:ascii="Times New Roman" w:hAnsi="Times New Roman"/>
          <w:b w:val="false"/>
          <w:color w:val="000000"/>
          <w:sz w:val="24"/>
          <w:u w:val="single"/>
        </w:rPr>
        <w:t>Indemnity for U.S. Government Obligations</w:t>
      </w:r>
      <w:r>
        <w:rPr>
          <w:rFonts w:ascii="Times New Roman" w:hAnsi="Times New Roman"/>
          <w:b w:val="false"/>
          <w:color w:val="000000"/>
          <w:sz w:val="24"/>
        </w:rPr>
        <w:t>. The Company shall pay and shall indemnify the Trustee against any tax, fee or other charge imposed on or assessed against the deposited U.S. Government Obligations or the principal or interest received on such U.S. Government Obligations.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12.06. </w:t>
      </w:r>
      <w:r>
        <w:rPr>
          <w:rFonts w:ascii="Times New Roman" w:hAnsi="Times New Roman"/>
          <w:b w:val="false"/>
          <w:color w:val="000000"/>
          <w:sz w:val="24"/>
          <w:u w:val="single"/>
        </w:rPr>
        <w:t>Deposits to Be Held in Escrow</w:t>
      </w:r>
      <w:r>
        <w:rPr>
          <w:rFonts w:ascii="Times New Roman" w:hAnsi="Times New Roman"/>
          <w:b w:val="false"/>
          <w:color w:val="000000"/>
          <w:sz w:val="24"/>
        </w:rPr>
        <w:t>. Any deposits with the Trustee referred to in Section 12.03 above shall be irrevocable (except to the extent provided in Sections 12.04 and 6.03(e)) and shall be made under the terms of an escrow trust agreement.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12.07. </w:t>
      </w:r>
      <w:r>
        <w:rPr>
          <w:rFonts w:ascii="Times New Roman" w:hAnsi="Times New Roman"/>
          <w:b w:val="false"/>
          <w:color w:val="000000"/>
          <w:sz w:val="24"/>
          <w:u w:val="single"/>
        </w:rPr>
        <w:t>Application of Trust Money</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Neither the Trustee nor any other Paying Agent shall be required to pay interest on any moneys deposited pursuant to the provisions of this Indenture, except such as it shall agree with the Company in writing to pay thereon.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12.08. </w:t>
      </w:r>
      <w:r>
        <w:rPr>
          <w:rFonts w:ascii="Times New Roman" w:hAnsi="Times New Roman"/>
          <w:b w:val="false"/>
          <w:color w:val="000000"/>
          <w:sz w:val="24"/>
          <w:u w:val="single"/>
        </w:rPr>
        <w:t>Deposits of Non-U.S. Currencies</w:t>
      </w:r>
      <w:r>
        <w:rPr>
          <w:rFonts w:ascii="Times New Roman" w:hAnsi="Times New Roman"/>
          <w:b w:val="false"/>
          <w:color w:val="000000"/>
          <w:sz w:val="24"/>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XIII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IMMUNITY OF CERTAIN PERSONS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13.01. </w:t>
      </w:r>
      <w:r>
        <w:rPr>
          <w:rFonts w:ascii="Times New Roman" w:hAnsi="Times New Roman"/>
          <w:b w:val="false"/>
          <w:color w:val="000000"/>
          <w:sz w:val="24"/>
          <w:u w:val="single"/>
        </w:rPr>
        <w:t>No Personal Liability</w:t>
      </w:r>
      <w:r>
        <w:rPr>
          <w:rFonts w:ascii="Times New Roman" w:hAnsi="Times New Roman"/>
          <w:b w:val="false"/>
          <w:color w:val="000000"/>
          <w:sz w:val="24"/>
        </w:rPr>
        <w:t>. No recourse shall be had for the payment of the principal of, or the premium, if any, or interest on, any Security or any Guarantee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or any Guarantor or of any successor corporation, either directly or through such Guarantor or successor corporation, in each case whether by virtue of any constitutional</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provision, statute or rule of law, or by the enforcement of any assessment or penalty or otherwise; it being expressly agreed and understood that this Indenture, the Securities and any Guarantees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or any Guarantor or of any successor corporation, either directly or through such Guarantor or successor corporation, because of the incurring of the Indebtedness hereby authorized or under or by reason of any of the obligations, covenants, promises or agreements contained in this Indenture or in any of the Securities or the Guarantees,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XIV</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SUPPLEMENTAL INDENTURES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14.01. </w:t>
      </w:r>
      <w:r>
        <w:rPr>
          <w:rFonts w:ascii="Times New Roman" w:hAnsi="Times New Roman"/>
          <w:b w:val="false"/>
          <w:color w:val="000000"/>
          <w:sz w:val="24"/>
          <w:u w:val="single"/>
        </w:rPr>
        <w:t>Without Consent of Securityholders</w:t>
      </w:r>
      <w:r>
        <w:rPr>
          <w:rFonts w:ascii="Times New Roman" w:hAnsi="Times New Roman"/>
          <w:b w:val="false"/>
          <w:color w:val="000000"/>
          <w:sz w:val="24"/>
        </w:rPr>
        <w:t>. Except as otherwise provided as contemplated by Section 3.01 with respect to any series of Securities, the Company, the Guarantors, if any, and the Trustee, at any time and from time to time, may enter into one or more indentures supplemental hereto, in form satisfactory to the Trustee, for any one or more of or all the following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add to the covenants and agreements of the Company or any Guarantor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 or any Guarantor;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 to change or eliminate any of the provisions of this Indenture; provided that any such change or elimination shall become effective only when there is no Outstanding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Security of any series created prior to the execution of such supplemental indenture that is entitled to the benefit of such provision and as to which such supplemental indenture would apply;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to evidence the succession of another entity to any Guarantor, or successive successions, and the assumption by such successor of the covenants and obligations of such Guarantor contained in the Guarantees of one or more series and in this Indenture or any supplemental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to secure any series of Securities or any of the Guarantees;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to evidence any changes to this Indenture pursuant to Sections 11.05, 11.06 or 11.07 hereof as permitted by the terms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 to add to or change or eliminate any provision of this Indenture as shall be necessary or desirable in accordance with any amendments to the Trust Indenture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 to add Guarantors or co-obligors with respect to any series of Securities or to release Guarantors from their Guarantees of Securities in accordance with the terms hereof and of the applicable series of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 to make any change in any series of Securities that does not adversely affect in any material respect the rights of the Holders of such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 to provide for uncertificated securities in addition to certificated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 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 to prohibit the authentication and delivery of additional series of Securities;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(q) 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supplemental indenture authorized by the provisions of this Section 14.01 may be executed by the Company and the Trustee without the consent of the Holders of any of the Securities at the time Outstanding.</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14.02. </w:t>
      </w:r>
      <w:r>
        <w:rPr>
          <w:rFonts w:ascii="Times New Roman" w:hAnsi="Times New Roman"/>
          <w:b w:val="false"/>
          <w:color w:val="000000"/>
          <w:sz w:val="24"/>
          <w:u w:val="single"/>
        </w:rPr>
        <w:t>With Consent of Securityholders; Limitations</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With the consent of the Holders (evidenced as provided in Article VIII) of a majority in aggregate principal amount of the Outstanding Securities of all series so affected by such supplemental indenture voting as a single class, the Company, the Guarantors, if 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extend the Stated Maturity of the principal of, or any installment of interest on, any Security, or reduce the principal amount or redemption price thereof or the interest thereon or any premium payable thereon,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(ii) modify any of the provisions of this Section, Section 7.06 or Section 6.08, except to increase any such percentage or to provide that certain other provisions of this Indenture cannot be modified or waived without the consent of the Holder of each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Outstanding Security affected thereby; provided, however, that this clause shall not be deemed to require the consent of any Holder with respect to changes in the references to “the Trustee” and concomitant changes in this Section and Section 6.08, or the deletion of this proviso, in accordance with the requirements of Sections 11.06 and 14.01(f);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modify, without the written consent of the Trustee, the rights, duties or immunities of the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It shall not be necessary for the consent of the Securityholders under this Section 14.02 to approve the particular form of any proposed supplemental indenture, but it shall be sufficient if such consent shall approve the substance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14.03. </w:t>
      </w:r>
      <w:r>
        <w:rPr>
          <w:rFonts w:ascii="Times New Roman" w:hAnsi="Times New Roman"/>
          <w:b w:val="false"/>
          <w:color w:val="000000"/>
          <w:sz w:val="24"/>
          <w:u w:val="single"/>
        </w:rPr>
        <w:t>Trustee Protected</w:t>
      </w:r>
      <w:r>
        <w:rPr>
          <w:rFonts w:ascii="Times New Roman" w:hAnsi="Times New Roman"/>
          <w:b w:val="false"/>
          <w:color w:val="000000"/>
          <w:sz w:val="24"/>
        </w:rPr>
        <w:t>. Upon the request of the Company, accompanied by the Officer’s Certificate and Opinion of Counsel required by Section 17.01 and stating that any supplemental indenture executed pursuant to this Article is authorized or permitted by this Indenture and that such supplemental indenture is the valid and binding obligation of the Company, enforceable against the Company in accordance with its terms,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14.04. </w:t>
      </w:r>
      <w:r>
        <w:rPr>
          <w:rFonts w:ascii="Times New Roman" w:hAnsi="Times New Roman"/>
          <w:b w:val="false"/>
          <w:color w:val="000000"/>
          <w:sz w:val="24"/>
          <w:u w:val="single"/>
        </w:rPr>
        <w:t>Effect of Execution of Supplemental Indenture</w:t>
      </w:r>
      <w:r>
        <w:rPr>
          <w:rFonts w:ascii="Times New Roman" w:hAnsi="Times New Roman"/>
          <w:b w:val="false"/>
          <w:color w:val="000000"/>
          <w:sz w:val="24"/>
        </w:rPr>
        <w:t>. Upon the execution of any supplemental indenture pursuant to the provisions of this Article XIV, this</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14.05. </w:t>
      </w:r>
      <w:r>
        <w:rPr>
          <w:rFonts w:ascii="Times New Roman" w:hAnsi="Times New Roman"/>
          <w:b w:val="false"/>
          <w:color w:val="000000"/>
          <w:sz w:val="24"/>
          <w:u w:val="single"/>
        </w:rPr>
        <w:t>Notation on or Exchange of Securities</w:t>
      </w:r>
      <w:r>
        <w:rPr>
          <w:rFonts w:ascii="Times New Roman" w:hAnsi="Times New Roman"/>
          <w:b w:val="false"/>
          <w:color w:val="000000"/>
          <w:sz w:val="24"/>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14.06. </w:t>
      </w:r>
      <w:r>
        <w:rPr>
          <w:rFonts w:ascii="Times New Roman" w:hAnsi="Times New Roman"/>
          <w:b w:val="false"/>
          <w:color w:val="000000"/>
          <w:sz w:val="24"/>
          <w:u w:val="single"/>
        </w:rPr>
        <w:t>Conformity with TIA</w:t>
      </w:r>
      <w:r>
        <w:rPr>
          <w:rFonts w:ascii="Times New Roman" w:hAnsi="Times New Roman"/>
          <w:b w:val="false"/>
          <w:color w:val="000000"/>
          <w:sz w:val="24"/>
        </w:rPr>
        <w:t>. Every supplemental indenture executed pursuant to the provisions of this Article shall conform to the requirements of the Trust Indenture Act as then in effect.</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XV</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SUBORDINATION OF SECURITIES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15.01. </w:t>
      </w:r>
      <w:r>
        <w:rPr>
          <w:rFonts w:ascii="Times New Roman" w:hAnsi="Times New Roman"/>
          <w:b w:val="false"/>
          <w:color w:val="000000"/>
          <w:sz w:val="24"/>
          <w:u w:val="single"/>
        </w:rPr>
        <w:t>Agreement to Subordinate</w:t>
      </w:r>
      <w:r>
        <w:rPr>
          <w:rFonts w:ascii="Times New Roman" w:hAnsi="Times New Roman"/>
          <w:b w:val="false"/>
          <w:color w:val="000000"/>
          <w:sz w:val="24"/>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and any guarantees of,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3.01(t), this Article XV shall have no effect upon the Securities.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15.02. </w:t>
      </w:r>
      <w:r>
        <w:rPr>
          <w:rFonts w:ascii="Times New Roman" w:hAnsi="Times New Roman"/>
          <w:b w:val="false"/>
          <w:color w:val="000000"/>
          <w:sz w:val="24"/>
          <w:u w:val="single"/>
        </w:rPr>
        <w:t>Distribution on Dissolution, Liquidation and Reorganization; Subrogation of Securities</w:t>
      </w:r>
      <w:r>
        <w:rPr>
          <w:rFonts w:ascii="Times New Roman" w:hAnsi="Times New Roman"/>
          <w:b w:val="false"/>
          <w:color w:val="000000"/>
          <w:sz w:val="24"/>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 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15.03. </w:t>
      </w:r>
      <w:r>
        <w:rPr>
          <w:rFonts w:ascii="Times New Roman" w:hAnsi="Times New Roman"/>
          <w:b w:val="false"/>
          <w:color w:val="000000"/>
          <w:sz w:val="24"/>
          <w:u w:val="single"/>
        </w:rPr>
        <w:t>No Payment on Securities in Event of Default on Senior Indebtedness</w:t>
      </w:r>
      <w:r>
        <w:rPr>
          <w:rFonts w:ascii="Times New Roman" w:hAnsi="Times New Roman"/>
          <w:b w:val="false"/>
          <w:color w:val="000000"/>
          <w:sz w:val="24"/>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15.04. </w:t>
      </w:r>
      <w:r>
        <w:rPr>
          <w:rFonts w:ascii="Times New Roman" w:hAnsi="Times New Roman"/>
          <w:b w:val="false"/>
          <w:color w:val="000000"/>
          <w:sz w:val="24"/>
          <w:u w:val="single"/>
        </w:rPr>
        <w:t>Payments on Securities Permitted</w:t>
      </w:r>
      <w:r>
        <w:rPr>
          <w:rFonts w:ascii="Times New Roman" w:hAnsi="Times New Roman"/>
          <w:b w:val="false"/>
          <w:color w:val="000000"/>
          <w:sz w:val="24"/>
        </w:rPr>
        <w:t>. 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15.05. </w:t>
      </w:r>
      <w:r>
        <w:rPr>
          <w:rFonts w:ascii="Times New Roman" w:hAnsi="Times New Roman"/>
          <w:b w:val="false"/>
          <w:color w:val="000000"/>
          <w:sz w:val="24"/>
          <w:u w:val="single"/>
        </w:rPr>
        <w:t>Authorization of Securityholders to Trustee to Effect Subordination</w:t>
      </w:r>
      <w:r>
        <w:rPr>
          <w:rFonts w:ascii="Times New Roman" w:hAnsi="Times New Roman"/>
          <w:b w:val="false"/>
          <w:color w:val="000000"/>
          <w:sz w:val="24"/>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15.06. </w:t>
      </w:r>
      <w:r>
        <w:rPr>
          <w:rFonts w:ascii="Times New Roman" w:hAnsi="Times New Roman"/>
          <w:b w:val="false"/>
          <w:color w:val="000000"/>
          <w:sz w:val="24"/>
          <w:u w:val="single"/>
        </w:rPr>
        <w:t>Notices to Trustee</w:t>
      </w:r>
      <w:r>
        <w:rPr>
          <w:rFonts w:ascii="Times New Roman" w:hAnsi="Times New Roman"/>
          <w:b w:val="false"/>
          <w:color w:val="000000"/>
          <w:sz w:val="24"/>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15.07. </w:t>
      </w:r>
      <w:r>
        <w:rPr>
          <w:rFonts w:ascii="Times New Roman" w:hAnsi="Times New Roman"/>
          <w:b w:val="false"/>
          <w:color w:val="000000"/>
          <w:sz w:val="24"/>
          <w:u w:val="single"/>
        </w:rPr>
        <w:t>Trustee as Holder of Senior Indebtedness</w:t>
      </w:r>
      <w:r>
        <w:rPr>
          <w:rFonts w:ascii="Times New Roman" w:hAnsi="Times New Roman"/>
          <w:b w:val="false"/>
          <w:color w:val="000000"/>
          <w:sz w:val="24"/>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15.08. </w:t>
      </w:r>
      <w:r>
        <w:rPr>
          <w:rFonts w:ascii="Times New Roman" w:hAnsi="Times New Roman"/>
          <w:b w:val="false"/>
          <w:color w:val="000000"/>
          <w:sz w:val="24"/>
          <w:u w:val="single"/>
        </w:rPr>
        <w:t>Modifications of Terms of Senior Indebtedness</w:t>
      </w:r>
      <w:r>
        <w:rPr>
          <w:rFonts w:ascii="Times New Roman" w:hAnsi="Times New Roman"/>
          <w:b w:val="false"/>
          <w:color w:val="000000"/>
          <w:sz w:val="24"/>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15.09. </w:t>
      </w:r>
      <w:r>
        <w:rPr>
          <w:rFonts w:ascii="Times New Roman" w:hAnsi="Times New Roman"/>
          <w:b w:val="false"/>
          <w:color w:val="000000"/>
          <w:sz w:val="24"/>
          <w:u w:val="single"/>
        </w:rPr>
        <w:t>Reliance on Judicial Order or Certificate of Liquidating Agent</w:t>
      </w:r>
      <w:r>
        <w:rPr>
          <w:rFonts w:ascii="Times New Roman" w:hAnsi="Times New Roman"/>
          <w:b w:val="false"/>
          <w:color w:val="000000"/>
          <w:sz w:val="24"/>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15.10. </w:t>
      </w:r>
      <w:r>
        <w:rPr>
          <w:rFonts w:ascii="Times New Roman" w:hAnsi="Times New Roman"/>
          <w:b w:val="false"/>
          <w:color w:val="000000"/>
          <w:sz w:val="24"/>
          <w:u w:val="single"/>
        </w:rPr>
        <w:t>Satisfaction and Discharge; Defeasance and Covenant Defeasance</w:t>
      </w:r>
      <w:r>
        <w:rPr>
          <w:rFonts w:ascii="Times New Roman" w:hAnsi="Times New Roman"/>
          <w:b w:val="false"/>
          <w:color w:val="000000"/>
          <w:sz w:val="24"/>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15.11. </w:t>
      </w:r>
      <w:r>
        <w:rPr>
          <w:rFonts w:ascii="Times New Roman" w:hAnsi="Times New Roman"/>
          <w:b w:val="false"/>
          <w:color w:val="000000"/>
          <w:sz w:val="24"/>
          <w:u w:val="single"/>
        </w:rPr>
        <w:t>Trustee Not Fiduciary for Holders of Senior Indebtedness</w:t>
      </w:r>
      <w:r>
        <w:rPr>
          <w:rFonts w:ascii="Times New Roman" w:hAnsi="Times New Roman"/>
          <w:b w:val="false"/>
          <w:color w:val="000000"/>
          <w:sz w:val="24"/>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XVI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GUARANTEE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16.01. </w:t>
      </w:r>
      <w:r>
        <w:rPr>
          <w:rFonts w:ascii="Times New Roman" w:hAnsi="Times New Roman"/>
          <w:b w:val="false"/>
          <w:color w:val="000000"/>
          <w:sz w:val="24"/>
          <w:u w:val="single"/>
        </w:rPr>
        <w:t>Unconditional Guarantee</w:t>
      </w:r>
      <w:r>
        <w:rPr>
          <w:rFonts w:ascii="Times New Roman" w:hAnsi="Times New Roman"/>
          <w:b w:val="false"/>
          <w:color w:val="000000"/>
          <w:sz w:val="24"/>
        </w:rPr>
        <w:t>. (a) In the event a series of Securities is designated as guaranteed pursuant to Section 3.01, and except as otherwise provided in a Company Order or in one or more indentures supplemental hereto, one or more designated guarantors (each, a “Guarantor”), for itself, its successors and assigns, covenants and agrees that each and all of the Securities of such series shall be entitled to the benefit of a joint and several and full and unconditional guarantee (the “Guarantee”) by the Guarantors (to the extent and in the manner hereinafter set forth) for the benefit of each Holder of such series of Securities, irrespective of the validity and enforceability of this Indenture or such series of Securities or the obligations of the Company or any other Guarantor to the Holders or the Trustee hereunder or thereunder, that: (i) the principal of and interest on such series of Securities will be duly and promptly paid in full when due, whether at Stated Maturity, upon redemption, by acceleration or otherwise, and interest on the overdue principal and (to the extent permitted by law) interest, if any, on such series of Securities and all other obligations of the Company or the Guarantor to the Holders of such series of Securities or the Trustee hereunder or thereunder (including fees, expenses or others) (collectively, the “Obligations”) will be promptly paid in full or performed, all in accordance with the terms thereof; and (ii) in case of any extension of time of payment or renewal of any Obligations (with or without notice to such Guarantor), the same will be promptly paid in full when due or performed in accordance with the terms of the extension or renewal, whether at Stated Maturity, by acceleration or otherwise. If the Company shall fail to pay when due, or to perform, any Obligations, for whatever reason, each Guarantor shall be jointly and severally obligated to pay in cash, or to perform or cause the performance of, the same promptly. An Event of Default under this Indenture or the Securities of such series shall entitle the Holders of the Securities of such series to accelerate the Obligations of the Guarantor hereunder in the same manner and to the same extent as the Obligations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Each Guarantor shall further agree that, as between it, on the one hand, and the Holders of the Securities and the Trustee, on the other hand, (i) the Stated Maturity of the Obligations guaranteed hereby may be accelerated as provided in Article VII for the purposes of the Guarantee, notwithstanding any stay, injunction or other prohibition preventing such acceleration in respect of the Obligations and (ii) in the event of any acceleration of such Obligations as provided in Article VII, such Obligations (whether or not due and payable) shall forthwith become due and payable by the Guarantor for the purposes of its Guarantee.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16.02. </w:t>
      </w:r>
      <w:r>
        <w:rPr>
          <w:rFonts w:ascii="Times New Roman" w:hAnsi="Times New Roman"/>
          <w:b w:val="false"/>
          <w:color w:val="000000"/>
          <w:sz w:val="24"/>
          <w:u w:val="single"/>
        </w:rPr>
        <w:t>Waiver</w:t>
      </w:r>
      <w:r>
        <w:rPr>
          <w:rFonts w:ascii="Times New Roman" w:hAnsi="Times New Roman"/>
          <w:b w:val="false"/>
          <w:color w:val="000000"/>
          <w:sz w:val="24"/>
        </w:rPr>
        <w:t>. To the fullest extent permitted by applicable law, each Guarantor shall waive diligence, presentment, demand of, payment, filing of claims with a court in the event of insolvency or bankruptcy of the Company, any right to require a proceeding first against the Company, protest, notice and all demands whatsoever and covenants that the Guarantee will not be discharged except by complete performance of the Obligations contained in such series of Securities and this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16.03. </w:t>
      </w:r>
      <w:r>
        <w:rPr>
          <w:rFonts w:ascii="Times New Roman" w:hAnsi="Times New Roman"/>
          <w:b w:val="false"/>
          <w:color w:val="000000"/>
          <w:sz w:val="24"/>
          <w:u w:val="single"/>
        </w:rPr>
        <w:t>Guarantee of Payment</w:t>
      </w:r>
      <w:r>
        <w:rPr>
          <w:rFonts w:ascii="Times New Roman" w:hAnsi="Times New Roman"/>
          <w:b w:val="false"/>
          <w:color w:val="000000"/>
          <w:sz w:val="24"/>
        </w:rPr>
        <w:t>. Each Guarantor shall further agree that its Guarantee constitutes a guarantee of payment, performance and compliance when due and not</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a guarantee of collection, and waive any right to require that any resort be had by the Trustee or any Holder of the Securities to the security, if any, held for payment of the Obligations.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16.04. </w:t>
      </w:r>
      <w:r>
        <w:rPr>
          <w:rFonts w:ascii="Times New Roman" w:hAnsi="Times New Roman"/>
          <w:b w:val="false"/>
          <w:color w:val="000000"/>
          <w:sz w:val="24"/>
          <w:u w:val="single"/>
        </w:rPr>
        <w:t>Continued Effectiveness</w:t>
      </w:r>
      <w:r>
        <w:rPr>
          <w:rFonts w:ascii="Times New Roman" w:hAnsi="Times New Roman"/>
          <w:b w:val="false"/>
          <w:color w:val="000000"/>
          <w:sz w:val="24"/>
        </w:rPr>
        <w:t>. Subject to Section 16.08 of this Indenture, each of the Guarantors shall further agree that its Guarantee hereunder shall continue to be effective or be reinstated, as the case may be, if at any time payment, or any part thereof, of principal of or interest on any Obligation is rescinded or must otherwise be restored by the Trustee or any Holder of the Securities upon the bankruptcy or reorganization of the Company or otherwise.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16.05. </w:t>
      </w:r>
      <w:r>
        <w:rPr>
          <w:rFonts w:ascii="Times New Roman" w:hAnsi="Times New Roman"/>
          <w:b w:val="false"/>
          <w:color w:val="000000"/>
          <w:sz w:val="24"/>
          <w:u w:val="single"/>
        </w:rPr>
        <w:t>Subrogation</w:t>
      </w:r>
      <w:r>
        <w:rPr>
          <w:rFonts w:ascii="Times New Roman" w:hAnsi="Times New Roman"/>
          <w:b w:val="false"/>
          <w:color w:val="000000"/>
          <w:sz w:val="24"/>
        </w:rPr>
        <w:t>. In furtherance of the foregoing and not in limitation of any other right of any of the Guarantors by virtue hereof, upon the failure of the Company to pay any Obligation when and as the same shall become due, whether at the Stated Maturity, by acceleration, after notice of prepayment or otherwise, each of the Guarantors shall promise to and will, upon receipt of written demand by the Trustee or any Holder of the Securities (subject to the terms hereof), forthwith pay, or cause to be paid, to the Holders in cash the amount of such unpaid Obligations, and thereupon the Holders shall assign (except to the extent that such assignment would cause the subrogated claim of a Guarantor against the Company to be a preference under Section 547 of the Bankruptcy Code) the amount of the Obligations owed to it and paid by such Guarantor pursuant to the Guarantee to such Guarantor, such assignment to be pro rata to the extent the Obligations in question were discharged by such Guarantor, or make such other disposition thereof as such Guarantor shall direct (all without recourse to the Holders, and without any representation or warranty by the Holders). If (i) a Guarantor shall make payment to the Holders of all or any part of the Obligations and (ii) all the Obligations and all other amounts payable under this Indenture shall be paid in full, the Trustee will, at such Guarantor’s request, execute and deliver to such Guarantor appropriate documents, without recourse and without representation or warranty, necessary to evidence the transfer by subrogation to such Guarantor of an interest in the Obligations resulting from such payment by such Guarantor.</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16.06. </w:t>
      </w:r>
      <w:r>
        <w:rPr>
          <w:rFonts w:ascii="Times New Roman" w:hAnsi="Times New Roman"/>
          <w:b w:val="false"/>
          <w:color w:val="000000"/>
          <w:sz w:val="24"/>
          <w:u w:val="single"/>
        </w:rPr>
        <w:t>Information</w:t>
      </w:r>
      <w:r>
        <w:rPr>
          <w:rFonts w:ascii="Times New Roman" w:hAnsi="Times New Roman"/>
          <w:b w:val="false"/>
          <w:color w:val="000000"/>
          <w:sz w:val="24"/>
        </w:rPr>
        <w:t>. Each of the Guarantors shall assume all responsibility for being and keeping itself informed of the Company’s financial condition and assets, and of all other circumstances bearing upon the risk of nonpayment of the Obligations and the nature, scope and extent of the risks that each of the Guarantors assumes and incurs hereunder, and agrees that the Trustee and the Holders of the Securities will have no duty to advise the Guarantors of information known to it or any of them regarding such circumstances or risks.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16.07. </w:t>
      </w:r>
      <w:r>
        <w:rPr>
          <w:rFonts w:ascii="Times New Roman" w:hAnsi="Times New Roman"/>
          <w:b w:val="false"/>
          <w:color w:val="000000"/>
          <w:sz w:val="24"/>
          <w:u w:val="single"/>
        </w:rPr>
        <w:t>Subordination</w:t>
      </w:r>
      <w:r>
        <w:rPr>
          <w:rFonts w:ascii="Times New Roman" w:hAnsi="Times New Roman"/>
          <w:b w:val="false"/>
          <w:color w:val="000000"/>
          <w:sz w:val="24"/>
        </w:rPr>
        <w:t>. Upon payment by any Guarantor of any sums to the Holders, as provided in this Article XVI, all rights of such Guarantor against the Company, arising as a result thereof by way of right of subrogation or otherwise, shall in all respects be subordinated and junior in right of payment to the prior payment in full in cash of all the Obligations to the Trustee; provided, however, that any right of subrogation that such Guarantor may have pursuant to this Indenture is subject to Section 16.05 hereof.</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16.08. </w:t>
      </w:r>
      <w:r>
        <w:rPr>
          <w:rFonts w:ascii="Times New Roman" w:hAnsi="Times New Roman"/>
          <w:b w:val="false"/>
          <w:color w:val="000000"/>
          <w:sz w:val="24"/>
          <w:u w:val="single"/>
        </w:rPr>
        <w:t>Release of Guarantor</w:t>
      </w:r>
      <w:r>
        <w:rPr>
          <w:rFonts w:ascii="Times New Roman" w:hAnsi="Times New Roman"/>
          <w:b w:val="false"/>
          <w:color w:val="000000"/>
          <w:sz w:val="24"/>
        </w:rPr>
        <w:t>. (a) A Guarantor shall, upon the occurrence of any of the events set forth in a Company Order and Officer’s Certificate or in one</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or more indentures supplemental hereto in accordance with Section 3.01(m), be automatically and unconditionally released and discharged from all obligations under this Indenture and its Guarantee without any action required on the part of the Trustee or any 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 Guarantor shall be automatically and unconditionally released and discharged from all obligations under this Indenture and its Guarantee without any action required on the part of the Trustee or any Holder upon any covenant defeasance or legal defeasance with respect to the Securities of such series, or upon the satisfaction and discharge of this Indenture, in each case subject to reinstatement pursuant to Article XII of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Trustee shall deliver an appropriate instrument evidencing the release and discharge of such Guarantor from all of its obligations under this Indenture and its Guarantee upon receipt of a written request of the Company accompanied by an Officer’s Certificate and an Opinion of Counsel stating that all conditions precedent relating to such release and discharge have been complied with upon which the Trustee shall be entitled to fully rely.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16.09. </w:t>
      </w:r>
      <w:r>
        <w:rPr>
          <w:rFonts w:ascii="Times New Roman" w:hAnsi="Times New Roman"/>
          <w:b w:val="false"/>
          <w:color w:val="000000"/>
          <w:sz w:val="24"/>
          <w:u w:val="single"/>
        </w:rPr>
        <w:t>Limitation of Guarantor’s Liability</w:t>
      </w:r>
      <w:r>
        <w:rPr>
          <w:rFonts w:ascii="Times New Roman" w:hAnsi="Times New Roman"/>
          <w:b w:val="false"/>
          <w:color w:val="000000"/>
          <w:sz w:val="24"/>
        </w:rPr>
        <w:t>. (a) Each Guarantor, and by its acceptance each Holder, shall confirm that it is the intention of all such parties that the Guarantee by such Guarantor not constitute a fraudulent transfer or conveyance for purposes of the Bankruptcy Code, the Uniform Fraudulent Conveyance Act, the Uniform Fraudulent Transfer Act or any similar federal or state law to the extent applicable to any Guarantor. To effectuate the foregoing intention, the Holders and such Guarantor hereby irrevocably agree that the obligations of such Guarantor under this Indenture and its Guarantee shall be limited to the maximum aggregate amount which, after giving effect to all other contingent and fixed liabilities of such Guarantor, and after giving effect to any collections from or payments made by or on behalf of any other Guarantor in respect of the obligations of such Guarantor under its Guarantee or pursuant to its contribution obligations under this Indenture, will result in the obligations of such Guarantor under its Guarantee not constituting such fraudulent transfer or conveyance.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Guarantee shall be expressly limited so that in no event, including the acceleration of the Stated Maturity of the Securities of such series, shall the amount paid or agreed to be paid in respect of interest on such Securities (or fees or other amounts deemed payment for the use of funds) exceed the maximum permissible amount under applicable law, as in effect on the Issue Date and as subsequently amended or modified to allow a greater amount of interest (or fees or other amounts deemed payment for the use of funds) to be paid under the Guarantee. If for any reason the amount in respect of interest (or fees or other amounts deemed payment for the use of funds) required by the Guarantee exceeds such maximum permissible amount, the obligation to pay interest under the Guarantee (or fees or other amounts deemed payment for the use of funds) shall be automatically reduced to such maximum permissible amount and any amounts collected by any holder of any Security in excess of the permissible amount shall be automatically applied to reduce the outstanding principal on such Security.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16.10. </w:t>
      </w:r>
      <w:r>
        <w:rPr>
          <w:rFonts w:ascii="Times New Roman" w:hAnsi="Times New Roman"/>
          <w:b w:val="false"/>
          <w:color w:val="000000"/>
          <w:sz w:val="24"/>
          <w:u w:val="single"/>
        </w:rPr>
        <w:t>Contribution from Other Guarantors</w:t>
      </w:r>
      <w:r>
        <w:rPr>
          <w:rFonts w:ascii="Times New Roman" w:hAnsi="Times New Roman"/>
          <w:b w:val="false"/>
          <w:color w:val="000000"/>
          <w:sz w:val="24"/>
        </w:rPr>
        <w:t>. Each Guarantor that makes a payment or distribution under its Guarantee shall be entitled to seek contribution from each other non-paying Guarantor in a pro rata amount based on the net assets of each Guarantor, determined in accordance with GAAP so long as the exercise of such right does not impair the rights of the Holders under the Guarantee.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16.11. </w:t>
      </w:r>
      <w:r>
        <w:rPr>
          <w:rFonts w:ascii="Times New Roman" w:hAnsi="Times New Roman"/>
          <w:b w:val="false"/>
          <w:color w:val="000000"/>
          <w:sz w:val="24"/>
          <w:u w:val="single"/>
        </w:rPr>
        <w:t>No Obligation to Take Action Against the Company</w:t>
      </w:r>
      <w:r>
        <w:rPr>
          <w:rFonts w:ascii="Times New Roman" w:hAnsi="Times New Roman"/>
          <w:b w:val="false"/>
          <w:color w:val="000000"/>
          <w:sz w:val="24"/>
        </w:rPr>
        <w:t>. Neither the Trustee, any Holder nor any other Person shall have any obligation to enforce or exhaust any rights or remedies or take any other steps under any security for the Obligations or against the Company or any other Person or any property of the Company or any other Person before the Trustee, such Holder or such other Person is entitled to demand payment and performance by any or all Guarantors of their liabilities and obligations under their Guarantee.</w:t>
      </w:r>
    </w:p>
    <w:p>
      <w:pPr>
        <w:pStyle w:val="Heading1"/>
        <w:bidi w:val="0"/>
        <w:spacing w:before="0" w:after="240"/>
        <w:jc w:val="center"/>
        <w:rPr>
          <w:rFonts w:ascii="Times New Roman" w:hAnsi="Times New Roman"/>
          <w:b w:val="false"/>
          <w:caps/>
          <w:color w:val="000000"/>
          <w:sz w:val="24"/>
        </w:rPr>
      </w:pPr>
      <w:r>
        <w:rPr>
          <w:rFonts w:ascii="Times New Roman" w:hAnsi="Times New Roman"/>
          <w:b w:val="false"/>
          <w:caps/>
          <w:color w:val="000000"/>
          <w:sz w:val="24"/>
        </w:rPr>
        <w:t>ARTICLE XVII</w:t>
      </w:r>
    </w:p>
    <w:p>
      <w:pPr>
        <w:pStyle w:val="Heading1"/>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MISCELLANEOUS PROVISIONS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17.01. </w:t>
      </w:r>
      <w:r>
        <w:rPr>
          <w:rFonts w:ascii="Times New Roman" w:hAnsi="Times New Roman"/>
          <w:b w:val="false"/>
          <w:color w:val="000000"/>
          <w:sz w:val="24"/>
          <w:u w:val="single"/>
        </w:rPr>
        <w:t>Certificates and Opinions as to Conditions Precedent</w:t>
      </w:r>
      <w:r>
        <w:rPr>
          <w:rFonts w:ascii="Times New Roman" w:hAnsi="Times New Roman"/>
          <w:b w:val="false"/>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Each certificate or opinion provided for in this Indenture and delivered to the Trustee with respect to compliance with a condition or covenant provided for in this Indenture (other than the certificates provided pursuant to Section 6.07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 Any certificate, statement or opinion of an officer of the Company or of counsel to the Company may be based, insofar as it relates to accounting matters, upon a certificate or opinion of, or representations by, an accountant or firm of accountants, unless such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Where any Person is required to make, give or execute two or more applications, requests, consents, certificates, statements, opinions or other instruments under this Indenture, they may, but need not, be consolidated and form one instrument.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17.02. </w:t>
      </w:r>
      <w:r>
        <w:rPr>
          <w:rFonts w:ascii="Times New Roman" w:hAnsi="Times New Roman"/>
          <w:b w:val="false"/>
          <w:color w:val="000000"/>
          <w:sz w:val="24"/>
          <w:u w:val="single"/>
        </w:rPr>
        <w:t>Trust Indenture Act Controls</w:t>
      </w:r>
      <w:r>
        <w:rPr>
          <w:rFonts w:ascii="Times New Roman" w:hAnsi="Times New Roman"/>
          <w:b w:val="false"/>
          <w:color w:val="000000"/>
          <w:sz w:val="24"/>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17.03. </w:t>
      </w:r>
      <w:r>
        <w:rPr>
          <w:rFonts w:ascii="Times New Roman" w:hAnsi="Times New Roman"/>
          <w:b w:val="false"/>
          <w:color w:val="000000"/>
          <w:sz w:val="24"/>
          <w:u w:val="single"/>
        </w:rPr>
        <w:t>Notices</w:t>
      </w:r>
      <w:r>
        <w:rPr>
          <w:rFonts w:ascii="Times New Roman" w:hAnsi="Times New Roman"/>
          <w:b w:val="false"/>
          <w:color w:val="000000"/>
          <w:sz w:val="24"/>
        </w:rPr>
        <w:t>. Any notice or demand authorized by this Indenture to be made upon, given or furnished to, or filed with, the Company, the Guarantors or the Trustee shall be sufficiently made, given, furnished or filed for all purposes if it shall be mailed, delivered or telefaxed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Company or the Guarantors, as applicable, at 7100 NW 62nd Avenue, Johnston, Iowa 50131, Attention: Treasury Consultant, email: james.p.donaghey@corteva.com, or at such other address or email or facsimile number as may have been furnished in writing to the Trustee by the Company or the Guarantors, as the case may be.</w:t>
      </w:r>
    </w:p>
    <w:p>
      <w:pPr>
        <w:pStyle w:val="TextBody"/>
        <w:bidi w:val="0"/>
        <w:spacing w:before="0" w:after="240"/>
        <w:jc w:val="left"/>
        <w:rPr>
          <w:rFonts w:ascii="Times New Roman" w:hAnsi="Times New Roman"/>
          <w:sz w:val="24"/>
        </w:rPr>
      </w:pPr>
      <w:r>
        <w:rPr>
          <w:rFonts w:ascii="Times New Roman" w:hAnsi="Times New Roman"/>
          <w:color w:val="000000"/>
          <w:sz w:val="24"/>
        </w:rPr>
        <w:t>(b) the Trustee, at the Corporate Trust Office of the Trustee, Attention: Trust Administrator, email: mark.digiacomo@usbank.com</w:t>
      </w:r>
      <w:r>
        <w:rPr>
          <w:rFonts w:ascii="Times New Roman" w:hAnsi="Times New Roman"/>
          <w:color w:val="000000"/>
          <w:sz w:val="24"/>
          <w:u w:val="single"/>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such notice, demand or other document shall be in the English language.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17.04. </w:t>
      </w:r>
      <w:r>
        <w:rPr>
          <w:rFonts w:ascii="Times New Roman" w:hAnsi="Times New Roman"/>
          <w:b w:val="false"/>
          <w:color w:val="000000"/>
          <w:sz w:val="24"/>
          <w:u w:val="single"/>
        </w:rPr>
        <w:t>Notices to Securityholders; Waiver</w:t>
      </w:r>
      <w:r>
        <w:rPr>
          <w:rFonts w:ascii="Times New Roman" w:hAnsi="Times New Roman"/>
          <w:b w:val="false"/>
          <w:color w:val="000000"/>
          <w:sz w:val="24"/>
        </w:rPr>
        <w:t>. Any notice required or permitted to be given to Securityholders shall be sufficiently given (unless otherwise herein expressly provided),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if to Holders, if given in writing by electronic mail or first class mail, postage prepaid, to such Holders at their addresses as the same shall appear on the Register of the Company; </w:t>
      </w:r>
      <w:r>
        <w:rPr>
          <w:rFonts w:ascii="Times New Roman" w:hAnsi="Times New Roman"/>
          <w:i/>
          <w:color w:val="000000"/>
          <w:sz w:val="24"/>
        </w:rPr>
        <w:t>provided</w:t>
      </w:r>
      <w:r>
        <w:rPr>
          <w:rFonts w:ascii="Times New Roman" w:hAnsi="Times New Roman"/>
          <w:color w:val="000000"/>
          <w:sz w:val="24"/>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17.05. </w:t>
      </w:r>
      <w:r>
        <w:rPr>
          <w:rFonts w:ascii="Times New Roman" w:hAnsi="Times New Roman"/>
          <w:b w:val="false"/>
          <w:color w:val="000000"/>
          <w:sz w:val="24"/>
          <w:u w:val="single"/>
        </w:rPr>
        <w:t>Legal Holiday</w:t>
      </w:r>
      <w:r>
        <w:rPr>
          <w:rFonts w:ascii="Times New Roman" w:hAnsi="Times New Roman"/>
          <w:b w:val="false"/>
          <w:color w:val="000000"/>
          <w:sz w:val="24"/>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17.06. </w:t>
      </w:r>
      <w:r>
        <w:rPr>
          <w:rFonts w:ascii="Times New Roman" w:hAnsi="Times New Roman"/>
          <w:b w:val="false"/>
          <w:color w:val="000000"/>
          <w:sz w:val="24"/>
          <w:u w:val="single"/>
        </w:rPr>
        <w:t>Effects of Headings and Table of Contents</w:t>
      </w:r>
      <w:r>
        <w:rPr>
          <w:rFonts w:ascii="Times New Roman" w:hAnsi="Times New Roman"/>
          <w:b w:val="false"/>
          <w:color w:val="000000"/>
          <w:sz w:val="24"/>
        </w:rPr>
        <w:t>. The Article and Section headings herein and the Table of Contents are for convenience only and shall not affect the construction hereof.</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17.07. </w:t>
      </w:r>
      <w:r>
        <w:rPr>
          <w:rFonts w:ascii="Times New Roman" w:hAnsi="Times New Roman"/>
          <w:b w:val="false"/>
          <w:color w:val="000000"/>
          <w:sz w:val="24"/>
          <w:u w:val="single"/>
        </w:rPr>
        <w:t>Successors and Assigns</w:t>
      </w:r>
      <w:r>
        <w:rPr>
          <w:rFonts w:ascii="Times New Roman" w:hAnsi="Times New Roman"/>
          <w:b w:val="false"/>
          <w:color w:val="000000"/>
          <w:sz w:val="24"/>
        </w:rPr>
        <w:t>. All covenants and agreements in this Indenture by the parties hereto shall bind their respective successors and assigns and inure to the benefit of their permitted successors and assigns, whether so expressed or not.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17.08. </w:t>
      </w:r>
      <w:r>
        <w:rPr>
          <w:rFonts w:ascii="Times New Roman" w:hAnsi="Times New Roman"/>
          <w:b w:val="false"/>
          <w:color w:val="000000"/>
          <w:sz w:val="24"/>
          <w:u w:val="single"/>
        </w:rPr>
        <w:t>Separability Clause</w:t>
      </w:r>
      <w:r>
        <w:rPr>
          <w:rFonts w:ascii="Times New Roman" w:hAnsi="Times New Roman"/>
          <w:b w:val="false"/>
          <w:color w:val="000000"/>
          <w:sz w:val="24"/>
        </w:rPr>
        <w:t>. In case any provision in this Indenture or in the Securities shall be invalid, illegal or unenforceable, the validity, legality and enforceability of the remaining provisions shall not in any way be affected or impaired thereby.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17.09. </w:t>
      </w:r>
      <w:r>
        <w:rPr>
          <w:rFonts w:ascii="Times New Roman" w:hAnsi="Times New Roman"/>
          <w:b w:val="false"/>
          <w:color w:val="000000"/>
          <w:sz w:val="24"/>
          <w:u w:val="single"/>
        </w:rPr>
        <w:t>Benefits of Indenture</w:t>
      </w:r>
      <w:r>
        <w:rPr>
          <w:rFonts w:ascii="Times New Roman" w:hAnsi="Times New Roman"/>
          <w:b w:val="false"/>
          <w:color w:val="000000"/>
          <w:sz w:val="24"/>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17.10. </w:t>
      </w:r>
      <w:r>
        <w:rPr>
          <w:rFonts w:ascii="Times New Roman" w:hAnsi="Times New Roman"/>
          <w:b w:val="false"/>
          <w:color w:val="000000"/>
          <w:sz w:val="24"/>
          <w:u w:val="single"/>
        </w:rPr>
        <w:t>Counterpart Originals. Electronic Signatures</w:t>
      </w:r>
      <w:r>
        <w:rPr>
          <w:rFonts w:ascii="Times New Roman" w:hAnsi="Times New Roman"/>
          <w:b w:val="false"/>
          <w:color w:val="000000"/>
          <w:sz w:val="24"/>
        </w:rPr>
        <w:t>. This Indenture may be executed in any number of counterparts, each of which so executed shall be deemed to be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and signature pages for all purposes. Any signature to this Indenture may be delivered by facsimile, electronic mail (including “.pdf” or “.tif”) or any electronic signature complying with the U.S. Federal ESIGN Act of 2000 (the “ESIGN Act”) or the New York Electronic Signature and Records Act or other transmission method shall be valid and effective as delivery of a manually executed counterpart thereof for all purposes to the fullest extent permitted by applicable law; provided that notwithstanding anything herein to the contrary, the Trustee is under no obligation to agree to accept electronic signatures in any form or in any format unless expressly agreed to by the Trustee pursuant to procedures approved by the Trustee. For the avoidance of doubt, the foregoing also applies to any amendment hereto. Each of the parties represents and warrants to the other parties that it has the corporate capacity and authority to execute this Indenture through electronic means and there are no restrictions for doing so in that party’s constitutive documents. Electronic signatures believed by the Trustee to comply with the ESIGN Act or other applicable law (including electronic images of handwritten signatures and digital signatures provided by DocuSign, Orbit, Adobe Sign or any other digital signature provider acceptable to the Trustee) shall be deemed original signatures for all purposes. The Company agrees to assume all risks arising out of the use of such electronic signatures and electronic methods to submit instructions and directions to the Trustee, including, without limitation, the risk of the Trustee acting on unauthorized instructions, and the risk of interception and misuse by third parties.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17.11. </w:t>
      </w:r>
      <w:r>
        <w:rPr>
          <w:rFonts w:ascii="Times New Roman" w:hAnsi="Times New Roman"/>
          <w:b w:val="false"/>
          <w:color w:val="000000"/>
          <w:sz w:val="24"/>
          <w:u w:val="single"/>
        </w:rPr>
        <w:t>Governing Law; Jurisdiction; Waiver of Trial by Jury</w:t>
      </w:r>
      <w:r>
        <w:rPr>
          <w:rFonts w:ascii="Times New Roman" w:hAnsi="Times New Roman"/>
          <w:b w:val="false"/>
          <w:color w:val="000000"/>
          <w:sz w:val="24"/>
        </w:rPr>
        <w:t>. This Indenture (including any Guarantees) and the Securities shall be deemed to be contracts made under the law of the State of New York, and for all purposes shall be governed by and construed in accordance with the law of said State. Each party hereto, and each Holder of a Security by acceptance thereof, hereby irrevocably and unconditionally submits, for itself and its property, to the jurisdiction of the United States District Court for the Southern District of New York sitting in the Borough of Manhattan and the Supreme Court of the State of New York sitting in the Borough of Manhattan, and any appellate court from any thereof, in any action or proceeding (whether in tort, contract, law or equity) arising out of or relating to this Indenture, or for recognition or enforcement of any judgment, and each party hereto, and each Holder of a Security by acceptance thereof, hereby irrevocably and unconditionally agrees that all claims arising out of or relating to this Indenture brought by it or any of its Affiliates shall be brought, and shall be heard and determined, exclusively in such Federal court or, if such Federal court lacks subject matter jurisdiction, such New York State court. Each party hereto, and each Holder of a Security by acceptance thereof, agrees that a final judgment in any such action or proceeding (whether in tort, contract, law or equity) shall be conclusive and may be enforced in other jurisdictions by suit on the judgment or in any other manner provided by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17.12. </w:t>
      </w:r>
      <w:r>
        <w:rPr>
          <w:rFonts w:ascii="Times New Roman" w:hAnsi="Times New Roman"/>
          <w:b w:val="false"/>
          <w:color w:val="000000"/>
          <w:sz w:val="24"/>
          <w:u w:val="single"/>
        </w:rPr>
        <w:t>Force Majeure</w:t>
      </w:r>
      <w:r>
        <w:rPr>
          <w:rFonts w:ascii="Times New Roman" w:hAnsi="Times New Roman"/>
          <w:b w:val="false"/>
          <w:color w:val="000000"/>
          <w:sz w:val="24"/>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recognized public emergencies, quarantine restrictions, civil or military disturbances, nuclear or natural catastrophes or acts of God,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which are consistent with accepted practices in the banking industry to resume performance as soon as practicable under the circumstances.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17.13. </w:t>
      </w:r>
      <w:r>
        <w:rPr>
          <w:rFonts w:ascii="Times New Roman" w:hAnsi="Times New Roman"/>
          <w:b w:val="false"/>
          <w:color w:val="000000"/>
          <w:sz w:val="24"/>
          <w:u w:val="single"/>
        </w:rPr>
        <w:t>U.S.A. PATRIOT Act</w:t>
      </w:r>
      <w:r>
        <w:rPr>
          <w:rFonts w:ascii="Times New Roman" w:hAnsi="Times New Roman"/>
          <w:b w:val="false"/>
          <w:color w:val="000000"/>
          <w:sz w:val="24"/>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Heading1"/>
        <w:bidi w:val="0"/>
        <w:jc w:val="center"/>
        <w:rPr>
          <w:rFonts w:ascii="Times New Roman" w:hAnsi="Times New Roman"/>
          <w:b w:val="false"/>
          <w:i/>
          <w:color w:val="000000"/>
          <w:sz w:val="24"/>
        </w:rPr>
      </w:pPr>
      <w:r>
        <w:rPr>
          <w:rFonts w:ascii="Times New Roman" w:hAnsi="Times New Roman"/>
          <w:b w:val="false"/>
          <w:i/>
          <w:color w:val="000000"/>
          <w:sz w:val="24"/>
        </w:rPr>
        <w:t>[The remainder of this page has been left intentionally blank.]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have caused this Indenture to be duly executed as of the date first written above.</w:t>
      </w:r>
    </w:p>
    <w:p>
      <w:pPr>
        <w:pStyle w:val="TextBody"/>
        <w:bidi w:val="0"/>
        <w:jc w:val="left"/>
        <w:rPr/>
      </w:pPr>
      <w:r>
        <w:rPr/>
        <w:t> </w:t>
      </w:r>
    </w:p>
    <w:tbl>
      <w:tblPr>
        <w:tblW w:w="3460" w:type="dxa"/>
        <w:jc w:val="left"/>
        <w:tblInd w:w="0" w:type="dxa"/>
        <w:tblLayout w:type="fixed"/>
        <w:tblCellMar>
          <w:top w:w="28" w:type="dxa"/>
          <w:left w:w="28" w:type="dxa"/>
          <w:bottom w:w="28" w:type="dxa"/>
          <w:right w:w="28" w:type="dxa"/>
        </w:tblCellMar>
      </w:tblPr>
      <w:tblGrid>
        <w:gridCol w:w="161"/>
        <w:gridCol w:w="451"/>
        <w:gridCol w:w="736"/>
        <w:gridCol w:w="146"/>
        <w:gridCol w:w="1966"/>
      </w:tblGrid>
      <w:tr>
        <w:trPr/>
        <w:tc>
          <w:tcPr>
            <w:tcW w:w="1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346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Vylor Inc., as Issuer</w:t>
            </w:r>
          </w:p>
        </w:tc>
      </w:tr>
      <w:tr>
        <w:trPr/>
        <w:tc>
          <w:tcPr>
            <w:tcW w:w="346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84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Laurie A. Conslato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Laurie A. Conslato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Treasurer</w:t>
            </w:r>
          </w:p>
        </w:tc>
      </w:tr>
    </w:tbl>
    <w:p>
      <w:pPr>
        <w:pStyle w:val="TextBody"/>
        <w:bidi w:val="0"/>
        <w:spacing w:before="0" w:after="240"/>
        <w:jc w:val="left"/>
        <w:rPr/>
      </w:pPr>
      <w:r>
        <w:rPr/>
        <w:t> </w:t>
      </w:r>
    </w:p>
    <w:tbl>
      <w:tblPr>
        <w:tblW w:w="5893" w:type="dxa"/>
        <w:jc w:val="left"/>
        <w:tblInd w:w="0" w:type="dxa"/>
        <w:tblLayout w:type="fixed"/>
        <w:tblCellMar>
          <w:top w:w="28" w:type="dxa"/>
          <w:left w:w="28" w:type="dxa"/>
          <w:bottom w:w="28" w:type="dxa"/>
          <w:right w:w="28" w:type="dxa"/>
        </w:tblCellMar>
      </w:tblPr>
      <w:tblGrid>
        <w:gridCol w:w="285"/>
        <w:gridCol w:w="799"/>
        <w:gridCol w:w="1305"/>
        <w:gridCol w:w="258"/>
        <w:gridCol w:w="3246"/>
      </w:tblGrid>
      <w:tr>
        <w:trPr/>
        <w:tc>
          <w:tcPr>
            <w:tcW w:w="28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5893"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 Bank Trust Company, National Association, as Trustee</w:t>
            </w:r>
          </w:p>
        </w:tc>
      </w:tr>
      <w:tr>
        <w:trPr/>
        <w:tc>
          <w:tcPr>
            <w:tcW w:w="5893"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80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Mark DiGiacomo</w:t>
            </w:r>
          </w:p>
        </w:tc>
      </w:tr>
      <w:tr>
        <w:trPr/>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58" w:type="dxa"/>
            <w:tcBorders/>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 DiGiacomo</w:t>
            </w:r>
          </w:p>
        </w:tc>
      </w:tr>
      <w:tr>
        <w:trPr/>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58" w:type="dxa"/>
            <w:tcBorders/>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to Base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FACE OF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tbl>
      <w:tblPr>
        <w:tblW w:w="1527" w:type="dxa"/>
        <w:jc w:val="left"/>
        <w:tblInd w:w="0" w:type="dxa"/>
        <w:tblLayout w:type="fixed"/>
        <w:tblCellMar>
          <w:top w:w="28" w:type="dxa"/>
          <w:left w:w="28" w:type="dxa"/>
          <w:bottom w:w="28" w:type="dxa"/>
          <w:right w:w="28" w:type="dxa"/>
        </w:tblCellMar>
      </w:tblPr>
      <w:tblGrid>
        <w:gridCol w:w="1336"/>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CUSIP No.</w:t>
            </w:r>
            <w:r>
              <w:rPr>
                <w:rFonts w:ascii="Times New Roman" w:hAnsi="Times New Roman"/>
                <w:color w:val="000000"/>
                <w:sz w:val="24"/>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168" w:type="dxa"/>
        <w:jc w:val="left"/>
        <w:tblInd w:w="0" w:type="dxa"/>
        <w:tblLayout w:type="fixed"/>
        <w:tblCellMar>
          <w:top w:w="28" w:type="dxa"/>
          <w:left w:w="28" w:type="dxa"/>
          <w:bottom w:w="28" w:type="dxa"/>
          <w:right w:w="28" w:type="dxa"/>
        </w:tblCellMar>
      </w:tblPr>
      <w:tblGrid>
        <w:gridCol w:w="161"/>
        <w:gridCol w:w="18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24"/>
              </w:rPr>
            </w:pPr>
            <w:r>
              <w:rPr>
                <w:rFonts w:ascii="Times New Roman" w:hAnsi="Times New Roman"/>
                <w:b/>
                <w:caps/>
                <w:color w:val="000000"/>
                <w:sz w:val="24"/>
              </w:rPr>
              <w:t>vylor inc.</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NOTES DUE 20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336" w:type="dxa"/>
        <w:jc w:val="left"/>
        <w:tblInd w:w="0" w:type="dxa"/>
        <w:tblLayout w:type="fixed"/>
        <w:tblCellMar>
          <w:top w:w="28" w:type="dxa"/>
          <w:left w:w="28" w:type="dxa"/>
          <w:bottom w:w="28" w:type="dxa"/>
          <w:right w:w="28" w:type="dxa"/>
        </w:tblCellMar>
      </w:tblPr>
      <w:tblGrid>
        <w:gridCol w:w="481"/>
        <w:gridCol w:w="146"/>
        <w:gridCol w:w="146"/>
        <w:gridCol w:w="226"/>
        <w:gridCol w:w="14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805" w:type="dxa"/>
        <w:jc w:val="left"/>
        <w:tblInd w:w="0" w:type="dxa"/>
        <w:tblLayout w:type="fixed"/>
        <w:tblCellMar>
          <w:top w:w="28" w:type="dxa"/>
          <w:left w:w="28" w:type="dxa"/>
          <w:bottom w:w="28" w:type="dxa"/>
          <w:right w:w="28" w:type="dxa"/>
        </w:tblCellMar>
      </w:tblPr>
      <w:tblGrid>
        <w:gridCol w:w="161"/>
        <w:gridCol w:w="146"/>
        <w:gridCol w:w="146"/>
        <w:gridCol w:w="146"/>
        <w:gridCol w:w="220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revised by the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of Increases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 Decreases 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Global Security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attached hereto</w:t>
            </w:r>
          </w:p>
        </w:tc>
      </w:tr>
    </w:tbl>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i/>
          <w:color w:val="000000"/>
          <w:sz w:val="24"/>
        </w:rPr>
        <w:t>Interest</w:t>
      </w:r>
      <w:r>
        <w:rPr>
          <w:rFonts w:ascii="Times New Roman" w:hAnsi="Times New Roman"/>
          <w:color w:val="000000"/>
          <w:sz w:val="24"/>
        </w:rPr>
        <w:t xml:space="preserve">. Vylor Inc., a Delaware corporation (herein called the “Company”, which term includes any successor Person under the Indenture hereinafter referred to), for value received, hereby promises to pay to ___________ or registered assigns, the principal sum of ___ million dollars ($_________), as revised by the Schedule of Increases or Decreases in Global Security attached hereto, on ________, 20__ and to pay interest thereon from _______, 20__ or from the most recent Interest Payment Date to which interest has been paid or duly provided for, semi-annually in arrears on _______ and _______ in each year, commencing _______, 20__ at the rate of ____% per annum, until the principal hereof is paid or made available for payment. </w:t>
      </w:r>
    </w:p>
    <w:p>
      <w:pPr>
        <w:pStyle w:val="TextBody"/>
        <w:bidi w:val="0"/>
        <w:spacing w:before="0" w:after="240"/>
        <w:jc w:val="left"/>
        <w:rPr>
          <w:rFonts w:ascii="Times New Roman" w:hAnsi="Times New Roman"/>
          <w:sz w:val="24"/>
        </w:rPr>
      </w:pPr>
      <w:r>
        <w:rPr>
          <w:rFonts w:ascii="Times New Roman" w:hAnsi="Times New Roman"/>
          <w:i/>
          <w:color w:val="000000"/>
          <w:sz w:val="24"/>
        </w:rPr>
        <w:t>Method of Payment</w:t>
      </w:r>
      <w:r>
        <w:rPr>
          <w:rFonts w:ascii="Times New Roman" w:hAnsi="Times New Roman"/>
          <w:color w:val="000000"/>
          <w:sz w:val="24"/>
        </w:rPr>
        <w:t>. The interest so payable, and punctually paid or duly provided for, on any Interest Payment Date will, as provided in such Indenture, be paid to the Person in whose name this Security (or one or more Predecessor Securities) is registered at the close of business on the Record Date for such interest, which shall be _______ or _______, as the case may be, next preceding such Interest Payment Date (whether or not a Business Day). Any such interest not so punctually paid or duly provided for will forthwith cease to be payable to the Holder on such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240"/>
        <w:jc w:val="left"/>
        <w:rPr>
          <w:rFonts w:ascii="Times New Roman" w:hAnsi="Times New Roman"/>
          <w:sz w:val="24"/>
        </w:rPr>
      </w:pPr>
      <w:r>
        <w:rPr>
          <w:rFonts w:ascii="Times New Roman" w:hAnsi="Times New Roman"/>
          <w:i/>
          <w:color w:val="000000"/>
          <w:sz w:val="24"/>
        </w:rPr>
        <w:t>Authentication</w:t>
      </w:r>
      <w:r>
        <w:rPr>
          <w:rFonts w:ascii="Times New Roman" w:hAnsi="Times New Roman"/>
          <w:color w:val="000000"/>
          <w:sz w:val="24"/>
        </w:rPr>
        <w:t>. 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Company has caused this instrument to be duly executed under its corporate seal.</w:t>
      </w:r>
    </w:p>
    <w:p>
      <w:pPr>
        <w:pStyle w:val="TextBody"/>
        <w:bidi w:val="0"/>
        <w:jc w:val="left"/>
        <w:rPr/>
      </w:pPr>
      <w:r>
        <w:rPr/>
        <w:t> </w:t>
      </w:r>
    </w:p>
    <w:tbl>
      <w:tblPr>
        <w:tblW w:w="3770" w:type="dxa"/>
        <w:jc w:val="left"/>
        <w:tblInd w:w="0" w:type="dxa"/>
        <w:tblLayout w:type="fixed"/>
        <w:tblCellMar>
          <w:top w:w="28" w:type="dxa"/>
          <w:left w:w="28" w:type="dxa"/>
          <w:bottom w:w="28" w:type="dxa"/>
          <w:right w:w="28" w:type="dxa"/>
        </w:tblCellMar>
      </w:tblPr>
      <w:tblGrid>
        <w:gridCol w:w="811"/>
        <w:gridCol w:w="146"/>
        <w:gridCol w:w="466"/>
        <w:gridCol w:w="146"/>
        <w:gridCol w:w="146"/>
        <w:gridCol w:w="752"/>
        <w:gridCol w:w="130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20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Vylor Inc., as Issuer</w:t>
            </w:r>
          </w:p>
        </w:tc>
      </w:tr>
      <w:tr>
        <w:trPr/>
        <w:tc>
          <w:tcPr>
            <w:tcW w:w="1715"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gridSpan w:val="5"/>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gridSpan w:val="5"/>
            <w:vMerge w:val="continue"/>
            <w:tcBorders/>
            <w:tcMar>
              <w:top w:w="0" w:type="dxa"/>
              <w:left w:w="0" w:type="dxa"/>
              <w:bottom w:w="0" w:type="dxa"/>
              <w:right w:w="0" w:type="dxa"/>
            </w:tcMar>
            <w:vAlign w:val="center"/>
          </w:tcPr>
          <w:p>
            <w:pPr>
              <w:pStyle w:val="Normal"/>
              <w:bidi w:val="0"/>
              <w:jc w:val="left"/>
              <w:rPr/>
            </w:pPr>
            <w:r>
              <w:rPr/>
            </w:r>
          </w:p>
        </w:tc>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3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5" w:type="dxa"/>
            <w:gridSpan w:val="5"/>
            <w:vMerge w:val="continue"/>
            <w:tcBorders/>
            <w:tcMar>
              <w:top w:w="0" w:type="dxa"/>
              <w:left w:w="0" w:type="dxa"/>
              <w:bottom w:w="0" w:type="dxa"/>
              <w:right w:w="0" w:type="dxa"/>
            </w:tcMar>
            <w:vAlign w:val="center"/>
          </w:tcPr>
          <w:p>
            <w:pPr>
              <w:pStyle w:val="Normal"/>
              <w:bidi w:val="0"/>
              <w:jc w:val="left"/>
              <w:rPr/>
            </w:pPr>
            <w:r>
              <w:rPr/>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715" w:type="dxa"/>
            <w:gridSpan w:val="5"/>
            <w:vMerge w:val="continue"/>
            <w:tcBorders/>
            <w:tcMar>
              <w:top w:w="0" w:type="dxa"/>
              <w:left w:w="0" w:type="dxa"/>
              <w:bottom w:w="0" w:type="dxa"/>
              <w:right w:w="0" w:type="dxa"/>
            </w:tcMar>
            <w:vAlign w:val="center"/>
          </w:tcPr>
          <w:p>
            <w:pPr>
              <w:pStyle w:val="Normal"/>
              <w:bidi w:val="0"/>
              <w:jc w:val="left"/>
              <w:rPr/>
            </w:pPr>
            <w:r>
              <w:rPr/>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TRUSTEE’S CERTIFICATE OF AUTHENTICATION</w:t>
      </w:r>
    </w:p>
    <w:p>
      <w:pPr>
        <w:pStyle w:val="TextBody"/>
        <w:bidi w:val="0"/>
        <w:jc w:val="left"/>
        <w:rPr>
          <w:rFonts w:ascii="Times New Roman" w:hAnsi="Times New Roman"/>
          <w:color w:val="000000"/>
          <w:sz w:val="24"/>
        </w:rPr>
      </w:pPr>
      <w:r>
        <w:rPr>
          <w:rFonts w:ascii="Times New Roman" w:hAnsi="Times New Roman"/>
          <w:color w:val="000000"/>
          <w:sz w:val="24"/>
        </w:rPr>
        <w:t>This is one of the Securities of the series designated therein referred to in the within-mentioned Indenture.</w:t>
      </w:r>
    </w:p>
    <w:p>
      <w:pPr>
        <w:pStyle w:val="TextBody"/>
        <w:bidi w:val="0"/>
        <w:jc w:val="left"/>
        <w:rPr/>
      </w:pPr>
      <w:r>
        <w:rPr/>
        <w:t> </w:t>
      </w:r>
    </w:p>
    <w:tbl>
      <w:tblPr>
        <w:tblW w:w="6308" w:type="dxa"/>
        <w:jc w:val="left"/>
        <w:tblInd w:w="0" w:type="dxa"/>
        <w:tblLayout w:type="fixed"/>
        <w:tblCellMar>
          <w:top w:w="28" w:type="dxa"/>
          <w:left w:w="28" w:type="dxa"/>
          <w:bottom w:w="28" w:type="dxa"/>
          <w:right w:w="28" w:type="dxa"/>
        </w:tblCellMar>
      </w:tblPr>
      <w:tblGrid>
        <w:gridCol w:w="2326"/>
        <w:gridCol w:w="146"/>
        <w:gridCol w:w="146"/>
        <w:gridCol w:w="630"/>
        <w:gridCol w:w="3060"/>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of authentication: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U.S. Bank Trust Company, National </w:t>
            </w:r>
          </w:p>
        </w:tc>
      </w:tr>
      <w:tr>
        <w:trPr/>
        <w:tc>
          <w:tcPr>
            <w:tcW w:w="2618" w:type="dxa"/>
            <w:gridSpan w:val="3"/>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36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Association, as Trustee</w:t>
            </w:r>
          </w:p>
        </w:tc>
      </w:tr>
      <w:tr>
        <w:trPr/>
        <w:tc>
          <w:tcPr>
            <w:tcW w:w="2618" w:type="dxa"/>
            <w:gridSpan w:val="3"/>
            <w:vMerge w:val="continue"/>
            <w:tcBorders/>
            <w:tcMar>
              <w:top w:w="0" w:type="dxa"/>
              <w:left w:w="0" w:type="dxa"/>
              <w:bottom w:w="0" w:type="dxa"/>
              <w:right w:w="0" w:type="dxa"/>
            </w:tcMar>
            <w:vAlign w:val="center"/>
          </w:tcPr>
          <w:p>
            <w:pPr>
              <w:pStyle w:val="Normal"/>
              <w:bidi w:val="0"/>
              <w:jc w:val="left"/>
              <w:rPr/>
            </w:pPr>
            <w:r>
              <w:rPr/>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30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8" w:type="dxa"/>
            <w:gridSpan w:val="3"/>
            <w:vMerge w:val="continue"/>
            <w:tcBorders/>
            <w:tcMar>
              <w:top w:w="0" w:type="dxa"/>
              <w:left w:w="0" w:type="dxa"/>
              <w:bottom w:w="0" w:type="dxa"/>
              <w:right w:w="0" w:type="dxa"/>
            </w:tcMar>
            <w:vAlign w:val="center"/>
          </w:tcPr>
          <w:p>
            <w:pPr>
              <w:pStyle w:val="Normal"/>
              <w:bidi w:val="0"/>
              <w:jc w:val="left"/>
              <w:rPr/>
            </w:pPr>
            <w:r>
              <w:rPr/>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30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8" w:type="dxa"/>
            <w:gridSpan w:val="3"/>
            <w:vMerge w:val="continue"/>
            <w:tcBorders/>
            <w:tcMar>
              <w:top w:w="0" w:type="dxa"/>
              <w:left w:w="0" w:type="dxa"/>
              <w:bottom w:w="0" w:type="dxa"/>
              <w:right w:w="0" w:type="dxa"/>
            </w:tcMar>
            <w:vAlign w:val="center"/>
          </w:tcPr>
          <w:p>
            <w:pPr>
              <w:pStyle w:val="Normal"/>
              <w:bidi w:val="0"/>
              <w:jc w:val="left"/>
              <w:rPr/>
            </w:pPr>
            <w:r>
              <w:rPr/>
            </w:r>
          </w:p>
        </w:tc>
        <w:tc>
          <w:tcPr>
            <w:tcW w:w="6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0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18" w:type="dxa"/>
            <w:gridSpan w:val="3"/>
            <w:vMerge w:val="continue"/>
            <w:tcBorders/>
            <w:tcMar>
              <w:top w:w="0" w:type="dxa"/>
              <w:left w:w="0" w:type="dxa"/>
              <w:bottom w:w="0" w:type="dxa"/>
              <w:right w:w="0" w:type="dxa"/>
            </w:tcMar>
            <w:vAlign w:val="center"/>
          </w:tcPr>
          <w:p>
            <w:pPr>
              <w:pStyle w:val="Normal"/>
              <w:bidi w:val="0"/>
              <w:jc w:val="left"/>
              <w:rPr/>
            </w:pPr>
            <w:r>
              <w:rPr/>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30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Signatory</w:t>
            </w:r>
          </w:p>
        </w:tc>
      </w:tr>
    </w:tbl>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REVERSE OF SECURITY]</w:t>
      </w:r>
    </w:p>
    <w:p>
      <w:pPr>
        <w:pStyle w:val="TextBody"/>
        <w:bidi w:val="0"/>
        <w:spacing w:lineRule="auto" w:line="360" w:before="0" w:after="240"/>
        <w:jc w:val="left"/>
        <w:rPr>
          <w:rFonts w:ascii="Times New Roman" w:hAnsi="Times New Roman"/>
          <w:sz w:val="24"/>
        </w:rPr>
      </w:pPr>
      <w:r>
        <w:rPr>
          <w:rFonts w:ascii="Times New Roman" w:hAnsi="Times New Roman"/>
          <w:i/>
          <w:color w:val="000000"/>
          <w:sz w:val="24"/>
        </w:rPr>
        <w:t>Indenture</w:t>
      </w:r>
      <w:r>
        <w:rPr>
          <w:rFonts w:ascii="Times New Roman" w:hAnsi="Times New Roman"/>
          <w:color w:val="000000"/>
          <w:sz w:val="24"/>
        </w:rPr>
        <w:t>. This Security is one of a duly authorized issue of securities of the Company (herein called the “Securities”), issued and to be issued in one or more series under an Indenture, dated as of __________, 20__, [as supplemented by a ___ Supplemental Indenture dated _______, 20__]</w:t>
      </w:r>
      <w:r>
        <w:rPr>
          <w:rFonts w:ascii="Times New Roman" w:hAnsi="Times New Roman"/>
          <w:color w:val="000000"/>
          <w:sz w:val="16"/>
        </w:rPr>
        <w:t>2</w:t>
      </w:r>
      <w:r>
        <w:rPr>
          <w:rFonts w:ascii="Times New Roman" w:hAnsi="Times New Roman"/>
          <w:color w:val="000000"/>
          <w:sz w:val="24"/>
        </w:rPr>
        <w:t xml:space="preserve"> (as so supplemented, herein called the “Indenture”), between the Company[, the Guarantors]</w:t>
      </w:r>
      <w:r>
        <w:rPr>
          <w:rFonts w:ascii="Times New Roman" w:hAnsi="Times New Roman"/>
          <w:color w:val="000000"/>
          <w:sz w:val="16"/>
        </w:rPr>
        <w:t>3</w:t>
      </w:r>
      <w:r>
        <w:rPr>
          <w:rFonts w:ascii="Times New Roman" w:hAnsi="Times New Roman"/>
          <w:color w:val="000000"/>
          <w:sz w:val="24"/>
        </w:rPr>
        <w:t xml:space="preserve"> and U.S. Bank Trust Company,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$_________.</w:t>
      </w:r>
    </w:p>
    <w:p>
      <w:pPr>
        <w:pStyle w:val="TextBody"/>
        <w:bidi w:val="0"/>
        <w:spacing w:before="0" w:after="240"/>
        <w:jc w:val="left"/>
        <w:rPr>
          <w:rFonts w:ascii="Times New Roman" w:hAnsi="Times New Roman"/>
          <w:sz w:val="24"/>
        </w:rPr>
      </w:pPr>
      <w:r>
        <w:rPr>
          <w:rFonts w:ascii="Times New Roman" w:hAnsi="Times New Roman"/>
          <w:i/>
          <w:color w:val="000000"/>
          <w:sz w:val="24"/>
        </w:rPr>
        <w:t>Optional Redemption</w:t>
      </w:r>
      <w:r>
        <w:rPr>
          <w:rFonts w:ascii="Times New Roman" w:hAnsi="Times New Roman"/>
          <w:color w:val="000000"/>
          <w:sz w:val="24"/>
        </w:rPr>
        <w:t>. The Securities of this series are subject to redemption at the Company’s option, as a whole at any time or in part from time to time, at the Redemption Price set forth in the ___ Supplemental Indenture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Notice of any redemption will be mailed at least 10 days but not more than 60 days before the Redemption Date (unless a shorter period shall be satisfactory to the Trustee) to each registered Holder of the Securities to be redeemed. Unless the Company defaults in payment of the Redemption Price, on and after the Redemption Date, interest will cease to accrue on the Securities or portions of the Securities called for redemption, unless subject to a condition precedent that has not been satisfied. If fewer than all of the Securities are to be redeemed, the Trustee will select, not more than __ days prior to the Redemption Date, the particular Securities or portions thereof for redemption from the outstanding Securities not previously called by such method as the Trustee deems fair and appropriate.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Any redemption and notice of such redemption may, at the Company’s option,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as any or all such conditions shall be satisfied (or waived by the Company), or such redemption may not occur and such notice may be rescinded in the event that any or all such conditions shall not have been satisfied (or waived by the Company) by the Redemption Date, or by the Redemption Date as so delayed. In addition, the Company may provide in such notice that payment of the Redemption Price and performance of the Company’s obligations with respect to such redemption may be performed by another Person. If any condition precedent has not been satisfied, the Company shall provide written notice to the Trustee of any rescission of such notice as soon as practicable after the Company determines that the Company will not be able to satisfy or otherwise waive such condition precedent (but in no event later than 10:00 am, New York City time, on the Redemption Date). Upon receipt of such notice, such notice of redemption shall be rescinded and the redemption of such Securities shall not occur. Upon </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Adapt as necessary if securities will be issued via an Officer's Certificate rather than a supplemental indenture.</w:t>
      </w:r>
    </w:p>
    <w:p>
      <w:pPr>
        <w:pStyle w:val="TextBody"/>
        <w:bidi w:val="0"/>
        <w:spacing w:lineRule="auto" w:line="360" w:before="0" w:after="12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To be included if the Securities are guaranteed.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receipt, the Trustee shall provide such notice to each Holder of the Securities that were to be redeemed in the same manner in which the notice of redemption was given.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set forth above, the Securities will not be redeemable by the Company prior to maturity [and will not be entitled to the benefit of any sinking fund].</w:t>
      </w:r>
    </w:p>
    <w:p>
      <w:pPr>
        <w:pStyle w:val="TextBody"/>
        <w:bidi w:val="0"/>
        <w:spacing w:before="0" w:after="240"/>
        <w:jc w:val="left"/>
        <w:rPr>
          <w:rFonts w:ascii="Times New Roman" w:hAnsi="Times New Roman"/>
          <w:sz w:val="24"/>
        </w:rPr>
      </w:pPr>
      <w:r>
        <w:rPr>
          <w:rFonts w:ascii="Times New Roman" w:hAnsi="Times New Roman"/>
          <w:i/>
          <w:color w:val="000000"/>
          <w:sz w:val="24"/>
        </w:rPr>
        <w:t>Defaults and Remedies</w:t>
      </w:r>
      <w:r>
        <w:rPr>
          <w:rFonts w:ascii="Times New Roman" w:hAnsi="Times New Roman"/>
          <w:color w:val="000000"/>
          <w:sz w:val="24"/>
        </w:rPr>
        <w:t>. 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240"/>
        <w:jc w:val="left"/>
        <w:rPr>
          <w:rFonts w:ascii="Times New Roman" w:hAnsi="Times New Roman"/>
          <w:sz w:val="24"/>
        </w:rPr>
      </w:pPr>
      <w:r>
        <w:rPr>
          <w:rFonts w:ascii="Times New Roman" w:hAnsi="Times New Roman"/>
          <w:i/>
          <w:color w:val="000000"/>
          <w:sz w:val="24"/>
        </w:rPr>
        <w:t>Amendment, Modification and Waiver</w:t>
      </w:r>
      <w:r>
        <w:rPr>
          <w:rFonts w:ascii="Times New Roman" w:hAnsi="Times New Roman"/>
          <w:color w:val="000000"/>
          <w:sz w:val="24"/>
        </w:rPr>
        <w:t>. The Indenture permits, with certain exceptions as therein provided, the amendment thereof and the modification of the rights and obligations of the Company and the rights of the Holders of the Securities at any time by the Company and the Trustee with the consent of the Holders of a majority in aggregate principal amount of the Outstanding Securities of all series so affected by such supplemental indenture voting as a single class.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240"/>
        <w:jc w:val="left"/>
        <w:rPr>
          <w:rFonts w:ascii="Times New Roman" w:hAnsi="Times New Roman"/>
          <w:sz w:val="24"/>
        </w:rPr>
      </w:pPr>
      <w:r>
        <w:rPr>
          <w:rFonts w:ascii="Times New Roman" w:hAnsi="Times New Roman"/>
          <w:i/>
          <w:color w:val="000000"/>
          <w:sz w:val="24"/>
        </w:rPr>
        <w:t>Restrictive Covenants</w:t>
      </w:r>
      <w:r>
        <w:rPr>
          <w:rFonts w:ascii="Times New Roman" w:hAnsi="Times New Roman"/>
          <w:color w:val="000000"/>
          <w:sz w:val="24"/>
        </w:rPr>
        <w:t>. The Indenture does not limit unsecured debt of the Company or any of its Subsidiaries. The Indenture contains certain covenants that, among other things, limit the ability of the Company and its Restricted Subsidiaries to (i) create or incur certain liens, (ii) enter into certain sale-leaseback transactions and (iii) enter into certain mergers, consolidations and sales of substantially all of the Company’s assets. These covenants are subject to important qualifications and exceptions provided in the Indenture.</w:t>
      </w:r>
    </w:p>
    <w:p>
      <w:pPr>
        <w:pStyle w:val="TextBody"/>
        <w:bidi w:val="0"/>
        <w:spacing w:before="0" w:after="240"/>
        <w:jc w:val="left"/>
        <w:rPr>
          <w:rFonts w:ascii="Times New Roman" w:hAnsi="Times New Roman"/>
          <w:sz w:val="24"/>
        </w:rPr>
      </w:pPr>
      <w:r>
        <w:rPr>
          <w:rFonts w:ascii="Times New Roman" w:hAnsi="Times New Roman"/>
          <w:i/>
          <w:color w:val="000000"/>
          <w:sz w:val="24"/>
        </w:rPr>
        <w:t>Denominations, Transfer and Exchange</w:t>
      </w:r>
      <w:r>
        <w:rPr>
          <w:rFonts w:ascii="Times New Roman" w:hAnsi="Times New Roman"/>
          <w:color w:val="000000"/>
          <w:sz w:val="24"/>
        </w:rPr>
        <w:t>. The Securities of this series are issuable only in registered form without coupons in denominations of $2,000 and in integral multiples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240"/>
        <w:jc w:val="left"/>
        <w:rPr>
          <w:rFonts w:ascii="Times New Roman" w:hAnsi="Times New Roman"/>
          <w:sz w:val="24"/>
        </w:rPr>
      </w:pPr>
      <w:r>
        <w:rPr>
          <w:rFonts w:ascii="Times New Roman" w:hAnsi="Times New Roman"/>
          <w:i/>
          <w:color w:val="000000"/>
          <w:sz w:val="24"/>
        </w:rPr>
        <w:t>Persons Deemed Owners</w:t>
      </w:r>
      <w:r>
        <w:rPr>
          <w:rFonts w:ascii="Times New Roman" w:hAnsi="Times New Roman"/>
          <w:color w:val="000000"/>
          <w:sz w:val="24"/>
        </w:rPr>
        <w:t>.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240"/>
        <w:jc w:val="left"/>
        <w:rPr>
          <w:rFonts w:ascii="Times New Roman" w:hAnsi="Times New Roman"/>
          <w:sz w:val="24"/>
        </w:rPr>
      </w:pPr>
      <w:r>
        <w:rPr>
          <w:rFonts w:ascii="Times New Roman" w:hAnsi="Times New Roman"/>
          <w:i/>
          <w:color w:val="000000"/>
          <w:sz w:val="24"/>
        </w:rPr>
        <w:t>Miscellaneous</w:t>
      </w:r>
      <w:r>
        <w:rPr>
          <w:rFonts w:ascii="Times New Roman" w:hAnsi="Times New Roman"/>
          <w:color w:val="000000"/>
          <w:sz w:val="24"/>
        </w:rPr>
        <w:t>. The Indenture and this Security shall be governed by and construed in accordance with the laws of the State of New York, without regard to the conflicts of law rules of said State.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terms used in this Security and not defined herein shall have the meanings assigned to them in the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OF INCREASES OR DECREASES IN GLOBAL SECURITY</w:t>
      </w:r>
    </w:p>
    <w:p>
      <w:pPr>
        <w:pStyle w:val="TextBody"/>
        <w:bidi w:val="0"/>
        <w:jc w:val="left"/>
        <w:rPr>
          <w:rFonts w:ascii="Times New Roman" w:hAnsi="Times New Roman"/>
          <w:color w:val="000000"/>
          <w:sz w:val="24"/>
        </w:rPr>
      </w:pPr>
      <w:r>
        <w:rPr>
          <w:rFonts w:ascii="Times New Roman" w:hAnsi="Times New Roman"/>
          <w:color w:val="000000"/>
          <w:sz w:val="24"/>
        </w:rPr>
        <w:t>The following increases or decreases in this Global Security have been made: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2"/>
        <w:gridCol w:w="146"/>
        <w:gridCol w:w="2114"/>
        <w:gridCol w:w="146"/>
        <w:gridCol w:w="2123"/>
        <w:gridCol w:w="146"/>
        <w:gridCol w:w="2469"/>
        <w:gridCol w:w="146"/>
        <w:gridCol w:w="1803"/>
      </w:tblGrid>
      <w:tr>
        <w:trPr/>
        <w:tc>
          <w:tcPr>
            <w:tcW w:w="11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03" w:type="dxa"/>
            <w:tcBorders/>
            <w:shd w:fill="FFFFFF" w:val="clear"/>
            <w:vAlign w:val="center"/>
          </w:tcPr>
          <w:p>
            <w:pPr>
              <w:pStyle w:val="TableContents"/>
              <w:bidi w:val="0"/>
              <w:spacing w:before="0" w:after="283"/>
              <w:jc w:val="left"/>
              <w:rPr>
                <w:sz w:val="4"/>
                <w:szCs w:val="4"/>
              </w:rPr>
            </w:pPr>
            <w:r>
              <w:rPr>
                <w:sz w:val="4"/>
                <w:szCs w:val="4"/>
              </w:rPr>
            </w:r>
          </w:p>
        </w:tc>
      </w:tr>
      <w:tr>
        <w:trPr/>
        <w:tc>
          <w:tcPr>
            <w:tcW w:w="11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 of Exchange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 of increase in Principal Amount of this Global Security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 of decrease in Principal Amount of this Global Security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Amount of this Global Security following each decrease or increase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 of authorized signatory of Trustee</w:t>
            </w:r>
          </w:p>
        </w:tc>
      </w:tr>
      <w:tr>
        <w:trPr/>
        <w:tc>
          <w:tcPr>
            <w:tcW w:w="11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0" w:name="ck0001755672-ex4_2.htm"/>
      <w:bookmarkStart w:id="11" w:name="ksck0001755672ex4_2"/>
      <w:bookmarkEnd w:id="10"/>
      <w:bookmarkEnd w:id="11"/>
      <w:r>
        <w:rPr>
          <w:rFonts w:ascii="Times New Roman" w:hAnsi="Times New Roman"/>
          <w:b/>
          <w:color w:val="000000"/>
          <w:sz w:val="24"/>
        </w:rPr>
        <w:t>Exhibit 4.2</w:t>
      </w:r>
      <w:r>
        <w:br w:type="page"/>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VYLOR INC.</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5.125% Senior Notes due 2031</w:t>
      </w:r>
    </w:p>
    <w:p>
      <w:pPr>
        <w:pStyle w:val="TextBody"/>
        <w:bidi w:val="0"/>
        <w:jc w:val="center"/>
        <w:rPr>
          <w:rFonts w:ascii="Times New Roman" w:hAnsi="Times New Roman"/>
          <w:color w:val="000000"/>
          <w:sz w:val="24"/>
        </w:rPr>
      </w:pPr>
      <w:r>
        <w:rPr>
          <w:rFonts w:ascii="Times New Roman" w:hAnsi="Times New Roman"/>
          <w:color w:val="000000"/>
          <w:sz w:val="24"/>
        </w:rPr>
        <w:t>5.625% Senior Notes due 2036</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FIRST SUPPLEMENTAL INDENTURE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Dated as of August 31, 2026</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to</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INDENTURE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Dated as of August 31,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U.S. BANK TRUST COMPANY, NATIONAL ASSOCIATION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Trustee</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Table of Contents</w:t>
      </w:r>
    </w:p>
    <w:p>
      <w:pPr>
        <w:pStyle w:val="TextBody"/>
        <w:bidi w:val="0"/>
        <w:jc w:val="center"/>
        <w:rPr/>
      </w:pPr>
      <w:r>
        <w:rPr/>
        <w:t> </w:t>
      </w:r>
    </w:p>
    <w:tbl>
      <w:tblPr>
        <w:tblW w:w="8564" w:type="dxa"/>
        <w:jc w:val="left"/>
        <w:tblInd w:w="0" w:type="dxa"/>
        <w:tblLayout w:type="fixed"/>
        <w:tblCellMar>
          <w:top w:w="28" w:type="dxa"/>
          <w:left w:w="28" w:type="dxa"/>
          <w:bottom w:w="28" w:type="dxa"/>
          <w:right w:w="28" w:type="dxa"/>
        </w:tblCellMar>
      </w:tblPr>
      <w:tblGrid>
        <w:gridCol w:w="1696"/>
        <w:gridCol w:w="146"/>
        <w:gridCol w:w="63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ARTICLE I</w:t>
              <w:br/>
              <w:t>DEFINITIONS</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Definition of Terms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2</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II</w:t>
              <w:br/>
              <w:t>GENERAL TERMS OF THE NOTES</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2.01.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Designation and Principal Amount</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8</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2.02.</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Further Issues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8</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2.03.</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Maturity</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8</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2.04.</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Interest</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8</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2.05.</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Global Securities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9</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2.06.</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Form of Notes; Denomination</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9</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2.07.</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Depositary</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9</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III</w:t>
              <w:br/>
              <w:t>OPTIONAL REDEMPTION</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3.01.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Optional Redemption</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9</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3.02.</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Applicability of Certain Redemption Provisions in Base Indenture</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9</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3.03.</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Selection of Notes for Partial Redemption</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9</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IV</w:t>
              <w:br/>
              <w:t>SPECIAL MANDATORY REDEMPTION</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4.01.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Special Mandatory Redemption</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10</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4.02.</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Mandatory Redemption Notice</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10</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4.03.</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Event of Default</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10</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4.04.</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722" w:type="dxa"/>
            <w:gridSpan w:val="2"/>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Completion of the Separation 11</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V</w:t>
              <w:br/>
              <w:t>CHANGE OF CONTROL</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5.01.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Change of Control</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11</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VI</w:t>
              <w:br/>
              <w:t>COVENANTS</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6.01.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Limitation on Liens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12</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6.02.</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Sale and Leaseback Transactions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12</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6.03.</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Merger, Consolidation and Sale of Assets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12</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6.04.</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Rule 144A Information</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12</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VII</w:t>
              <w:br/>
              <w:t>EVENTS OF DEFAULT</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7.01.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Events of Default</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13</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VIII</w:t>
              <w:br/>
              <w:t>AMENDMENT, SUPPLEMENT AND WAIVER</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8.01.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Without the Consent of Holders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13</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8.02.</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With the Consent of Holders</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13</w:t>
            </w:r>
          </w:p>
        </w:tc>
      </w:tr>
      <w:tr>
        <w:trPr/>
        <w:tc>
          <w:tcPr>
            <w:tcW w:w="8564"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XI</w:t>
              <w:br/>
              <w:t>SATISFACTION AND DISCHARGE; DEFEASANCE</w:t>
            </w:r>
          </w:p>
        </w:tc>
      </w:tr>
      <w:tr>
        <w:trPr/>
        <w:tc>
          <w:tcPr>
            <w:tcW w:w="169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9.01.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6331"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Satisfaction and Discharge of Indenture</w:t>
            </w:r>
          </w:p>
        </w:tc>
        <w:tc>
          <w:tcPr>
            <w:tcW w:w="39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4"/>
        <w:gridCol w:w="146"/>
        <w:gridCol w:w="7963"/>
        <w:gridCol w:w="392"/>
      </w:tblGrid>
      <w:tr>
        <w:trPr/>
        <w:tc>
          <w:tcPr>
            <w:tcW w:w="1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9.02.</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Defeasance and Covenant Defeasance upon Deposit of Moneys or U.S. Government Obligations</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13</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4"/>
              </w:rPr>
            </w:pPr>
            <w:r>
              <w:rPr>
                <w:rFonts w:ascii="Times New Roman" w:hAnsi="Times New Roman"/>
                <w:color w:val="000000"/>
                <w:sz w:val="24"/>
              </w:rPr>
              <w:t>ARTICLE X</w:t>
              <w:br/>
              <w:t>MISCELLANEOUS</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Ratification of Base Indenture</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13</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10.02.</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Trust Indenture Act Controls</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14</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10.03.</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Effects of Headings and Table of Contents</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14</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10.04.</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Successors and Assigns</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14</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10.05.</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Separability Clause</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14</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10.06.</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Benefits of the Supplemental Indenture</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14</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10.07.</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Counterpart Originals</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14</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10.08.</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Governing Law; Waiver of Jury Trial</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14</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10.09.</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Force Majeure</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15</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10.10.</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U.S.A. Patriot Act</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15</w:t>
            </w:r>
          </w:p>
        </w:tc>
      </w:tr>
      <w:tr>
        <w:trPr/>
        <w:tc>
          <w:tcPr>
            <w:tcW w:w="1704"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SECTION 10.11.</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left"/>
              <w:rPr/>
            </w:pPr>
            <w:r>
              <w:rPr/>
              <w:t> </w:t>
            </w:r>
          </w:p>
        </w:tc>
        <w:tc>
          <w:tcPr>
            <w:tcW w:w="7963"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Trustee</w:t>
            </w:r>
          </w:p>
        </w:tc>
        <w:tc>
          <w:tcPr>
            <w:tcW w:w="392"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15</w:t>
            </w:r>
          </w:p>
        </w:tc>
      </w:tr>
    </w:tbl>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APPENDIX A – Provisions Relating to Initial Notes and Exchange Notes</w:t>
      </w:r>
    </w:p>
    <w:p>
      <w:pPr>
        <w:pStyle w:val="TextBody"/>
        <w:bidi w:val="0"/>
        <w:jc w:val="left"/>
        <w:rPr>
          <w:rFonts w:ascii="Times New Roman" w:hAnsi="Times New Roman"/>
          <w:color w:val="000000"/>
          <w:sz w:val="24"/>
        </w:rPr>
      </w:pPr>
      <w:r>
        <w:rPr>
          <w:rFonts w:ascii="Times New Roman" w:hAnsi="Times New Roman"/>
          <w:color w:val="000000"/>
          <w:sz w:val="24"/>
        </w:rPr>
        <w:t>EXHIBIT A – Form of Global 2031 Note</w:t>
      </w:r>
    </w:p>
    <w:p>
      <w:pPr>
        <w:pStyle w:val="TextBody"/>
        <w:bidi w:val="0"/>
        <w:jc w:val="left"/>
        <w:rPr>
          <w:rFonts w:ascii="Times New Roman" w:hAnsi="Times New Roman"/>
          <w:color w:val="000000"/>
          <w:sz w:val="24"/>
        </w:rPr>
      </w:pPr>
      <w:r>
        <w:rPr>
          <w:rFonts w:ascii="Times New Roman" w:hAnsi="Times New Roman"/>
          <w:color w:val="000000"/>
          <w:sz w:val="24"/>
        </w:rPr>
        <w:t>EXHIBIT B – Form of Global 2036 Note</w:t>
      </w:r>
    </w:p>
    <w:p>
      <w:pPr>
        <w:pStyle w:val="TextBody"/>
        <w:bidi w:val="0"/>
        <w:jc w:val="left"/>
        <w:rPr>
          <w:rFonts w:ascii="Times New Roman" w:hAnsi="Times New Roman"/>
          <w:color w:val="000000"/>
          <w:sz w:val="24"/>
        </w:rPr>
      </w:pPr>
      <w:r>
        <w:rPr>
          <w:rFonts w:ascii="Times New Roman" w:hAnsi="Times New Roman"/>
          <w:color w:val="000000"/>
          <w:sz w:val="24"/>
        </w:rPr>
        <w:t>EXHIBIT C – Form of Restricted Securities Legend</w:t>
      </w:r>
    </w:p>
    <w:p>
      <w:pPr>
        <w:pStyle w:val="TextBody"/>
        <w:bidi w:val="0"/>
        <w:jc w:val="left"/>
        <w:rPr>
          <w:rFonts w:ascii="Times New Roman" w:hAnsi="Times New Roman"/>
          <w:color w:val="000000"/>
          <w:sz w:val="24"/>
        </w:rPr>
      </w:pPr>
      <w:r>
        <w:rPr>
          <w:rFonts w:ascii="Times New Roman" w:hAnsi="Times New Roman"/>
          <w:color w:val="000000"/>
          <w:sz w:val="24"/>
        </w:rPr>
        <w:t>EXHIBIT D – Regulation S Certificate</w:t>
      </w:r>
    </w:p>
    <w:p>
      <w:pPr>
        <w:pStyle w:val="TextBody"/>
        <w:bidi w:val="0"/>
        <w:jc w:val="left"/>
        <w:rPr>
          <w:rFonts w:ascii="Times New Roman" w:hAnsi="Times New Roman"/>
          <w:color w:val="000000"/>
          <w:sz w:val="24"/>
        </w:rPr>
      </w:pPr>
      <w:r>
        <w:rPr>
          <w:rFonts w:ascii="Times New Roman" w:hAnsi="Times New Roman"/>
          <w:color w:val="000000"/>
          <w:sz w:val="24"/>
        </w:rPr>
        <w:t>EXHIBIT E – Rule 144A Certificate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FIRST SUPPLEMENTAL INDENTURE, dated as of August 31, 2026 (this “Supplemental Indenture”), between Vylor Inc., a Delaware corporation (the “Company”), and U.S. Bank Trust Company, National Association, a national banking association, as trustee (the “Trustee”).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WITNESSETH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WHEREAS, On October 1, 2025, Corteva, Inc. (“Corteva”), the ultimate parent of the Company, announced that its board of directors unanimously approved a plan to separate into two independent, publicly traded companies, one comprising the crop protection business and the other being the Company, which would hold the seed business (the “Separation”).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pursuant to a Separation and Distribution Agreement (the “Separation and Distribution Agreement”) to be entered into by and among Corteva, the Company and, solely for certain purposes, EIDP, Inc., the Separation will occur on October 1, 2026 or such other date as shall be agreed among the parties thereto (the “Effective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in connection with capitalization plans related to the Separation, the Company executed and delivered to the Trustee the Indenture, dated as of August 31, 2026 (the “Base Indenture” and, as supplemented by this Supplemental Indenture, the “Indenture”), between the Company and the Trustee, providing for the issuance by the Company from time to time of one or more series of its debt securities (the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the Base Indenture provides, among other things, that by means of a supplemental indenture, the Company and the Trustee may, without the consent of Holders, establish the form, title and terms of Securities of any series in accordance with the Base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pursuant to the terms of the Base Indenture, the Company desires to establish two new series of Securities under the Base Indenture to be designated as follows: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“5.125% Senior Notes due 2031” (the “Initial 2031 Notes”), substantially in the form attached hereto as Exhibit A and on the terms set forth herein, together with any Exchange Notes (as defined in Appendix A hereto) issued therefor as provided herein (the “Exchange 2031 Notes” and, together with the Initial 2031 Notes, the “2031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“5.625% Senior Notes due 2036” (the “Initial 2036 Notes”), substantially in the form attached hereto as Exhibit B and on the terms set forth herein, together with any Exchange Notes issued therefor as provided herein (the “Exchange 2036 Notes” and, together with the Initial 2036 Notes, the “2036 Notes”) (the 2031 Notes and 2036 Notes are together referred to herein as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the form, title and terms of the Notes shall be set forth in this Supplemental Indenture in accordance with the terms of the Base Indenture;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the Board of Directors of the Company, pursuant to the Unanimous Written Consent, dated August 5, 2026, has duly authorized the issuance of the Notes and has authorized the proper officers of the Company to execute and deliver any and all instruments and documents necessary or advisable to effect such issuance;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this Supplemental Indenture is being entered into pursuant to Sections 3.01 and 14.01 of the Base Indenture;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all acts and things necessary to make this Supplemental Indenture a valid agreement according to its terms, and to make the Notes, when executed by the Company and authenticated and delivered by the Trustee, the valid obligations of the Company, have been done and performed, and the execution of this Supplemental Indenture and the issuance hereunder of the Notes has been duly authorized in all respects.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in consideration of the premises and the purchase of the Notes by the Holders thereof, and for the purpose of setting forth, as provided in the Base Indenture, the forms, titles and terms of the Notes, the Company covenants and agrees with the Trustee, as follows:</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I</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all purposes of this Supplemental Indenture, except as otherwise expressly provided or unless the context otherwise requires: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terms defined in this Article have the meanings assigned to them in this Article and include the plural as well as the singular;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each term defined in the Base Indenture has the same meaning when used in this Supplemental Indenture;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a term is defined both herein and in the Base Indenture, the definition in this Supplemental Indenture shall govern with respect to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words “herein”, “hereof” and “hereunder” and other words of similar import refer to this Supplemental Indenture as a whole and not to any particular Article, Section or other subdivision;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references to “Article” or “Section” or other subdivisions herein are references to an Article, Section or other subdivisions of this Supplemental Indenture.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1.01. </w:t>
      </w:r>
      <w:r>
        <w:rPr>
          <w:rFonts w:ascii="Times New Roman" w:hAnsi="Times New Roman"/>
          <w:b w:val="false"/>
          <w:color w:val="000000"/>
          <w:sz w:val="24"/>
          <w:u w:val="single"/>
        </w:rPr>
        <w:t>Definition of Terms.</w:t>
      </w:r>
      <w:r>
        <w:rPr>
          <w:rFonts w:ascii="Times New Roman" w:hAnsi="Times New Roman"/>
          <w:color w:val="000000"/>
          <w:sz w:val="24"/>
        </w:rPr>
        <w:t xml:space="preserve"> </w:t>
      </w:r>
      <w:r>
        <w:rPr>
          <w:rFonts w:ascii="Times New Roman" w:hAnsi="Times New Roman"/>
          <w:b w:val="false"/>
          <w:color w:val="000000"/>
          <w:sz w:val="24"/>
        </w:rPr>
        <w:t>Unless the context otherwise requires, the terms defined in this Section 1.01 shall for all purposes of this Supplemental Indenture have the meanings hereinafter set forth: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Base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“Base Indenture”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2031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“2031 Notes”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2031 Regular Record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“2031 Regular Record Date” has the meaning specified in Section 2.04(a)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2036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“2036 Notes”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2036 Regular Record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“2036 Regular Record Date” has the meaning specified in Section 2.04(b)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Below Investment Grade Rating Event: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The term “Below Investment Grade Rating Event” means the applicable series of Notes is rated below an Investment Grade Rating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such series of Notes is under publicly announced consideration for possible downgrade by any of the Rating Agencies); </w:t>
      </w:r>
      <w:r>
        <w:rPr>
          <w:rFonts w:ascii="Times New Roman" w:hAnsi="Times New Roman"/>
          <w:color w:val="000000"/>
          <w:sz w:val="24"/>
          <w:u w:val="single"/>
        </w:rPr>
        <w:t>provided</w:t>
      </w:r>
      <w:r>
        <w:rPr>
          <w:rFonts w:ascii="Times New Roman" w:hAnsi="Times New Roman"/>
          <w:color w:val="000000"/>
          <w:sz w:val="24"/>
        </w:rPr>
        <w:t xml:space="preserve"> that a Below Investment Grade Rating Event otherwise arising by virtue of a particular reduction in rating shall not be deemed to have occurred with respect to a particular Change of Control (and thus shall not be deemed a Below Investment Grade Rating Event for purposes of the definition of Change of Control Triggering Event hereunder) if the Rating Agency or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Business Day: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“Business Day” means any day, other than a Saturday or Sunday, that is not a day on which banking institutions are authorized or required by law or regulation to close in the City of New York.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Change of Control: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“Change of Control” means the occurrence of any of the following: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or Group other than the Company or one of its subsidiaries;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approval by the holders of the Company’s voting stock of any plan or proposal for the liquidation or dissolution of the Company (whether or not otherwise in compliance with the provisions of the Indenture);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consummation of any transaction (including, without limitation, any merger or consolidation) the result of which is that any Person or Group becomes the beneficial owner, directly or indirectly, of more than 50% of the then outstanding voting interests in the Company’s capital stock.</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Change of Control Offer: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“Change of Control Offer” has the meaning specified in Section 5.01(a)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Change of Control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“Change of Control Payment” has the meaning specified in Section 5.01(a)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Change of Control Payment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“Change of Control Payment Date” has the meaning specified in Section 5.01(b)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Change of Control Triggering Event: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“Change of Control Triggering Event” means the occurrence of both a Change of Control and a Below Investment Grade Rating Event.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“Company” has the meaning specified in the preamble of this Supplemental Indenture.</w:t>
      </w:r>
    </w:p>
    <w:p>
      <w:pPr>
        <w:pStyle w:val="TextBody"/>
        <w:bidi w:val="0"/>
        <w:spacing w:before="0" w:after="240"/>
        <w:jc w:val="left"/>
        <w:rPr>
          <w:rFonts w:ascii="Times New Roman" w:hAnsi="Times New Roman"/>
          <w:sz w:val="24"/>
        </w:rPr>
      </w:pPr>
      <w:r>
        <w:rPr>
          <w:rFonts w:ascii="Times New Roman" w:hAnsi="Times New Roman"/>
          <w:b/>
          <w:color w:val="000000"/>
          <w:sz w:val="24"/>
        </w:rPr>
        <w:t>Corteva:</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term “Corteva” has the meaning specified in the recitals of this Supplemental Indenture.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Effective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term “Effective Time” has the meaning specified in the recitals of this Supplemental Indenture.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Exchange 2031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“Exchange 2031 Notes”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Exchange 2036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“Exchange 2036 Notes”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Fitch: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“Fitch” means Fitch Ratings Inc. and its successors.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Group: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“Group” means a group of related persons for purposes of Section 13(d) of the Exchange Act.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“Indenture”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Initial 2031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“Initial 2031 Notes”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Initial 2036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“Initial 2036 Notes”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Investment Grade Rating: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“Investment Grade Rating” means, with respect to Fitch, a rating equal to or higher than BBB- (or its equivalent under any successor rating categories of Fitch), with respect to Moody’s, a rating equal to or higher than Baa3 (or its equivalent under any successor rating categories of Moody’s) and, with respect to S&amp;P, BBB- (or its equivalent under any successor rating categories of S&amp;P), or, if the Notes are not then rated by Fitch, Moody’s or S&amp;P, an equivalent investment grade credit rating by any additional Rating Agency or Rating Agencies selected by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Issue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“Issue Date” means August 31, 2026.</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Moody’s: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“Moody’s” means Moody’s Ratings and its successors.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“Notes”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Paying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“Paying Agent” means the Trustee or any other Person authorized by the Company to pay the principal of or interest on the Notes on behalf of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Person: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“Person” has the meaning assigned to it in the Base Indenture and includes a “person” as used in Section 13(d)(3) of the Exchange Act.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Rating Agencies: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“Rating Agencies” means (i) each of Fitch, Moody’s and S&amp;P; and (ii) if any of Fitch, Moody’s or S&amp;P ceases to rate the Notes or fails to make a rating of the Notes publicly available for reasons outside of the Company’s control, a credit rating agency registered as a “nationally recognized statistical rating organization” with the SEC, selected by the Company as a replacement agency for Fitch, Moody’s or S&amp;P, or all of them, as the case may be.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Regular Record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“Regular Record Date” means (i) when referring to the 2031 Notes, the 2031 Regular Record Date and (ii) when referring to the 2036 Notes, the 2036 Regular Record Date.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S&amp;P: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“S&amp;P” means S&amp;P Global Ratings and its successors.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“SEC” means the U.S. Securities and Exchange Commission.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“Securities” has the meaning specified in the recitals of this Supplemental Indenture.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Separation: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“Separation” has the meaning specified in the recitals of this Supplemental Indenture.</w:t>
      </w:r>
    </w:p>
    <w:p>
      <w:pPr>
        <w:pStyle w:val="TextBody"/>
        <w:bidi w:val="0"/>
        <w:jc w:val="left"/>
        <w:rPr>
          <w:rFonts w:ascii="Times New Roman" w:hAnsi="Times New Roman"/>
          <w:b/>
          <w:color w:val="000000"/>
          <w:sz w:val="24"/>
        </w:rPr>
      </w:pPr>
      <w:r>
        <w:rPr>
          <w:rFonts w:ascii="Times New Roman" w:hAnsi="Times New Roman"/>
          <w:b/>
          <w:color w:val="000000"/>
          <w:sz w:val="24"/>
        </w:rPr>
        <w:t>Separation and Distribution Agreement: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term “Separation and Distribution Agreement” has the meaning specified in the recitals of this Supplemental Indenture.</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00000"/>
          <w:sz w:val="24"/>
        </w:rPr>
        <w:t>Special Mandatory Redemption</w:t>
      </w:r>
      <w:r>
        <w:rPr>
          <w:rFonts w:ascii="Times New Roman" w:hAnsi="Times New Roman"/>
          <w:color w:val="000000"/>
          <w:sz w:val="24"/>
        </w:rPr>
        <w: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“Special Mandatory Redemption” has the meaning set forth in Section 4.01 hereof.</w:t>
      </w:r>
    </w:p>
    <w:p>
      <w:pPr>
        <w:pStyle w:val="TextBody"/>
        <w:bidi w:val="0"/>
        <w:jc w:val="left"/>
        <w:rPr>
          <w:rFonts w:ascii="Times New Roman" w:hAnsi="Times New Roman"/>
          <w:sz w:val="24"/>
        </w:rPr>
      </w:pPr>
      <w:r>
        <w:rPr>
          <w:rFonts w:ascii="Times New Roman" w:hAnsi="Times New Roman"/>
          <w:b/>
          <w:color w:val="000000"/>
          <w:sz w:val="24"/>
        </w:rPr>
        <w:t>Special Mandatory Redemption Date</w:t>
      </w:r>
      <w:r>
        <w:rPr>
          <w:rFonts w:ascii="Times New Roman" w:hAnsi="Times New Roman"/>
          <w:color w:val="000000"/>
          <w:sz w:val="24"/>
        </w:rPr>
        <w: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“Special Mandatory Redemption Date” has the meaning set forth in Section 4.02 hereof.</w:t>
      </w:r>
    </w:p>
    <w:p>
      <w:pPr>
        <w:pStyle w:val="TextBody"/>
        <w:bidi w:val="0"/>
        <w:jc w:val="left"/>
        <w:rPr>
          <w:rFonts w:ascii="Times New Roman" w:hAnsi="Times New Roman"/>
          <w:sz w:val="24"/>
        </w:rPr>
      </w:pPr>
      <w:r>
        <w:rPr>
          <w:rFonts w:ascii="Times New Roman" w:hAnsi="Times New Roman"/>
          <w:b/>
          <w:color w:val="000000"/>
          <w:sz w:val="24"/>
        </w:rPr>
        <w:t>Special Mandatory Redemption End Date</w:t>
      </w:r>
      <w:r>
        <w:rPr>
          <w:rFonts w:ascii="Times New Roman" w:hAnsi="Times New Roman"/>
          <w:color w:val="000000"/>
          <w:sz w:val="24"/>
        </w:rPr>
        <w: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“Special Mandatory Redemption End Date” has the meaning set forth in Section 4.01 hereof.</w:t>
      </w:r>
    </w:p>
    <w:p>
      <w:pPr>
        <w:pStyle w:val="TextBody"/>
        <w:bidi w:val="0"/>
        <w:jc w:val="left"/>
        <w:rPr>
          <w:rFonts w:ascii="Times New Roman" w:hAnsi="Times New Roman"/>
          <w:b/>
          <w:color w:val="000000"/>
          <w:sz w:val="24"/>
        </w:rPr>
      </w:pPr>
      <w:r>
        <w:rPr>
          <w:rFonts w:ascii="Times New Roman" w:hAnsi="Times New Roman"/>
          <w:b/>
          <w:color w:val="000000"/>
          <w:sz w:val="24"/>
        </w:rPr>
        <w:t>Special Mandatory Redemption Event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“Special Mandatory Redemption Event” has the meaning set forth in Section 4.01 hereof.</w:t>
      </w:r>
    </w:p>
    <w:p>
      <w:pPr>
        <w:pStyle w:val="TextBody"/>
        <w:bidi w:val="0"/>
        <w:jc w:val="left"/>
        <w:rPr>
          <w:rFonts w:ascii="Times New Roman" w:hAnsi="Times New Roman"/>
          <w:sz w:val="24"/>
        </w:rPr>
      </w:pPr>
      <w:r>
        <w:rPr>
          <w:rFonts w:ascii="Times New Roman" w:hAnsi="Times New Roman"/>
          <w:b/>
          <w:color w:val="000000"/>
          <w:sz w:val="24"/>
        </w:rPr>
        <w:t>Special Mandatory Redemption Notice Date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term “Special Mandatory Redemption Notice Date” has the meaning set forth in Section 4.02 hereof.</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00000"/>
          <w:sz w:val="24"/>
        </w:rPr>
        <w:t>Special Mandatory Redemption Price</w:t>
      </w:r>
      <w:r>
        <w:rPr>
          <w:rFonts w:ascii="Times New Roman" w:hAnsi="Times New Roman"/>
          <w:color w:val="000000"/>
          <w:sz w:val="24"/>
        </w:rPr>
        <w:t>:</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“Special Mandatory Redemption Price” has the meaning set forth in Section 4.01 hereof.</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term “Trustee” has the meaning specified in the preamble of this Supplemental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II</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GENERAL TERMS OF THE NOTES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2.01. </w:t>
      </w:r>
      <w:r>
        <w:rPr>
          <w:rFonts w:ascii="Times New Roman" w:hAnsi="Times New Roman"/>
          <w:b w:val="false"/>
          <w:color w:val="000000"/>
          <w:sz w:val="24"/>
          <w:u w:val="single"/>
        </w:rPr>
        <w:t>Designation and Principal Amount.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There is hereby authorized and established two new series of Securities under the Base Indenture, designated as the “5.125% Senior Notes due 2031” and the “5.625% Senior Notes due 2036,” each of which are not limited in aggregate principal amount.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There are initially to be authenticated and delivered (i) $550,000,000 aggregate principal amount of the 2031 Notes and (ii) $550,000,000 aggregate principal amount of the 2036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Notes will constitute senior, unsecured and unsubordinated indebtedness of the Company and will rank pari passu in right of payment with all other unsecured and unsubordinated indebtedness of the Company from time to time outstanding.</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2.02. </w:t>
      </w:r>
      <w:r>
        <w:rPr>
          <w:rFonts w:ascii="Times New Roman" w:hAnsi="Times New Roman"/>
          <w:b w:val="false"/>
          <w:color w:val="000000"/>
          <w:sz w:val="24"/>
          <w:u w:val="single"/>
        </w:rPr>
        <w:t>Further Issues.</w:t>
      </w:r>
      <w:r>
        <w:rPr>
          <w:rFonts w:ascii="Times New Roman" w:hAnsi="Times New Roman"/>
          <w:color w:val="000000"/>
          <w:sz w:val="24"/>
        </w:rPr>
        <w:t xml:space="preserve"> </w:t>
      </w:r>
      <w:r>
        <w:rPr>
          <w:rFonts w:ascii="Times New Roman" w:hAnsi="Times New Roman"/>
          <w:b w:val="false"/>
          <w:color w:val="000000"/>
          <w:sz w:val="24"/>
        </w:rPr>
        <w:t xml:space="preserve">Notwithstanding the initial aggregate principal amounts set forth in Section 2.01(b) of this Supplemental Indenture, the Company may, from time to time without the consent of the Holders of the applicable series of Notes, issue additional notes of such series having the same ranking, interest rate, maturity and other terms as the previously issued Notes of such series, except for the issue date and, under certain circumstances, the public offering price and the initial Interest Payment Date. Any additional notes of the applicable series having such similar terms, together with the previously issued Notes of such series, will constitute a single series of Securities under the Indenture;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in the event that additional notes of the applicable series are not fungible with the previously issued Notes of such series for U.S. federal income tax purposes, the Company shall cause such additional notes to be issued with a separate CUSIP number or other applicable identifying number so that they are distinguishable from such previously issued Notes of such series. No additional notes of the applicable series may be issued if an Event of Default has occurred and is continuing with respect to the Notes of such series.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2.03. </w:t>
      </w:r>
      <w:r>
        <w:rPr>
          <w:rFonts w:ascii="Times New Roman" w:hAnsi="Times New Roman"/>
          <w:b w:val="false"/>
          <w:color w:val="000000"/>
          <w:sz w:val="24"/>
          <w:u w:val="single"/>
        </w:rPr>
        <w:t>Maturity.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2031 Notes will mature on August 15, 2031.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2036 Notes will mature on August 15, 2036.</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2.04. </w:t>
      </w:r>
      <w:r>
        <w:rPr>
          <w:rFonts w:ascii="Times New Roman" w:hAnsi="Times New Roman"/>
          <w:b w:val="false"/>
          <w:color w:val="000000"/>
          <w:sz w:val="24"/>
          <w:u w:val="single"/>
        </w:rPr>
        <w:t>Interest.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2031 Notes will bear interest (computed on the basis of a 360-day year consisting of twelve 30-day months) from the Issue Date or the most recent Interest Payment Date to which interest has been paid or duly provided for at the rate of 5.125% per annum, payable semiannually in arrears on February 15 and August 15 of each year, commencing on February 15, 2027 to the person in whose name the note is registered at the close of business on the immediately preceding February 1 and August 1, respectively (whether or not a Business Day) (each, a “2031 Regular Record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2036 Notes will bear interest (computed on the basis of a 360-day year consisting of twelve 30-day months) from the Issue Date or the most recent Interest Payment Date to which interest has been paid or duly provided for at the rate of 5.625% per annum, payable semiannually in arrears on February 15 and August 15 of each year, commencing on February 15, 2027 to the person in whose name the note is registered at the close of business on the immediately preceding February 1 and August 1, respectively (whether or not a Business Day) (each, a “2036 Regular Record Date”).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2.05. </w:t>
      </w:r>
      <w:r>
        <w:rPr>
          <w:rFonts w:ascii="Times New Roman" w:hAnsi="Times New Roman"/>
          <w:b w:val="false"/>
          <w:color w:val="000000"/>
          <w:sz w:val="24"/>
          <w:u w:val="single"/>
        </w:rPr>
        <w:t>Global Securities.</w:t>
      </w:r>
      <w:r>
        <w:rPr>
          <w:rFonts w:ascii="Times New Roman" w:hAnsi="Times New Roman"/>
          <w:color w:val="000000"/>
          <w:sz w:val="24"/>
        </w:rPr>
        <w:t xml:space="preserve"> </w:t>
      </w:r>
      <w:r>
        <w:rPr>
          <w:rFonts w:ascii="Times New Roman" w:hAnsi="Times New Roman"/>
          <w:b w:val="false"/>
          <w:color w:val="000000"/>
          <w:sz w:val="24"/>
        </w:rPr>
        <w:t>Each series of Notes will initially be issued in the form of one or more permanent Global Securities in definitive, fully registered form.</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2.06. </w:t>
      </w:r>
      <w:r>
        <w:rPr>
          <w:rFonts w:ascii="Times New Roman" w:hAnsi="Times New Roman"/>
          <w:b w:val="false"/>
          <w:color w:val="000000"/>
          <w:sz w:val="24"/>
          <w:u w:val="single"/>
        </w:rPr>
        <w:t>Form of Notes; Denomination.</w:t>
      </w:r>
      <w:r>
        <w:rPr>
          <w:rFonts w:ascii="Times New Roman" w:hAnsi="Times New Roman"/>
          <w:color w:val="000000"/>
          <w:sz w:val="24"/>
        </w:rPr>
        <w:t xml:space="preserve"> </w:t>
      </w:r>
      <w:r>
        <w:rPr>
          <w:rFonts w:ascii="Times New Roman" w:hAnsi="Times New Roman"/>
          <w:b w:val="false"/>
          <w:color w:val="000000"/>
          <w:sz w:val="24"/>
        </w:rPr>
        <w:t xml:space="preserve">Provisions relating to the Initial Notes and the Exchange Notes are set forth in Appendix A, which is hereby incorporated in and expressly made part of this Supplemental Indenture. The 2031 Notes and the Trustee’s certificate of authentication to be endorsed thereon are to be substantially in the form set forth in </w:t>
      </w:r>
      <w:r>
        <w:rPr>
          <w:rFonts w:ascii="Times New Roman" w:hAnsi="Times New Roman"/>
          <w:b w:val="false"/>
          <w:color w:val="000000"/>
          <w:sz w:val="24"/>
          <w:u w:val="single"/>
        </w:rPr>
        <w:t>Exhibit A</w:t>
      </w:r>
      <w:r>
        <w:rPr>
          <w:rFonts w:ascii="Times New Roman" w:hAnsi="Times New Roman"/>
          <w:color w:val="000000"/>
          <w:sz w:val="24"/>
        </w:rPr>
        <w:t xml:space="preserve"> </w:t>
      </w:r>
      <w:r>
        <w:rPr>
          <w:rFonts w:ascii="Times New Roman" w:hAnsi="Times New Roman"/>
          <w:b w:val="false"/>
          <w:color w:val="000000"/>
          <w:sz w:val="24"/>
        </w:rPr>
        <w:t xml:space="preserve">hereto. The 2036 Notes and the Trustee’s certificate of authentication to be endorsed thereon are to be substantially in the form set forth in </w:t>
      </w:r>
      <w:r>
        <w:rPr>
          <w:rFonts w:ascii="Times New Roman" w:hAnsi="Times New Roman"/>
          <w:b w:val="false"/>
          <w:color w:val="000000"/>
          <w:sz w:val="24"/>
          <w:u w:val="single"/>
        </w:rPr>
        <w:t>Exhibit B</w:t>
      </w:r>
      <w:r>
        <w:rPr>
          <w:rFonts w:ascii="Times New Roman" w:hAnsi="Times New Roman"/>
          <w:color w:val="000000"/>
          <w:sz w:val="24"/>
        </w:rPr>
        <w:t xml:space="preserve"> </w:t>
      </w:r>
      <w:r>
        <w:rPr>
          <w:rFonts w:ascii="Times New Roman" w:hAnsi="Times New Roman"/>
          <w:b w:val="false"/>
          <w:color w:val="000000"/>
          <w:sz w:val="24"/>
        </w:rPr>
        <w:t>hereto. Each series of Notes shall be issued and may be transferred only in minimum denominations of $2,000 or any integral multiple of $1,000 in excess thereof.</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2.07. </w:t>
      </w:r>
      <w:r>
        <w:rPr>
          <w:rFonts w:ascii="Times New Roman" w:hAnsi="Times New Roman"/>
          <w:b w:val="false"/>
          <w:color w:val="000000"/>
          <w:sz w:val="24"/>
          <w:u w:val="single"/>
        </w:rPr>
        <w:t>Depositary.</w:t>
      </w:r>
      <w:r>
        <w:rPr>
          <w:rFonts w:ascii="Times New Roman" w:hAnsi="Times New Roman"/>
          <w:color w:val="000000"/>
          <w:sz w:val="24"/>
        </w:rPr>
        <w:t xml:space="preserve"> </w:t>
      </w:r>
      <w:r>
        <w:rPr>
          <w:rFonts w:ascii="Times New Roman" w:hAnsi="Times New Roman"/>
          <w:b w:val="false"/>
          <w:color w:val="000000"/>
          <w:sz w:val="24"/>
        </w:rPr>
        <w:t>DTC will initially act as Depositary with respect to each series of Notes (the “Depositary”).</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III</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OPTIONAL REDEMPTION</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3.01. </w:t>
      </w:r>
      <w:r>
        <w:rPr>
          <w:rFonts w:ascii="Times New Roman" w:hAnsi="Times New Roman"/>
          <w:b w:val="false"/>
          <w:color w:val="000000"/>
          <w:sz w:val="24"/>
          <w:u w:val="single"/>
        </w:rPr>
        <w:t>Optional Redemption.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 The 2031 Notes shall be redeemable at the option of the Company as set forth under the heading “Optional Redemption” in the form of security set forth in </w:t>
      </w:r>
      <w:r>
        <w:rPr>
          <w:rFonts w:ascii="Times New Roman" w:hAnsi="Times New Roman"/>
          <w:color w:val="000000"/>
          <w:sz w:val="24"/>
          <w:u w:val="single"/>
        </w:rPr>
        <w:t>Exhibit A</w:t>
      </w:r>
      <w:r>
        <w:rPr>
          <w:rFonts w:ascii="Times New Roman" w:hAnsi="Times New Roman"/>
          <w:color w:val="000000"/>
          <w:sz w:val="24"/>
        </w:rPr>
        <w:t xml:space="preserve"> hereto.</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The 2036 Notes shall be redeemable at the option of the Company as set forth under the heading “Optional Redemption” in the form of security set forth in </w:t>
      </w:r>
      <w:r>
        <w:rPr>
          <w:rFonts w:ascii="Times New Roman" w:hAnsi="Times New Roman"/>
          <w:color w:val="000000"/>
          <w:sz w:val="24"/>
          <w:u w:val="single"/>
        </w:rPr>
        <w:t>Exhibit B</w:t>
      </w:r>
      <w:r>
        <w:rPr>
          <w:rFonts w:ascii="Times New Roman" w:hAnsi="Times New Roman"/>
          <w:color w:val="000000"/>
          <w:sz w:val="24"/>
        </w:rPr>
        <w:t xml:space="preserve"> hereto.</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3.02. </w:t>
      </w:r>
      <w:r>
        <w:rPr>
          <w:rFonts w:ascii="Times New Roman" w:hAnsi="Times New Roman"/>
          <w:b w:val="false"/>
          <w:color w:val="000000"/>
          <w:sz w:val="24"/>
          <w:u w:val="single"/>
        </w:rPr>
        <w:t>Applicability of Certain Redemption Provisions in Base Indenture.</w:t>
      </w:r>
      <w:r>
        <w:rPr>
          <w:rFonts w:ascii="Times New Roman" w:hAnsi="Times New Roman"/>
          <w:color w:val="000000"/>
          <w:sz w:val="24"/>
        </w:rPr>
        <w:t xml:space="preserve"> </w:t>
      </w:r>
      <w:r>
        <w:rPr>
          <w:rFonts w:ascii="Times New Roman" w:hAnsi="Times New Roman"/>
          <w:b w:val="false"/>
          <w:color w:val="000000"/>
          <w:sz w:val="24"/>
        </w:rPr>
        <w:t>The provisions of Article IV of the Base Indenture shall be applicable to any redemption of Notes pursuant to this Article III.</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3.03. </w:t>
      </w:r>
      <w:r>
        <w:rPr>
          <w:rFonts w:ascii="Times New Roman" w:hAnsi="Times New Roman"/>
          <w:b w:val="false"/>
          <w:color w:val="000000"/>
          <w:sz w:val="24"/>
          <w:u w:val="single"/>
        </w:rPr>
        <w:t>Selection of Notes for Partial Redemption.</w:t>
      </w:r>
      <w:r>
        <w:rPr>
          <w:rFonts w:ascii="Times New Roman" w:hAnsi="Times New Roman"/>
          <w:color w:val="000000"/>
          <w:sz w:val="24"/>
        </w:rPr>
        <w:t xml:space="preserve"> </w:t>
      </w:r>
      <w:r>
        <w:rPr>
          <w:rFonts w:ascii="Times New Roman" w:hAnsi="Times New Roman"/>
          <w:b w:val="false"/>
          <w:color w:val="000000"/>
          <w:sz w:val="24"/>
        </w:rPr>
        <w:t>Notwithstanding Section 4.02 of the Base Indenture, selection of the Notes for partial redemption will be made on a pro rata basis, by lot or by such other method as the Trustee in its sole discretion deems fair and appropriate; provided that, for so long as the Notes are held in global form, any such selection shall be made in accordance with the applicable procedures of DTC.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IV</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SPECIAL MANDATORY REDEMPTION</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SECTION 4.01. </w:t>
      </w:r>
      <w:r>
        <w:rPr>
          <w:rFonts w:ascii="Times New Roman" w:hAnsi="Times New Roman"/>
          <w:color w:val="000000"/>
          <w:sz w:val="24"/>
          <w:u w:val="single"/>
        </w:rPr>
        <w:t>Special Mandatory Redemption</w:t>
      </w:r>
      <w:r>
        <w:rPr>
          <w:rFonts w:ascii="Times New Roman" w:hAnsi="Times New Roman"/>
          <w:color w:val="000000"/>
          <w:sz w:val="24"/>
        </w:rPr>
        <w:t xml:space="preserve">. If (i) the Separation is not consummated on the Effective Time (the “Special Mandatory Redemption End Date”), or (ii) at any time prior to the Special Mandatory Redemption End Date, the Separation and Distribution Agreement has been terminated in accordance with its terms (each, a “Special Mandatory Redemption Event”), the provisions set forth in this Article IV will be applicable to the Notes. If a Special Mandatory Redemption Event occurs, the Company will be required to redeem the Notes (the “Special Mandatory Redemption”) in the manner set forth in Section 4.02 below in whole and not in part for cash at a special mandatory redemption price (the “Special Mandatory Redemption Price”) equal to 101% of the aggregate principal amount of the Notes, plus accrued and unpaid interest, if any, to, but excluding, the Special Mandatory Redemption Date (subject to the right of Holders of record of the Notes on the relevant record date to receive interest due on any applicable interest payment date that is on or prior to the Special Mandatory Redemption Date).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SECTION 4.02. </w:t>
      </w:r>
      <w:r>
        <w:rPr>
          <w:rFonts w:ascii="Times New Roman" w:hAnsi="Times New Roman"/>
          <w:color w:val="000000"/>
          <w:sz w:val="24"/>
          <w:u w:val="single"/>
        </w:rPr>
        <w:t>Mandatory Redemption Notice</w:t>
      </w:r>
      <w:r>
        <w:rPr>
          <w:rFonts w:ascii="Times New Roman" w:hAnsi="Times New Roman"/>
          <w:color w:val="000000"/>
          <w:sz w:val="24"/>
        </w:rPr>
        <w:t xml:space="preserve">. Upon the occurrence of a Special Mandatory Redemption Event, the Company will promptly (but in no event later than ten Business Days following such Special Mandatory Redemption Event) notify the Trustee in writing of such event (such notice to include the Officer’s Certificate), and the Trustee shall, no later than ten Business Days following receipt of such notice from the Company, notify the Holders of the Notes (such date of notification to such Holders, the “Special Mandatory Redemption Notice Date”) that all of the outstanding Notes will be redeemed at the Special Mandatory Redemption Price on the third Business Day following the Special Mandatory Redemption Notice Date (such date, the “Special Mandatory Redemption Date”) automatically and without any further action by the Holders of the Notes, in each case in accordance with the applicable provisions of this Indenture. At or prior to 12:00 p.m., New York City time, on the Business Day immediately preceding the Special Mandatory Redemption Date, the Company will deposit with the Trustee funds sufficient to pay the Special Mandatory Redemption Price for the Notes. If such deposit is made as provided above, the Notes will cease to bear interest on and after the Special Mandatory Redemption Date.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SECTION 4.03. </w:t>
      </w:r>
      <w:r>
        <w:rPr>
          <w:rFonts w:ascii="Times New Roman" w:hAnsi="Times New Roman"/>
          <w:color w:val="000000"/>
          <w:sz w:val="24"/>
          <w:u w:val="single"/>
        </w:rPr>
        <w:t>Event of Default</w:t>
      </w:r>
      <w:r>
        <w:rPr>
          <w:rFonts w:ascii="Times New Roman" w:hAnsi="Times New Roman"/>
          <w:color w:val="000000"/>
          <w:sz w:val="24"/>
        </w:rPr>
        <w:t xml:space="preserve">. If the Company fails to pay the Special Mandatory Redemption Price for the Notes, as the case may be, on the applicable Special Mandatory Redemption Date in accordance with the terms as set forth in this Article IV, it shall constitute an Event of Default with respect to such series of Notes under the meaning of Section 7.01 of the Original Indenture.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SECTION 4.04. </w:t>
      </w:r>
      <w:r>
        <w:rPr>
          <w:rFonts w:ascii="Times New Roman" w:hAnsi="Times New Roman"/>
          <w:color w:val="000000"/>
          <w:sz w:val="24"/>
          <w:u w:val="single"/>
        </w:rPr>
        <w:t>Completion of the Separation</w:t>
      </w:r>
      <w:r>
        <w:rPr>
          <w:rFonts w:ascii="Times New Roman" w:hAnsi="Times New Roman"/>
          <w:color w:val="000000"/>
          <w:sz w:val="24"/>
        </w:rPr>
        <w:t xml:space="preserve">. Upon the completion of the Separation, the Special Mandatory Redemption provisions in this Article IV will cease to apply.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V</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CHANGE OF CONTROL</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5.01. </w:t>
      </w:r>
      <w:r>
        <w:rPr>
          <w:rFonts w:ascii="Times New Roman" w:hAnsi="Times New Roman"/>
          <w:b w:val="false"/>
          <w:color w:val="000000"/>
          <w:sz w:val="24"/>
          <w:u w:val="single"/>
        </w:rPr>
        <w:t>Change of Control.</w:t>
      </w:r>
      <w:r>
        <w:rPr>
          <w:rFonts w:ascii="Times New Roman" w:hAnsi="Times New Roman"/>
          <w:color w:val="000000"/>
          <w:sz w:val="24"/>
        </w:rPr>
        <w:t xml:space="preserve"> </w:t>
      </w:r>
      <w:r>
        <w:rPr>
          <w:rFonts w:ascii="Times New Roman" w:hAnsi="Times New Roman"/>
          <w:b w:val="false"/>
          <w:color w:val="000000"/>
          <w:sz w:val="24"/>
        </w:rPr>
        <w:t>(a) If a Change of Control Triggering Event occurs with respect to a series of Notes, unless the Company has exercised its option to redeem such series of Notes in accordance with Section 3.01 of this Supplemental Indenture, the Holders of such series of Notes will have the right to require the Company to repurchase all or any part (equal to $2,000 or any integral multiple of $1,000 in excess thereof) of their Notes pursuant to an offer described in this Section 5.01 (the “Change of Control Offer”). In the Change of Control Offer, the Company will be required to offer payment in cash equal to 101% of the aggregate principal amount of Notes repurchased plus accrued and unpaid interest, if any, on the Notes repurchased to, but excluding, the date of purchase (the “Change of Control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Within 30 days following any Change of Control Triggering Event with respect to a series of Notes or, at the Company’s option, prior to a Change of Control but after the public announcement of the pending Change of Control, the Company shall mail, or cause to be mailed, or otherwise deliver in accordance with the applicable procedures of DTC, a notice to Holders of such series of Notes and the Trustee describing the transaction or transactions that constitute the Change of Control Triggering Event and offering to repurchase such Notes on the date specified in the notice, which date will be no earlier than 10 days and (unless delivered in advance of the occurrence of such Change of Control Triggering Event) no later than 60 days from the date such notice is mailed or delivered (the “Change of Control Payment Date”), pursuant to the procedures required herein and described in such notice. The notice shall, if mailed or otherwise delivered prior to the date of consummation of the Change of Control, state that the Change of Control Offer is conditioned on the Change of Control Triggering Event occurring on or prior to the Change of Control Payment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On the Change of Control Payment Date, the Company shall, to the extent lawful: (i) accept for payment all Notes or portions of Notes properly tendered pursuant to the Change of Control Offer; (ii) deposit with the Paying Agent an amount equal to the Change of Control Payment in respect of all Notes or portions of Notes properly tendered; and (iii) deliver or cause to be delivered to the Trustee the Notes properly accepted together with an Officer’s Certificate stating the aggregate principal amount of Notes or portions of Notes being purchased.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The Paying Agent shall promptly pay to each Holder of Notes properly tendered the purchase price for such Notes, and the Trustee shall promptly authenticate and mail or otherwise deliver in accordance with the applicable procedures of DTC, to each such Holder a new Note equal in principal amount to any unpurchased portion of any Notes surrendered; </w:t>
      </w:r>
      <w:r>
        <w:rPr>
          <w:rFonts w:ascii="Times New Roman" w:hAnsi="Times New Roman"/>
          <w:color w:val="000000"/>
          <w:sz w:val="24"/>
          <w:u w:val="single"/>
        </w:rPr>
        <w:t>provided</w:t>
      </w:r>
      <w:r>
        <w:rPr>
          <w:rFonts w:ascii="Times New Roman" w:hAnsi="Times New Roman"/>
          <w:color w:val="000000"/>
          <w:sz w:val="24"/>
        </w:rPr>
        <w:t xml:space="preserve"> that each new Note shall be in a principal amount of $2,000 or any integral multiple of $1,000 in excess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regulations conflict with this Section 5.01, the Company shall comply with the applicable securities laws and regulations and will not be deemed to have breached its obligations under this Section 5.01 by virtue of such conflicts.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The Company will not be required to make an offer to repurchase a series of Notes upon a Change of Control Triggering Event with respect thereto if (i) a third party makes such an offer in the manner, at the times and otherwise in compliance with the requirements for an offer made by the Company, and such third party purchases all Notes properly tendered and not withdrawn under its offer or (ii) a notice of redemption for all outstanding Notes of such series has been given previous to, or concurrently with, the Change of Control in accordance with Section 3.01 of this Supplemental Indenture unless and until there is a default in payment of the applicable redemption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If Holders of not less than 90% in aggregate principal amount of outstanding Notes of a series validly tender and do not withdraw such Notes in connection with a Change of Control Triggering Event with respect to such series and the Company, or any third party making a repurchase offer in lieu of the Company as described in Section 5.01(f) of this Supplemental Indenture, purchases all of the Notes of such series validly tendered and not withdrawn by such Holders, the Company or such third party will have the right, upon not less than 10 days’ nor more than 60 days’ prior notice, provided that such notice is given not more than 30 days following such repurchase date pursuant to the repurchase offer described in this Section 5.01, to redeem all Notes of such series that remain outstanding following such repurchase date on a date and at a price in cash equal to the repurchase price described in this Section 5.01.</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VI</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COVENANTS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6.01. </w:t>
      </w:r>
      <w:r>
        <w:rPr>
          <w:rFonts w:ascii="Times New Roman" w:hAnsi="Times New Roman"/>
          <w:b w:val="false"/>
          <w:color w:val="000000"/>
          <w:sz w:val="24"/>
          <w:u w:val="single"/>
        </w:rPr>
        <w:t>Limitation on Liens.</w:t>
      </w:r>
      <w:r>
        <w:rPr>
          <w:rFonts w:ascii="Times New Roman" w:hAnsi="Times New Roman"/>
          <w:color w:val="000000"/>
          <w:sz w:val="24"/>
        </w:rPr>
        <w:t xml:space="preserve"> </w:t>
      </w:r>
      <w:r>
        <w:rPr>
          <w:rFonts w:ascii="Times New Roman" w:hAnsi="Times New Roman"/>
          <w:b w:val="false"/>
          <w:color w:val="000000"/>
          <w:sz w:val="24"/>
        </w:rPr>
        <w:t>Section 6.04 of the Base Indenture shall be applicable to each series of Notes.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6.02. </w:t>
      </w:r>
      <w:r>
        <w:rPr>
          <w:rFonts w:ascii="Times New Roman" w:hAnsi="Times New Roman"/>
          <w:b w:val="false"/>
          <w:color w:val="000000"/>
          <w:sz w:val="24"/>
          <w:u w:val="single"/>
        </w:rPr>
        <w:t>Sale and Leaseback Transactions.</w:t>
      </w:r>
      <w:r>
        <w:rPr>
          <w:rFonts w:ascii="Times New Roman" w:hAnsi="Times New Roman"/>
          <w:color w:val="000000"/>
          <w:sz w:val="24"/>
        </w:rPr>
        <w:t xml:space="preserve"> </w:t>
      </w:r>
      <w:r>
        <w:rPr>
          <w:rFonts w:ascii="Times New Roman" w:hAnsi="Times New Roman"/>
          <w:b w:val="false"/>
          <w:color w:val="000000"/>
          <w:sz w:val="24"/>
        </w:rPr>
        <w:t>Section 6.05 of the Base Indenture shall be applicable to each series of Notes.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6.03. </w:t>
      </w:r>
      <w:r>
        <w:rPr>
          <w:rFonts w:ascii="Times New Roman" w:hAnsi="Times New Roman"/>
          <w:b w:val="false"/>
          <w:color w:val="000000"/>
          <w:sz w:val="24"/>
          <w:u w:val="single"/>
        </w:rPr>
        <w:t>Merger, Consolidation and Sale of Assets.</w:t>
      </w:r>
      <w:r>
        <w:rPr>
          <w:rFonts w:ascii="Times New Roman" w:hAnsi="Times New Roman"/>
          <w:color w:val="000000"/>
          <w:sz w:val="24"/>
        </w:rPr>
        <w:t xml:space="preserve"> </w:t>
      </w:r>
      <w:r>
        <w:rPr>
          <w:rFonts w:ascii="Times New Roman" w:hAnsi="Times New Roman"/>
          <w:b w:val="false"/>
          <w:color w:val="000000"/>
          <w:sz w:val="24"/>
        </w:rPr>
        <w:t>Section 6.06 of the Base Indenture shall be applicable to each series of Notes.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6.04. </w:t>
      </w:r>
      <w:r>
        <w:rPr>
          <w:rFonts w:ascii="Times New Roman" w:hAnsi="Times New Roman"/>
          <w:b w:val="false"/>
          <w:color w:val="000000"/>
          <w:sz w:val="24"/>
          <w:u w:val="single"/>
        </w:rPr>
        <w:t>Rule 144A Information.</w:t>
      </w:r>
      <w:r>
        <w:rPr>
          <w:rFonts w:ascii="Times New Roman" w:hAnsi="Times New Roman"/>
          <w:color w:val="000000"/>
          <w:sz w:val="24"/>
        </w:rPr>
        <w:t xml:space="preserve"> </w:t>
      </w:r>
      <w:r>
        <w:rPr>
          <w:rFonts w:ascii="Times New Roman" w:hAnsi="Times New Roman"/>
          <w:b w:val="false"/>
          <w:color w:val="000000"/>
          <w:sz w:val="24"/>
        </w:rPr>
        <w:t>Prior to the consummation of the Exchange Offer (as defined in Appendix A hereto), for so long as any series of Notes constitutes “restricted securities” within the meaning of Rule 144 under the Securities Act, the Company shall, upon request, make available to any Holder or beneficial owner of such Notes, or to any prospective purchaser of such Notes designated by such Holder or beneficial owner, the information specified in Rule 144A(d)(4) under the Securities Act, unless the Company furnishes such information to the SEC pursuant to Section 14 or 15(d) of the Exchange Act.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VII</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EVENTS OF DEFAULT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7.01. </w:t>
      </w:r>
      <w:r>
        <w:rPr>
          <w:rFonts w:ascii="Times New Roman" w:hAnsi="Times New Roman"/>
          <w:b w:val="false"/>
          <w:color w:val="000000"/>
          <w:sz w:val="24"/>
          <w:u w:val="single"/>
        </w:rPr>
        <w:t>Events of Default.</w:t>
      </w:r>
      <w:r>
        <w:rPr>
          <w:rFonts w:ascii="Times New Roman" w:hAnsi="Times New Roman"/>
          <w:color w:val="000000"/>
          <w:sz w:val="24"/>
        </w:rPr>
        <w:t xml:space="preserve"> </w:t>
      </w:r>
      <w:r>
        <w:rPr>
          <w:rFonts w:ascii="Times New Roman" w:hAnsi="Times New Roman"/>
          <w:b w:val="false"/>
          <w:color w:val="000000"/>
          <w:sz w:val="24"/>
        </w:rPr>
        <w:t>Section 7.01 of the Base Indenture shall be applicable to each series of Notes.</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VIII</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AMENDMENT, SUPPLEMENT AND WAIVER</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8.01. </w:t>
      </w:r>
      <w:r>
        <w:rPr>
          <w:rFonts w:ascii="Times New Roman" w:hAnsi="Times New Roman"/>
          <w:b w:val="false"/>
          <w:color w:val="000000"/>
          <w:sz w:val="24"/>
          <w:u w:val="single"/>
        </w:rPr>
        <w:t>Without the Consent of Holders.</w:t>
      </w:r>
      <w:r>
        <w:rPr>
          <w:rFonts w:ascii="Times New Roman" w:hAnsi="Times New Roman"/>
          <w:color w:val="000000"/>
          <w:sz w:val="24"/>
        </w:rPr>
        <w:t xml:space="preserve"> </w:t>
      </w:r>
      <w:r>
        <w:rPr>
          <w:rFonts w:ascii="Times New Roman" w:hAnsi="Times New Roman"/>
          <w:b w:val="false"/>
          <w:color w:val="000000"/>
          <w:sz w:val="24"/>
        </w:rPr>
        <w:t>Section 14.01 of the Base Indenture shall be applicable to each series of Notes.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8.02. </w:t>
      </w:r>
      <w:r>
        <w:rPr>
          <w:rFonts w:ascii="Times New Roman" w:hAnsi="Times New Roman"/>
          <w:b w:val="false"/>
          <w:color w:val="000000"/>
          <w:sz w:val="24"/>
          <w:u w:val="single"/>
        </w:rPr>
        <w:t>With the Consent of Holders</w:t>
      </w:r>
      <w:r>
        <w:rPr>
          <w:rFonts w:ascii="Times New Roman" w:hAnsi="Times New Roman"/>
          <w:b w:val="false"/>
          <w:i/>
          <w:color w:val="000000"/>
          <w:sz w:val="24"/>
          <w:u w:val="single"/>
        </w:rPr>
        <w:t>.</w:t>
      </w:r>
      <w:r>
        <w:rPr>
          <w:rFonts w:ascii="Times New Roman" w:hAnsi="Times New Roman"/>
          <w:color w:val="000000"/>
          <w:sz w:val="24"/>
        </w:rPr>
        <w:t xml:space="preserve"> </w:t>
      </w:r>
      <w:r>
        <w:rPr>
          <w:rFonts w:ascii="Times New Roman" w:hAnsi="Times New Roman"/>
          <w:b w:val="false"/>
          <w:color w:val="000000"/>
          <w:sz w:val="24"/>
        </w:rPr>
        <w:t>Section 14.02 of the Base Indenture shall be applicable to each series of Notes.</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IX</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SATISFACTION AND DISCHARGE; DEFEASANCE</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9.01. </w:t>
      </w:r>
      <w:r>
        <w:rPr>
          <w:rFonts w:ascii="Times New Roman" w:hAnsi="Times New Roman"/>
          <w:b w:val="false"/>
          <w:color w:val="000000"/>
          <w:sz w:val="24"/>
          <w:u w:val="single"/>
        </w:rPr>
        <w:t>Satisfaction and Discharge of Indenture.</w:t>
      </w:r>
      <w:r>
        <w:rPr>
          <w:rFonts w:ascii="Times New Roman" w:hAnsi="Times New Roman"/>
          <w:color w:val="000000"/>
          <w:sz w:val="24"/>
        </w:rPr>
        <w:t xml:space="preserve"> </w:t>
      </w:r>
      <w:r>
        <w:rPr>
          <w:rFonts w:ascii="Times New Roman" w:hAnsi="Times New Roman"/>
          <w:b w:val="false"/>
          <w:color w:val="000000"/>
          <w:sz w:val="24"/>
        </w:rPr>
        <w:t>Section 12.02 of the Base Indenture shall be applicable to each series of Notes.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9.02. </w:t>
      </w:r>
      <w:r>
        <w:rPr>
          <w:rFonts w:ascii="Times New Roman" w:hAnsi="Times New Roman"/>
          <w:b w:val="false"/>
          <w:color w:val="000000"/>
          <w:sz w:val="24"/>
          <w:u w:val="single"/>
        </w:rPr>
        <w:t>Defeasance and Covenant Defeasance upon Deposit of Moneys or U.S. Government Obligations.</w:t>
      </w:r>
      <w:r>
        <w:rPr>
          <w:rFonts w:ascii="Times New Roman" w:hAnsi="Times New Roman"/>
          <w:color w:val="000000"/>
          <w:sz w:val="24"/>
        </w:rPr>
        <w:t xml:space="preserve"> </w:t>
      </w:r>
      <w:r>
        <w:rPr>
          <w:rFonts w:ascii="Times New Roman" w:hAnsi="Times New Roman"/>
          <w:b w:val="false"/>
          <w:color w:val="000000"/>
          <w:sz w:val="24"/>
        </w:rPr>
        <w:t>Section 12.03 of the Base Indenture shall be applicable to each series of Notes. If the Company exercises its “covenant defeasance” option in accordance with Section 12.03 of the Base Indenture, in addition to any covenants specified therein, the Company shall cease to be under any obligation to comply with the covenants set forth in Sections 5.01, 6.01, 6.02, 6.03 and 6.04 of this Supplemental Indenture.</w:t>
      </w:r>
    </w:p>
    <w:p>
      <w:pPr>
        <w:pStyle w:val="Heading1"/>
        <w:bidi w:val="0"/>
        <w:spacing w:before="0" w:after="240"/>
        <w:jc w:val="center"/>
        <w:rPr>
          <w:rFonts w:ascii="Times New Roman" w:hAnsi="Times New Roman"/>
          <w:caps/>
          <w:color w:val="000000"/>
          <w:sz w:val="24"/>
        </w:rPr>
      </w:pPr>
      <w:r>
        <w:rPr>
          <w:rFonts w:ascii="Times New Roman" w:hAnsi="Times New Roman"/>
          <w:caps/>
          <w:color w:val="000000"/>
          <w:sz w:val="24"/>
        </w:rPr>
        <w:t>ARTICLE X</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MISCELLANEOUS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10.01. </w:t>
      </w:r>
      <w:r>
        <w:rPr>
          <w:rFonts w:ascii="Times New Roman" w:hAnsi="Times New Roman"/>
          <w:b w:val="false"/>
          <w:color w:val="000000"/>
          <w:sz w:val="24"/>
          <w:u w:val="single"/>
        </w:rPr>
        <w:t>Ratification of Base Indenture.</w:t>
      </w:r>
      <w:r>
        <w:rPr>
          <w:rFonts w:ascii="Times New Roman" w:hAnsi="Times New Roman"/>
          <w:color w:val="000000"/>
          <w:sz w:val="24"/>
        </w:rPr>
        <w:t xml:space="preserve"> </w:t>
      </w:r>
      <w:r>
        <w:rPr>
          <w:rFonts w:ascii="Times New Roman" w:hAnsi="Times New Roman"/>
          <w:b w:val="false"/>
          <w:color w:val="000000"/>
          <w:sz w:val="24"/>
        </w:rPr>
        <w:t xml:space="preserve">The Indenture, as supplemented by this Supplemental Indenture, is in all respects ratified and confirmed, and this Supplemental Indenture shall be deemed part of the Base Indenture in the manner and to the extent herein and therein provided;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that the provisions of this Supplemental Indenture apply solely with respect to the Notes. The rights, privileges, immunities, benefits, protections and indemnities provided to the Trustee under the Base Indenture shall apply to any action or inaction of the Trustee (acting in any capacity hereunder) in connection herewith, including in connection with the execution and delivery of this Supplemental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10.02. </w:t>
      </w:r>
      <w:r>
        <w:rPr>
          <w:rFonts w:ascii="Times New Roman" w:hAnsi="Times New Roman"/>
          <w:b w:val="false"/>
          <w:color w:val="000000"/>
          <w:sz w:val="24"/>
          <w:u w:val="single"/>
        </w:rPr>
        <w:t>Trust Indenture Act Controls.</w:t>
      </w:r>
      <w:r>
        <w:rPr>
          <w:rFonts w:ascii="Times New Roman" w:hAnsi="Times New Roman"/>
          <w:color w:val="000000"/>
          <w:sz w:val="24"/>
        </w:rPr>
        <w:t xml:space="preserve"> </w:t>
      </w:r>
      <w:r>
        <w:rPr>
          <w:rFonts w:ascii="Times New Roman" w:hAnsi="Times New Roman"/>
          <w:b w:val="false"/>
          <w:color w:val="000000"/>
          <w:sz w:val="24"/>
        </w:rPr>
        <w:t>If and to the extent that any provision of this Supplemental Indenture limits, qualifies or conflicts with the duties imposed by, or another provision included in the Indenture which is required to be included in the Indenture by any of the provisions of Sections 310 to 318, inclusive, of the Trust Indenture Act, such imposed duties or incorporated provision shall control.</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10.03. </w:t>
      </w:r>
      <w:r>
        <w:rPr>
          <w:rFonts w:ascii="Times New Roman" w:hAnsi="Times New Roman"/>
          <w:b w:val="false"/>
          <w:color w:val="000000"/>
          <w:sz w:val="24"/>
          <w:u w:val="single"/>
        </w:rPr>
        <w:t>Effects of Headings and Table of Contents.</w:t>
      </w:r>
      <w:r>
        <w:rPr>
          <w:rFonts w:ascii="Times New Roman" w:hAnsi="Times New Roman"/>
          <w:color w:val="000000"/>
          <w:sz w:val="24"/>
        </w:rPr>
        <w:t xml:space="preserve"> </w:t>
      </w:r>
      <w:r>
        <w:rPr>
          <w:rFonts w:ascii="Times New Roman" w:hAnsi="Times New Roman"/>
          <w:b w:val="false"/>
          <w:color w:val="000000"/>
          <w:sz w:val="24"/>
        </w:rPr>
        <w:t>The Article and Section headings herein and the Table of Contents are for convenience only and shall not affect the construction hereof.</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10.04. </w:t>
      </w:r>
      <w:r>
        <w:rPr>
          <w:rFonts w:ascii="Times New Roman" w:hAnsi="Times New Roman"/>
          <w:b w:val="false"/>
          <w:color w:val="000000"/>
          <w:sz w:val="24"/>
          <w:u w:val="single"/>
        </w:rPr>
        <w:t>Successors and Assigns.</w:t>
      </w:r>
      <w:r>
        <w:rPr>
          <w:rFonts w:ascii="Times New Roman" w:hAnsi="Times New Roman"/>
          <w:color w:val="000000"/>
          <w:sz w:val="24"/>
        </w:rPr>
        <w:t xml:space="preserve"> </w:t>
      </w:r>
      <w:r>
        <w:rPr>
          <w:rFonts w:ascii="Times New Roman" w:hAnsi="Times New Roman"/>
          <w:b w:val="false"/>
          <w:color w:val="000000"/>
          <w:sz w:val="24"/>
        </w:rPr>
        <w:t>All covenants and agreements in this Supplemental Indenture by the parties hereto shall bind their respective successors and assigns and inure to the benefit of their permitted successors and assigns, whether so expressed or not.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10.05. </w:t>
      </w:r>
      <w:r>
        <w:rPr>
          <w:rFonts w:ascii="Times New Roman" w:hAnsi="Times New Roman"/>
          <w:b w:val="false"/>
          <w:color w:val="000000"/>
          <w:sz w:val="24"/>
          <w:u w:val="single"/>
        </w:rPr>
        <w:t>Separability Clause.</w:t>
      </w:r>
      <w:r>
        <w:rPr>
          <w:rFonts w:ascii="Times New Roman" w:hAnsi="Times New Roman"/>
          <w:color w:val="000000"/>
          <w:sz w:val="24"/>
        </w:rPr>
        <w:t xml:space="preserve"> </w:t>
      </w:r>
      <w:r>
        <w:rPr>
          <w:rFonts w:ascii="Times New Roman" w:hAnsi="Times New Roman"/>
          <w:b w:val="false"/>
          <w:color w:val="000000"/>
          <w:sz w:val="24"/>
        </w:rPr>
        <w:t>In case any provision in this Supplemental Indenture or in the Notes shall be invalid, illegal or unenforceable, the validity, legality and enforceability of the remaining provisions shall not in any way be affected or impaired thereby.</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10.06. </w:t>
      </w:r>
      <w:r>
        <w:rPr>
          <w:rFonts w:ascii="Times New Roman" w:hAnsi="Times New Roman"/>
          <w:b w:val="false"/>
          <w:color w:val="000000"/>
          <w:sz w:val="24"/>
          <w:u w:val="single"/>
        </w:rPr>
        <w:t>Benefits of the Supplemental Indenture.</w:t>
      </w:r>
      <w:r>
        <w:rPr>
          <w:rFonts w:ascii="Times New Roman" w:hAnsi="Times New Roman"/>
          <w:color w:val="000000"/>
          <w:sz w:val="24"/>
        </w:rPr>
        <w:t xml:space="preserve"> </w:t>
      </w:r>
      <w:r>
        <w:rPr>
          <w:rFonts w:ascii="Times New Roman" w:hAnsi="Times New Roman"/>
          <w:b w:val="false"/>
          <w:color w:val="000000"/>
          <w:sz w:val="24"/>
        </w:rPr>
        <w:t>Nothing in this Supplemental Indenture expressed and nothing that may be implied from any of the provisions hereof is intended, or shall be construed, to confer upon, or to give to, any Person or corporation other than the parties hereto and their successors and the Holders of the Notes any benefit or any right, remedy or claim under or by reason of this Supplemental Indenture or any covenant, condition, stipulation, promise or agreement hereof, and all covenants, conditions, stipulations, promises and agreements in this Supplemental Indenture contained shall be for the sole and exclusive benefit of the parties hereto and their successors and of the Holders of the Notes.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10.07. </w:t>
      </w:r>
      <w:r>
        <w:rPr>
          <w:rFonts w:ascii="Times New Roman" w:hAnsi="Times New Roman"/>
          <w:b w:val="false"/>
          <w:color w:val="000000"/>
          <w:sz w:val="24"/>
          <w:u w:val="single"/>
        </w:rPr>
        <w:t>Counterpart Originals.</w:t>
      </w:r>
      <w:r>
        <w:rPr>
          <w:rFonts w:ascii="Times New Roman" w:hAnsi="Times New Roman"/>
          <w:color w:val="000000"/>
          <w:sz w:val="24"/>
        </w:rPr>
        <w:t xml:space="preserve"> </w:t>
      </w:r>
      <w:r>
        <w:rPr>
          <w:rFonts w:ascii="Times New Roman" w:hAnsi="Times New Roman"/>
          <w:b w:val="false"/>
          <w:color w:val="000000"/>
          <w:sz w:val="24"/>
        </w:rPr>
        <w:t>This Supplemental Indenture may be executed in any number of counterparts, each of which so executed shall be deemed to be an original, but all such counterparts shall together constitute but one and the same instrument.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10.08. </w:t>
      </w:r>
      <w:r>
        <w:rPr>
          <w:rFonts w:ascii="Times New Roman" w:hAnsi="Times New Roman"/>
          <w:b w:val="false"/>
          <w:color w:val="000000"/>
          <w:sz w:val="24"/>
          <w:u w:val="single"/>
        </w:rPr>
        <w:t>Governing Law; Waiver of Jury Trial.</w:t>
      </w:r>
      <w:r>
        <w:rPr>
          <w:rFonts w:ascii="Times New Roman" w:hAnsi="Times New Roman"/>
          <w:color w:val="000000"/>
          <w:sz w:val="24"/>
        </w:rPr>
        <w:t xml:space="preserve"> </w:t>
      </w:r>
      <w:r>
        <w:rPr>
          <w:rFonts w:ascii="Times New Roman" w:hAnsi="Times New Roman"/>
          <w:b w:val="false"/>
          <w:color w:val="000000"/>
          <w:sz w:val="24"/>
        </w:rPr>
        <w:t>This Supplemental Indenture and the Notes shall be deemed to be contracts made under the law of the State of New York, and for all purposes shall be governed by and construed in accordance with the law of said State.</w:t>
      </w:r>
    </w:p>
    <w:p>
      <w:pPr>
        <w:pStyle w:val="TextBody"/>
        <w:bidi w:val="0"/>
        <w:spacing w:before="0" w:after="240"/>
        <w:jc w:val="left"/>
        <w:rPr>
          <w:rFonts w:ascii="Times New Roman" w:hAnsi="Times New Roman"/>
          <w:caps/>
          <w:color w:val="000000"/>
          <w:sz w:val="24"/>
        </w:rPr>
      </w:pPr>
      <w:r>
        <w:rPr>
          <w:rFonts w:ascii="Times New Roman" w:hAnsi="Times New Roman"/>
          <w:caps/>
          <w:color w:val="000000"/>
          <w:sz w:val="24"/>
        </w:rPr>
        <w:t>EACH PARTY HERETO, AND EACH HOLDER OF A NOTE BY ACCEPTANCE THEREOF, HEREBY WAIVES, TO THE FULLEST EXTENT PERMITTED BY APPLICABLE LAW, ANY RIGHT IT MAY HAVE TO A TRIAL BY JURY IN RESPECT OF ANY LITIGATION DIRECTLY OR INDIRECTLY ARISING OUT OF, UNDER OR IN CONNECTION WITH THIS SUPPLEMENTAL INDENTURE.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10.09. </w:t>
      </w:r>
      <w:r>
        <w:rPr>
          <w:rFonts w:ascii="Times New Roman" w:hAnsi="Times New Roman"/>
          <w:b w:val="false"/>
          <w:color w:val="000000"/>
          <w:sz w:val="24"/>
          <w:u w:val="single"/>
        </w:rPr>
        <w:t>Force Majeure.</w:t>
      </w:r>
      <w:r>
        <w:rPr>
          <w:rFonts w:ascii="Times New Roman" w:hAnsi="Times New Roman"/>
          <w:color w:val="000000"/>
          <w:sz w:val="24"/>
        </w:rPr>
        <w:t xml:space="preserve"> </w:t>
      </w:r>
      <w:r>
        <w:rPr>
          <w:rFonts w:ascii="Times New Roman" w:hAnsi="Times New Roman"/>
          <w:b w:val="false"/>
          <w:color w:val="000000"/>
          <w:sz w:val="24"/>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recognized public emergencies, quarantine restrictions, civil or military disturbances, nuclear or natural catastrophes or acts of God,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which are consistent with accepted practices in the banking industry to prevent and prepare for such disruptions and to resume performance as soon as practicable under the circumstances.</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10.10. </w:t>
      </w:r>
      <w:r>
        <w:rPr>
          <w:rFonts w:ascii="Times New Roman" w:hAnsi="Times New Roman"/>
          <w:b w:val="false"/>
          <w:color w:val="000000"/>
          <w:sz w:val="24"/>
          <w:u w:val="single"/>
        </w:rPr>
        <w:t>U.S.A. Patriot Act.</w:t>
      </w:r>
      <w:r>
        <w:rPr>
          <w:rFonts w:ascii="Times New Roman" w:hAnsi="Times New Roman"/>
          <w:color w:val="000000"/>
          <w:sz w:val="24"/>
        </w:rPr>
        <w:t xml:space="preserve"> </w:t>
      </w:r>
      <w:r>
        <w:rPr>
          <w:rFonts w:ascii="Times New Roman" w:hAnsi="Times New Roman"/>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Supplemental Indenture agree that they will provide the Trustee with such information as it may request in order for the Trustee to satisfy the requirements of the U.S.A. PATRIOT Act.</w:t>
      </w:r>
    </w:p>
    <w:p>
      <w:pPr>
        <w:pStyle w:val="Heading2"/>
        <w:bidi w:val="0"/>
        <w:spacing w:before="0" w:after="240"/>
        <w:jc w:val="left"/>
        <w:rPr>
          <w:rFonts w:ascii="Times New Roman" w:hAnsi="Times New Roman"/>
          <w:sz w:val="24"/>
        </w:rPr>
      </w:pPr>
      <w:r>
        <w:rPr>
          <w:rFonts w:ascii="Times New Roman" w:hAnsi="Times New Roman"/>
          <w:b w:val="false"/>
          <w:color w:val="000000"/>
          <w:sz w:val="24"/>
        </w:rPr>
        <w:t xml:space="preserve">SECTION 10.11. </w:t>
      </w:r>
      <w:r>
        <w:rPr>
          <w:rFonts w:ascii="Times New Roman" w:hAnsi="Times New Roman"/>
          <w:b w:val="false"/>
          <w:color w:val="000000"/>
          <w:sz w:val="24"/>
          <w:u w:val="single"/>
        </w:rPr>
        <w:t>Trustee.</w:t>
      </w:r>
      <w:r>
        <w:rPr>
          <w:rFonts w:ascii="Times New Roman" w:hAnsi="Times New Roman"/>
          <w:color w:val="000000"/>
          <w:sz w:val="24"/>
        </w:rPr>
        <w:t xml:space="preserve"> </w:t>
      </w:r>
      <w:r>
        <w:rPr>
          <w:rFonts w:ascii="Times New Roman" w:hAnsi="Times New Roman"/>
          <w:b w:val="false"/>
          <w:color w:val="000000"/>
          <w:sz w:val="24"/>
        </w:rPr>
        <w:t>The Trustee shall not be responsible in any manner whatsoever for or in respect of the validity or sufficiency of this Supplemental Indenture or for or in respect of the recitals contained herein, all of which recitals are made solely by the Company.</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[The remainder of this page is intentionally left blank.]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hereto have caused this Supplemental Indenture to be duly executed as of the day and year first above written.</w:t>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881"/>
        <w:gridCol w:w="3016"/>
      </w:tblGrid>
      <w:tr>
        <w:trPr/>
        <w:tc>
          <w:tcPr>
            <w:tcW w:w="88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3897"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4"/>
              </w:rPr>
            </w:pPr>
            <w:r>
              <w:rPr>
                <w:rFonts w:ascii="Times New Roman" w:hAnsi="Times New Roman"/>
                <w:caps/>
                <w:color w:val="000000"/>
                <w:sz w:val="24"/>
              </w:rPr>
              <w:t>Vylor inc.</w:t>
            </w:r>
          </w:p>
        </w:tc>
      </w:tr>
      <w:tr>
        <w:trPr/>
        <w:tc>
          <w:tcPr>
            <w:tcW w:w="389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301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Laurie A. Conslato</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301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Name: Laurie A. Conslato</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301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Title: Treasurer</w:t>
            </w:r>
          </w:p>
        </w:tc>
      </w:tr>
    </w:tbl>
    <w:p>
      <w:pPr>
        <w:pStyle w:val="TextBody"/>
        <w:bidi w:val="0"/>
        <w:jc w:val="left"/>
        <w:rPr/>
      </w:pPr>
      <w:r>
        <w:rPr/>
        <w:t> </w:t>
      </w:r>
    </w:p>
    <w:p>
      <w:pPr>
        <w:pStyle w:val="TextBody"/>
        <w:bidi w:val="0"/>
        <w:jc w:val="left"/>
        <w:rPr/>
      </w:pPr>
      <w:r>
        <w:rPr/>
        <w:t> </w:t>
      </w:r>
    </w:p>
    <w:tbl>
      <w:tblPr>
        <w:tblW w:w="8520" w:type="dxa"/>
        <w:jc w:val="left"/>
        <w:tblInd w:w="0" w:type="dxa"/>
        <w:tblLayout w:type="fixed"/>
        <w:tblCellMar>
          <w:top w:w="28" w:type="dxa"/>
          <w:left w:w="28" w:type="dxa"/>
          <w:bottom w:w="28" w:type="dxa"/>
          <w:right w:w="28" w:type="dxa"/>
        </w:tblCellMar>
      </w:tblPr>
      <w:tblGrid>
        <w:gridCol w:w="1995"/>
        <w:gridCol w:w="6525"/>
      </w:tblGrid>
      <w:tr>
        <w:trPr/>
        <w:tc>
          <w:tcPr>
            <w:tcW w:w="1995" w:type="dxa"/>
            <w:tcBorders/>
            <w:vAlign w:val="center"/>
          </w:tcPr>
          <w:p>
            <w:pPr>
              <w:pStyle w:val="TableContents"/>
              <w:bidi w:val="0"/>
              <w:spacing w:before="0" w:after="283"/>
              <w:jc w:val="left"/>
              <w:rPr>
                <w:sz w:val="4"/>
                <w:szCs w:val="4"/>
              </w:rPr>
            </w:pPr>
            <w:r>
              <w:rPr>
                <w:sz w:val="4"/>
                <w:szCs w:val="4"/>
              </w:rPr>
            </w:r>
          </w:p>
        </w:tc>
        <w:tc>
          <w:tcPr>
            <w:tcW w:w="6525" w:type="dxa"/>
            <w:tcBorders/>
            <w:vAlign w:val="center"/>
          </w:tcPr>
          <w:p>
            <w:pPr>
              <w:pStyle w:val="TableContents"/>
              <w:bidi w:val="0"/>
              <w:spacing w:before="0" w:after="283"/>
              <w:jc w:val="left"/>
              <w:rPr>
                <w:sz w:val="4"/>
                <w:szCs w:val="4"/>
              </w:rPr>
            </w:pPr>
            <w:r>
              <w:rPr>
                <w:sz w:val="4"/>
                <w:szCs w:val="4"/>
              </w:rPr>
            </w:r>
          </w:p>
        </w:tc>
      </w:tr>
      <w:tr>
        <w:trPr/>
        <w:tc>
          <w:tcPr>
            <w:tcW w:w="8520"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4"/>
              </w:rPr>
            </w:pPr>
            <w:r>
              <w:rPr>
                <w:rFonts w:ascii="Times New Roman" w:hAnsi="Times New Roman"/>
                <w:caps/>
                <w:color w:val="000000"/>
                <w:sz w:val="24"/>
              </w:rPr>
              <w:t>U.S. BANK trust company, NATIONAL ASSOCIATION, as Trustee</w:t>
            </w:r>
          </w:p>
        </w:tc>
      </w:tr>
      <w:tr>
        <w:trPr/>
        <w:tc>
          <w:tcPr>
            <w:tcW w:w="852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199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525"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Mark DiGiacomo</w:t>
            </w:r>
          </w:p>
        </w:tc>
      </w:tr>
      <w:tr>
        <w:trPr/>
        <w:tc>
          <w:tcPr>
            <w:tcW w:w="199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525"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Name: Mark DiGiacomo</w:t>
            </w:r>
          </w:p>
        </w:tc>
      </w:tr>
      <w:tr>
        <w:trPr/>
        <w:tc>
          <w:tcPr>
            <w:tcW w:w="199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525"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Title: Vice President</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First Supplemental Indenture]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Appendix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PROVISIONS RELATING TO INITIAL NOTES AND EXCHANGE NOTES</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Section 1.1. </w:t>
      </w:r>
      <w:r>
        <w:rPr>
          <w:rFonts w:ascii="Times New Roman" w:hAnsi="Times New Roman"/>
          <w:color w:val="000000"/>
          <w:sz w:val="24"/>
        </w:rP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purposes of this Appendix A the following terms shall have the meanings indicated below. Capitalized terms used but not defined herein have the meanings ascribed to such terms in the Indenture. To the extent terms defined herein differ from the Indenture the terms defined herein will govern.</w:t>
      </w:r>
    </w:p>
    <w:p>
      <w:pPr>
        <w:pStyle w:val="TextBody"/>
        <w:bidi w:val="0"/>
        <w:spacing w:before="0" w:after="240"/>
        <w:jc w:val="left"/>
        <w:rPr/>
      </w:pPr>
      <w:r>
        <w:rPr>
          <w:color w:val="000000"/>
        </w:rPr>
        <w:t>“</w:t>
      </w:r>
      <w:r>
        <w:rPr>
          <w:rFonts w:ascii="Times New Roman" w:hAnsi="Times New Roman"/>
          <w:b/>
          <w:color w:val="000000"/>
          <w:sz w:val="24"/>
        </w:rPr>
        <w:t>Additional Interest</w:t>
      </w:r>
      <w:r>
        <w:rPr>
          <w:rFonts w:ascii="Times New Roman" w:hAnsi="Times New Roman"/>
          <w:color w:val="000000"/>
          <w:sz w:val="24"/>
        </w:rPr>
        <w:t>” means additional interest owed to the Holders pursuant to a Registration Rights Agreement.</w:t>
      </w:r>
    </w:p>
    <w:p>
      <w:pPr>
        <w:pStyle w:val="TextBody"/>
        <w:bidi w:val="0"/>
        <w:spacing w:before="0" w:after="240"/>
        <w:jc w:val="left"/>
        <w:rPr/>
      </w:pPr>
      <w:r>
        <w:rPr>
          <w:color w:val="000000"/>
        </w:rPr>
        <w:t>“</w:t>
      </w:r>
      <w:r>
        <w:rPr>
          <w:rFonts w:ascii="Times New Roman" w:hAnsi="Times New Roman"/>
          <w:b/>
          <w:color w:val="000000"/>
          <w:sz w:val="24"/>
        </w:rPr>
        <w:t>Additional Notes</w:t>
      </w:r>
      <w:r>
        <w:rPr>
          <w:rFonts w:ascii="Times New Roman" w:hAnsi="Times New Roman"/>
          <w:color w:val="000000"/>
          <w:sz w:val="24"/>
        </w:rPr>
        <w:t>” means any Notes of any series issued under the Indenture in addition to the Original Notes of such series, including any Exchange Notes issued in exchange for such Additional Notes, having the same terms in all respects as the Original Notes of such series, or in all respects except with respect to interest paid or payable on or prior to the first interest payment date after the issuance of such Additional Notes.</w:t>
      </w:r>
    </w:p>
    <w:p>
      <w:pPr>
        <w:pStyle w:val="TextBody"/>
        <w:bidi w:val="0"/>
        <w:spacing w:before="0" w:after="240"/>
        <w:jc w:val="left"/>
        <w:rPr/>
      </w:pPr>
      <w:r>
        <w:rPr>
          <w:color w:val="000000"/>
        </w:rPr>
        <w:t>“</w:t>
      </w:r>
      <w:r>
        <w:rPr>
          <w:rFonts w:ascii="Times New Roman" w:hAnsi="Times New Roman"/>
          <w:b/>
          <w:color w:val="000000"/>
          <w:sz w:val="24"/>
        </w:rPr>
        <w:t>Agent Member</w:t>
      </w:r>
      <w:r>
        <w:rPr>
          <w:rFonts w:ascii="Times New Roman" w:hAnsi="Times New Roman"/>
          <w:color w:val="000000"/>
          <w:sz w:val="24"/>
        </w:rPr>
        <w:t>” means a member of, or a participant in, the Depositary.</w:t>
      </w:r>
    </w:p>
    <w:p>
      <w:pPr>
        <w:pStyle w:val="TextBody"/>
        <w:bidi w:val="0"/>
        <w:spacing w:before="0" w:after="240"/>
        <w:jc w:val="left"/>
        <w:rPr/>
      </w:pPr>
      <w:r>
        <w:rPr>
          <w:color w:val="000000"/>
        </w:rPr>
        <w:t>“</w:t>
      </w:r>
      <w:r>
        <w:rPr>
          <w:rFonts w:ascii="Times New Roman" w:hAnsi="Times New Roman"/>
          <w:b/>
          <w:color w:val="000000"/>
          <w:sz w:val="24"/>
        </w:rPr>
        <w:t>Certificated Note</w:t>
      </w:r>
      <w:r>
        <w:rPr>
          <w:rFonts w:ascii="Times New Roman" w:hAnsi="Times New Roman"/>
          <w:color w:val="000000"/>
          <w:sz w:val="24"/>
        </w:rPr>
        <w:t>” means a Note in registered individual form without interest coupons.</w:t>
      </w:r>
    </w:p>
    <w:p>
      <w:pPr>
        <w:pStyle w:val="TextBody"/>
        <w:bidi w:val="0"/>
        <w:spacing w:before="0" w:after="240"/>
        <w:jc w:val="left"/>
        <w:rPr/>
      </w:pPr>
      <w:r>
        <w:rPr>
          <w:color w:val="000000"/>
        </w:rPr>
        <w:t>“</w:t>
      </w:r>
      <w:r>
        <w:rPr>
          <w:rFonts w:ascii="Times New Roman" w:hAnsi="Times New Roman"/>
          <w:b/>
          <w:color w:val="000000"/>
          <w:sz w:val="24"/>
        </w:rPr>
        <w:t>Exchange Notes</w:t>
      </w:r>
      <w:r>
        <w:rPr>
          <w:rFonts w:ascii="Times New Roman" w:hAnsi="Times New Roman"/>
          <w:color w:val="000000"/>
          <w:sz w:val="24"/>
        </w:rPr>
        <w:t>” means the Notes of any series issued pursuant to the Indenture in exchange for, and in an aggregate principal amount equal to, the Initial Notes or any Initial Additional Notes of such series, in compliance with the terms of a Registration Rights Agreement and containing terms substantially identical to the Initial Notes or any Initial Additional Notes of such series (except that (i) such Exchange Notes will be registered under the Securities Act and will not be subject to transfer restrictions or bear the Restricted Legend, and (ii) the provisions relating to Additional Interest will be eliminated).</w:t>
      </w:r>
    </w:p>
    <w:p>
      <w:pPr>
        <w:pStyle w:val="TextBody"/>
        <w:bidi w:val="0"/>
        <w:spacing w:before="0" w:after="240"/>
        <w:jc w:val="left"/>
        <w:rPr/>
      </w:pPr>
      <w:r>
        <w:rPr>
          <w:color w:val="000000"/>
        </w:rPr>
        <w:t>“</w:t>
      </w:r>
      <w:r>
        <w:rPr>
          <w:rFonts w:ascii="Times New Roman" w:hAnsi="Times New Roman"/>
          <w:b/>
          <w:color w:val="000000"/>
          <w:sz w:val="24"/>
        </w:rPr>
        <w:t>Exchange Offer</w:t>
      </w:r>
      <w:r>
        <w:rPr>
          <w:rFonts w:ascii="Times New Roman" w:hAnsi="Times New Roman"/>
          <w:color w:val="000000"/>
          <w:sz w:val="24"/>
        </w:rPr>
        <w:t>” means “Exchange Offer” as defined in the Registration Rights Agreement dated on or about the Issue Date between the Company and the Initial Purchasers party thereto with respect to the Initial Notes.</w:t>
      </w:r>
    </w:p>
    <w:p>
      <w:pPr>
        <w:pStyle w:val="TextBody"/>
        <w:bidi w:val="0"/>
        <w:spacing w:before="0" w:after="240"/>
        <w:jc w:val="left"/>
        <w:rPr/>
      </w:pPr>
      <w:r>
        <w:rPr>
          <w:color w:val="000000"/>
        </w:rPr>
        <w:t>“</w:t>
      </w:r>
      <w:r>
        <w:rPr>
          <w:rFonts w:ascii="Times New Roman" w:hAnsi="Times New Roman"/>
          <w:b/>
          <w:color w:val="000000"/>
          <w:sz w:val="24"/>
        </w:rPr>
        <w:t>Global Note</w:t>
      </w:r>
      <w:r>
        <w:rPr>
          <w:rFonts w:ascii="Times New Roman" w:hAnsi="Times New Roman"/>
          <w:color w:val="000000"/>
          <w:sz w:val="24"/>
        </w:rPr>
        <w:t>” means a Note in registered global form without interest coupons.</w:t>
      </w:r>
    </w:p>
    <w:p>
      <w:pPr>
        <w:pStyle w:val="TextBody"/>
        <w:bidi w:val="0"/>
        <w:spacing w:before="0" w:after="240"/>
        <w:jc w:val="left"/>
        <w:rPr/>
      </w:pPr>
      <w:r>
        <w:rPr>
          <w:color w:val="000000"/>
        </w:rPr>
        <w:t>“</w:t>
      </w:r>
      <w:r>
        <w:rPr>
          <w:rFonts w:ascii="Times New Roman" w:hAnsi="Times New Roman"/>
          <w:b/>
          <w:color w:val="000000"/>
          <w:sz w:val="24"/>
        </w:rPr>
        <w:t>Holder</w:t>
      </w:r>
      <w:r>
        <w:rPr>
          <w:rFonts w:ascii="Times New Roman" w:hAnsi="Times New Roman"/>
          <w:color w:val="000000"/>
          <w:sz w:val="24"/>
        </w:rPr>
        <w:t>” or “</w:t>
      </w:r>
      <w:r>
        <w:rPr>
          <w:rFonts w:ascii="Times New Roman" w:hAnsi="Times New Roman"/>
          <w:b/>
          <w:color w:val="000000"/>
          <w:sz w:val="24"/>
        </w:rPr>
        <w:t>Noteholder</w:t>
      </w:r>
      <w:r>
        <w:rPr>
          <w:rFonts w:ascii="Times New Roman" w:hAnsi="Times New Roman"/>
          <w:color w:val="000000"/>
          <w:sz w:val="24"/>
        </w:rPr>
        <w:t>” means the registered holder of any Note.</w:t>
      </w:r>
    </w:p>
    <w:p>
      <w:pPr>
        <w:pStyle w:val="TextBody"/>
        <w:bidi w:val="0"/>
        <w:spacing w:before="0" w:after="240"/>
        <w:jc w:val="left"/>
        <w:rPr/>
      </w:pPr>
      <w:r>
        <w:rPr>
          <w:color w:val="000000"/>
        </w:rPr>
        <w:t>“</w:t>
      </w:r>
      <w:r>
        <w:rPr>
          <w:rFonts w:ascii="Times New Roman" w:hAnsi="Times New Roman"/>
          <w:b/>
          <w:color w:val="000000"/>
          <w:sz w:val="24"/>
        </w:rPr>
        <w:t>Initial Additional Notes</w:t>
      </w:r>
      <w:r>
        <w:rPr>
          <w:rFonts w:ascii="Times New Roman" w:hAnsi="Times New Roman"/>
          <w:color w:val="000000"/>
          <w:sz w:val="24"/>
        </w:rPr>
        <w:t>” means Additional Notes issued in an offering not registered under the Securities Act and any Notes issued in replacement thereof, but not including any Exchange Notes issued in exchange therefor.</w:t>
      </w:r>
    </w:p>
    <w:p>
      <w:pPr>
        <w:pStyle w:val="TextBody"/>
        <w:bidi w:val="0"/>
        <w:spacing w:before="0" w:after="240"/>
        <w:jc w:val="left"/>
        <w:rPr/>
      </w:pPr>
      <w:r>
        <w:rPr>
          <w:color w:val="000000"/>
        </w:rPr>
        <w:t>“</w:t>
      </w:r>
      <w:r>
        <w:rPr>
          <w:rFonts w:ascii="Times New Roman" w:hAnsi="Times New Roman"/>
          <w:b/>
          <w:color w:val="000000"/>
          <w:sz w:val="24"/>
        </w:rPr>
        <w:t>Initial Notes</w:t>
      </w:r>
      <w:r>
        <w:rPr>
          <w:rFonts w:ascii="Times New Roman" w:hAnsi="Times New Roman"/>
          <w:color w:val="000000"/>
          <w:sz w:val="24"/>
        </w:rPr>
        <w:t>” means the Notes of each series issued on the Issue Date in an offering not registered under the Securities Act and any Notes issued in replacement thereof, but not including any Exchange Notes issued in exchange therefor.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b/>
          <w:color w:val="000000"/>
          <w:sz w:val="24"/>
        </w:rPr>
        <w:t>Initial Purchasers</w:t>
      </w:r>
      <w:r>
        <w:rPr>
          <w:rFonts w:ascii="Times New Roman" w:hAnsi="Times New Roman"/>
          <w:color w:val="000000"/>
          <w:sz w:val="24"/>
        </w:rPr>
        <w:t>” means the initial purchasers party to a purchase agreement with the Company relating to the sale of the Notes or Additional Notes by the Company.</w:t>
      </w:r>
    </w:p>
    <w:p>
      <w:pPr>
        <w:pStyle w:val="TextBody"/>
        <w:bidi w:val="0"/>
        <w:spacing w:before="0" w:after="240"/>
        <w:jc w:val="left"/>
        <w:rPr/>
      </w:pPr>
      <w:r>
        <w:rPr>
          <w:color w:val="000000"/>
        </w:rPr>
        <w:t>“</w:t>
      </w:r>
      <w:r>
        <w:rPr>
          <w:rFonts w:ascii="Times New Roman" w:hAnsi="Times New Roman"/>
          <w:b/>
          <w:color w:val="000000"/>
          <w:sz w:val="24"/>
        </w:rPr>
        <w:t>Notes</w:t>
      </w:r>
      <w:r>
        <w:rPr>
          <w:rFonts w:ascii="Times New Roman" w:hAnsi="Times New Roman"/>
          <w:color w:val="000000"/>
          <w:sz w:val="24"/>
        </w:rPr>
        <w:t>” has the meaning assigned to such terms in the Recitals of this Supplemental Indenture.</w:t>
      </w:r>
    </w:p>
    <w:p>
      <w:pPr>
        <w:pStyle w:val="TextBody"/>
        <w:bidi w:val="0"/>
        <w:spacing w:before="0" w:after="240"/>
        <w:jc w:val="left"/>
        <w:rPr/>
      </w:pPr>
      <w:r>
        <w:rPr>
          <w:color w:val="000000"/>
        </w:rPr>
        <w:t>“</w:t>
      </w:r>
      <w:r>
        <w:rPr>
          <w:rFonts w:ascii="Times New Roman" w:hAnsi="Times New Roman"/>
          <w:b/>
          <w:color w:val="000000"/>
          <w:sz w:val="24"/>
        </w:rPr>
        <w:t>Offshore Global Note</w:t>
      </w:r>
      <w:r>
        <w:rPr>
          <w:rFonts w:ascii="Times New Roman" w:hAnsi="Times New Roman"/>
          <w:color w:val="000000"/>
          <w:sz w:val="24"/>
        </w:rPr>
        <w:t>” means a Global Note representing Notes issued and sold pursuant to Regulation S.</w:t>
      </w:r>
    </w:p>
    <w:p>
      <w:pPr>
        <w:pStyle w:val="TextBody"/>
        <w:bidi w:val="0"/>
        <w:spacing w:before="0" w:after="240"/>
        <w:jc w:val="left"/>
        <w:rPr/>
      </w:pPr>
      <w:r>
        <w:rPr>
          <w:color w:val="000000"/>
        </w:rPr>
        <w:t>“</w:t>
      </w:r>
      <w:r>
        <w:rPr>
          <w:rFonts w:ascii="Times New Roman" w:hAnsi="Times New Roman"/>
          <w:b/>
          <w:color w:val="000000"/>
          <w:sz w:val="24"/>
        </w:rPr>
        <w:t>Original Notes</w:t>
      </w:r>
      <w:r>
        <w:rPr>
          <w:rFonts w:ascii="Times New Roman" w:hAnsi="Times New Roman"/>
          <w:color w:val="000000"/>
          <w:sz w:val="24"/>
        </w:rPr>
        <w:t>” means the Initial Notes of each series and any Exchange Notes issued in exchange therefor.</w:t>
      </w:r>
    </w:p>
    <w:p>
      <w:pPr>
        <w:pStyle w:val="TextBody"/>
        <w:bidi w:val="0"/>
        <w:spacing w:before="0" w:after="240"/>
        <w:jc w:val="left"/>
        <w:rPr/>
      </w:pPr>
      <w:r>
        <w:rPr>
          <w:color w:val="000000"/>
        </w:rPr>
        <w:t>“</w:t>
      </w:r>
      <w:r>
        <w:rPr>
          <w:rFonts w:ascii="Times New Roman" w:hAnsi="Times New Roman"/>
          <w:b/>
          <w:color w:val="000000"/>
          <w:sz w:val="24"/>
        </w:rPr>
        <w:t>Registration Rights Agreement</w:t>
      </w:r>
      <w:r>
        <w:rPr>
          <w:rFonts w:ascii="Times New Roman" w:hAnsi="Times New Roman"/>
          <w:color w:val="000000"/>
          <w:sz w:val="24"/>
        </w:rPr>
        <w:t>” means (i) the Registration Rights Agreement dated on or about the Issue Date between the Company and the Initial Purchasers party thereto with respect to the Initial Notes and (ii) with respect to any Initial Additional Notes, any registration rights agreements between the Company and the Initial Purchasers party thereto relating to rights given by the Company to the purchasers of Initial Additional Notes to register such Initial Additional Notes or exchange them for Exchange Notes.</w:t>
      </w:r>
    </w:p>
    <w:p>
      <w:pPr>
        <w:pStyle w:val="TextBody"/>
        <w:bidi w:val="0"/>
        <w:spacing w:before="0" w:after="240"/>
        <w:jc w:val="left"/>
        <w:rPr/>
      </w:pPr>
      <w:r>
        <w:rPr>
          <w:color w:val="000000"/>
        </w:rPr>
        <w:t>“</w:t>
      </w:r>
      <w:r>
        <w:rPr>
          <w:rFonts w:ascii="Times New Roman" w:hAnsi="Times New Roman"/>
          <w:b/>
          <w:color w:val="000000"/>
          <w:sz w:val="24"/>
        </w:rPr>
        <w:t>Regulation S</w:t>
      </w:r>
      <w:r>
        <w:rPr>
          <w:rFonts w:ascii="Times New Roman" w:hAnsi="Times New Roman"/>
          <w:color w:val="000000"/>
          <w:sz w:val="24"/>
        </w:rPr>
        <w:t>” means Regulation S under the Securities Act.</w:t>
      </w:r>
    </w:p>
    <w:p>
      <w:pPr>
        <w:pStyle w:val="TextBody"/>
        <w:bidi w:val="0"/>
        <w:spacing w:before="0" w:after="240"/>
        <w:jc w:val="left"/>
        <w:rPr/>
      </w:pPr>
      <w:r>
        <w:rPr>
          <w:color w:val="000000"/>
        </w:rPr>
        <w:t>“</w:t>
      </w:r>
      <w:r>
        <w:rPr>
          <w:rFonts w:ascii="Times New Roman" w:hAnsi="Times New Roman"/>
          <w:b/>
          <w:color w:val="000000"/>
          <w:sz w:val="24"/>
        </w:rPr>
        <w:t>Regulation S Certificate</w:t>
      </w:r>
      <w:r>
        <w:rPr>
          <w:rFonts w:ascii="Times New Roman" w:hAnsi="Times New Roman"/>
          <w:color w:val="000000"/>
          <w:sz w:val="24"/>
        </w:rPr>
        <w:t>” means a certificate substantially in the form of Exhibit D hereto.</w:t>
      </w:r>
    </w:p>
    <w:p>
      <w:pPr>
        <w:pStyle w:val="TextBody"/>
        <w:bidi w:val="0"/>
        <w:spacing w:before="0" w:after="240"/>
        <w:jc w:val="left"/>
        <w:rPr/>
      </w:pPr>
      <w:r>
        <w:rPr>
          <w:color w:val="000000"/>
        </w:rPr>
        <w:t>“</w:t>
      </w:r>
      <w:r>
        <w:rPr>
          <w:rFonts w:ascii="Times New Roman" w:hAnsi="Times New Roman"/>
          <w:b/>
          <w:color w:val="000000"/>
          <w:sz w:val="24"/>
        </w:rPr>
        <w:t>Restricted Legend</w:t>
      </w:r>
      <w:r>
        <w:rPr>
          <w:rFonts w:ascii="Times New Roman" w:hAnsi="Times New Roman"/>
          <w:color w:val="000000"/>
          <w:sz w:val="24"/>
        </w:rPr>
        <w:t>” means the legend set forth in Exhibit C hereto.</w:t>
      </w:r>
    </w:p>
    <w:p>
      <w:pPr>
        <w:pStyle w:val="TextBody"/>
        <w:bidi w:val="0"/>
        <w:spacing w:before="0" w:after="240"/>
        <w:jc w:val="left"/>
        <w:rPr/>
      </w:pPr>
      <w:r>
        <w:rPr>
          <w:color w:val="000000"/>
        </w:rPr>
        <w:t>“</w:t>
      </w:r>
      <w:r>
        <w:rPr>
          <w:rFonts w:ascii="Times New Roman" w:hAnsi="Times New Roman"/>
          <w:b/>
          <w:color w:val="000000"/>
          <w:sz w:val="24"/>
        </w:rPr>
        <w:t>Restricted Period</w:t>
      </w:r>
      <w:r>
        <w:rPr>
          <w:rFonts w:ascii="Times New Roman" w:hAnsi="Times New Roman"/>
          <w:color w:val="000000"/>
          <w:sz w:val="24"/>
        </w:rPr>
        <w:t>” means the period beginning on the date hereof and ending 40 days thereafter.</w:t>
      </w:r>
    </w:p>
    <w:p>
      <w:pPr>
        <w:pStyle w:val="TextBody"/>
        <w:bidi w:val="0"/>
        <w:spacing w:before="0" w:after="240"/>
        <w:jc w:val="left"/>
        <w:rPr/>
      </w:pPr>
      <w:r>
        <w:rPr>
          <w:color w:val="000000"/>
        </w:rPr>
        <w:t>“</w:t>
      </w:r>
      <w:r>
        <w:rPr>
          <w:rFonts w:ascii="Times New Roman" w:hAnsi="Times New Roman"/>
          <w:b/>
          <w:color w:val="000000"/>
          <w:sz w:val="24"/>
        </w:rPr>
        <w:t>Rule 144A</w:t>
      </w:r>
      <w:r>
        <w:rPr>
          <w:rFonts w:ascii="Times New Roman" w:hAnsi="Times New Roman"/>
          <w:color w:val="000000"/>
          <w:sz w:val="24"/>
        </w:rPr>
        <w:t>” means Rule 144A under the Securities Act.</w:t>
      </w:r>
    </w:p>
    <w:p>
      <w:pPr>
        <w:pStyle w:val="TextBody"/>
        <w:bidi w:val="0"/>
        <w:spacing w:before="0" w:after="240"/>
        <w:jc w:val="left"/>
        <w:rPr/>
      </w:pPr>
      <w:r>
        <w:rPr>
          <w:color w:val="000000"/>
        </w:rPr>
        <w:t>“</w:t>
      </w:r>
      <w:r>
        <w:rPr>
          <w:rFonts w:ascii="Times New Roman" w:hAnsi="Times New Roman"/>
          <w:b/>
          <w:color w:val="000000"/>
          <w:sz w:val="24"/>
        </w:rPr>
        <w:t>Rule 144A Certificate</w:t>
      </w:r>
      <w:r>
        <w:rPr>
          <w:rFonts w:ascii="Times New Roman" w:hAnsi="Times New Roman"/>
          <w:color w:val="000000"/>
          <w:sz w:val="24"/>
        </w:rPr>
        <w:t>” means (i) a certificate substantially in the form of Exhibit E hereto or (ii) a written certification addressed to the Company and the Trustee to the effect that the Person making such certification (x) is acquiring such Note (or beneficial interest) for its own account or one or more accounts with respect to which it exercises sole investment discretion and that it and each such account is a qualified institutional buyer within the meaning of Rule 144A, (y) is aware that the transfer to it or exchange, as applicable, is being made in reliance upon the exemption from the provisions of Section 5 of the Securities Act provided by Rule 144A and (z) acknowledges that it has received such information regarding the Company as it has requested pursuant to Rule 144A(d)(4) or has determined not to request such information.</w:t>
      </w:r>
    </w:p>
    <w:p>
      <w:pPr>
        <w:pStyle w:val="TextBody"/>
        <w:bidi w:val="0"/>
        <w:spacing w:before="0" w:after="240"/>
        <w:jc w:val="left"/>
        <w:rPr/>
      </w:pPr>
      <w:r>
        <w:rPr>
          <w:color w:val="000000"/>
        </w:rPr>
        <w:t>“</w:t>
      </w:r>
      <w:r>
        <w:rPr>
          <w:rFonts w:ascii="Times New Roman" w:hAnsi="Times New Roman"/>
          <w:b/>
          <w:color w:val="000000"/>
          <w:sz w:val="24"/>
        </w:rPr>
        <w:t>U.S. Global Note</w:t>
      </w:r>
      <w:r>
        <w:rPr>
          <w:rFonts w:ascii="Times New Roman" w:hAnsi="Times New Roman"/>
          <w:color w:val="000000"/>
          <w:sz w:val="24"/>
        </w:rPr>
        <w:t>” means a Global Note that bears the Restricted Legend representing Notes issued and sold pursuant to Rule 144A.</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Section 2.1. </w:t>
      </w:r>
      <w:r>
        <w:rPr>
          <w:rFonts w:ascii="Times New Roman" w:hAnsi="Times New Roman"/>
          <w:color w:val="000000"/>
          <w:sz w:val="24"/>
        </w:rPr>
        <w:t>Restricted Legend. (a) Except as otherwise provided in paragraph (c), each Global Note representing Notes originally sold by the Initial Purchasers in accordance with Rule 144A will bear the Restricted Legend.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Except as otherwise provided in paragraph (c), Section 2.2(b)(3), (b)(5) or (c) or Section 2.3(b)(4), each Certificated Note will bear the Restricted Legend.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(1) If the Company determines (upon the advice of counsel and such other certifications and evidence as the Company may reasonably require) that a Note is eligible for resale pursuant to Rule 144 under the Securities Act (or a successor provision) without the need for current public information and that the Restricted Legend is no longer necessary or appropriate in order to ensure that subsequent transfers of the Note (or a beneficial interest therein) are effected in compliance with the Securities Act or (2) after an Initial Note or any Initial Additional Note is (x) sold pursuant to an effective registration statement under the Securities Act, pursuant to the Registration Rights Agreement or otherwise or (y) validly tendered for exchange into an Exchange Note pursuant to an Exchange Offer, the Company may instruct the Trustee to cancel the Note and issue to the Holder thereof (or to its transferee) a new Note of like tenor and amount, registered in the name of the Holder thereof (or its transferee), that does not bear the Restricted Legend, and the Trustee will comply with such instruction.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By its acceptance of any Note bearing the Restricted Legend (or any beneficial interest in such a Note), each Holder thereof and each owner of a beneficial interest therein acknowledges the restrictions on transfer of such Note (and any such beneficial interest) set forth in this Indenture and in the Restricted Legend and agrees that it will transfer such Note (and any such beneficial interest) only in accordance with the Indenture and such legend.</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Section 2.2. </w:t>
      </w:r>
      <w:r>
        <w:rPr>
          <w:rFonts w:ascii="Times New Roman" w:hAnsi="Times New Roman"/>
          <w:color w:val="000000"/>
          <w:sz w:val="24"/>
        </w:rPr>
        <w:t>Restrictions on Transfer and Exchange. (a) The transfer or exchange of any Note (or a beneficial interest therein) may only be made in accordance with this Section and Section 2.3 and, in the case of a Global Note (or a beneficial interest therein), the applicable policies and procedures of the Depositary. Any purported transfer or exchange that does not comply with the preceding sentence shall be void.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Subject to paragraph (c), the transfer or exchange of any Note (or a beneficial interest therein) of the type set forth in column A below for a Note (or a beneficial interest therein) of the type set forth opposite in column B below may only be made in compliance with the certification requirements (if any) described in the clause of this paragraph set forth opposite in column C below.</w:t>
      </w:r>
    </w:p>
    <w:tbl>
      <w:tblPr>
        <w:tblW w:w="4788" w:type="dxa"/>
        <w:jc w:val="left"/>
        <w:tblInd w:w="0" w:type="dxa"/>
        <w:tblLayout w:type="fixed"/>
        <w:tblCellMar>
          <w:top w:w="28" w:type="dxa"/>
          <w:left w:w="28" w:type="dxa"/>
          <w:bottom w:w="28" w:type="dxa"/>
          <w:right w:w="28" w:type="dxa"/>
        </w:tblCellMar>
      </w:tblPr>
      <w:tblGrid>
        <w:gridCol w:w="2191"/>
        <w:gridCol w:w="2176"/>
        <w:gridCol w:w="421"/>
      </w:tblGrid>
      <w:tr>
        <w:trPr/>
        <w:tc>
          <w:tcPr>
            <w:tcW w:w="2191" w:type="dxa"/>
            <w:tcBorders/>
            <w:shd w:fill="FFFFFF" w:val="clear"/>
            <w:vAlign w:val="center"/>
          </w:tcPr>
          <w:p>
            <w:pPr>
              <w:pStyle w:val="TableContents"/>
              <w:bidi w:val="0"/>
              <w:spacing w:before="0" w:after="283"/>
              <w:jc w:val="left"/>
              <w:rPr>
                <w:sz w:val="4"/>
                <w:szCs w:val="4"/>
              </w:rPr>
            </w:pPr>
            <w:r>
              <w:rPr>
                <w:sz w:val="4"/>
                <w:szCs w:val="4"/>
              </w:rPr>
            </w:r>
          </w:p>
        </w:tc>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i/>
                <w:color w:val="000000"/>
                <w:sz w:val="24"/>
              </w:rPr>
            </w:pPr>
            <w:r>
              <w:rPr>
                <w:rFonts w:ascii="Times New Roman" w:hAnsi="Times New Roman"/>
                <w:i/>
                <w:color w:val="000000"/>
                <w:sz w:val="24"/>
              </w:rPr>
              <w:t>A</w:t>
            </w:r>
          </w:p>
        </w:tc>
        <w:tc>
          <w:tcPr>
            <w:tcW w:w="2176"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i/>
                <w:color w:val="000000"/>
                <w:sz w:val="24"/>
              </w:rPr>
            </w:pPr>
            <w:r>
              <w:rPr>
                <w:rFonts w:ascii="Times New Roman" w:hAnsi="Times New Roman"/>
                <w:i/>
                <w:color w:val="000000"/>
                <w:sz w:val="24"/>
              </w:rPr>
              <w:t>B</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i/>
                <w:color w:val="000000"/>
                <w:sz w:val="24"/>
              </w:rPr>
            </w:pPr>
            <w:r>
              <w:rPr>
                <w:rFonts w:ascii="Times New Roman" w:hAnsi="Times New Roman"/>
                <w:i/>
                <w:color w:val="000000"/>
                <w:sz w:val="24"/>
              </w:rPr>
              <w:t>C</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U.S. Global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U.S. Global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(1)</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U.S. Global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Offshore Global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(1)</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U.S. Global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Certificated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(3)</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Offshore Global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U.S. Global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(1)</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Offshore Global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Offshore Global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(1)</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Offshore Global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Certificated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(5)</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Certificated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U.S. Global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(4)</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Certificated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Offshore Global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(2)</w:t>
            </w:r>
          </w:p>
        </w:tc>
      </w:tr>
      <w:tr>
        <w:trPr/>
        <w:tc>
          <w:tcPr>
            <w:tcW w:w="2191"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Certificated Note</w:t>
            </w:r>
          </w:p>
        </w:tc>
        <w:tc>
          <w:tcPr>
            <w:tcW w:w="2176" w:type="dxa"/>
            <w:tcBorders/>
            <w:tcMar>
              <w:top w:w="0" w:type="dxa"/>
              <w:left w:w="0" w:type="dxa"/>
              <w:bottom w:w="0" w:type="dxa"/>
              <w:right w:w="0" w:type="dxa"/>
            </w:tcMar>
            <w:vAlign w:val="center"/>
          </w:tcPr>
          <w:p>
            <w:pPr>
              <w:pStyle w:val="TableContents"/>
              <w:bidi w:val="0"/>
              <w:spacing w:before="60" w:after="100"/>
              <w:jc w:val="left"/>
              <w:rPr>
                <w:rFonts w:ascii="Times New Roman" w:hAnsi="Times New Roman"/>
                <w:color w:val="000000"/>
                <w:sz w:val="24"/>
              </w:rPr>
            </w:pPr>
            <w:r>
              <w:rPr>
                <w:rFonts w:ascii="Times New Roman" w:hAnsi="Times New Roman"/>
                <w:color w:val="000000"/>
                <w:sz w:val="24"/>
              </w:rPr>
              <w:t>Certificated Note</w:t>
            </w:r>
          </w:p>
        </w:tc>
        <w:tc>
          <w:tcPr>
            <w:tcW w:w="421" w:type="dxa"/>
            <w:tcBorders/>
            <w:tcMar>
              <w:top w:w="0" w:type="dxa"/>
              <w:left w:w="0" w:type="dxa"/>
              <w:bottom w:w="0" w:type="dxa"/>
              <w:right w:w="0" w:type="dxa"/>
            </w:tcMar>
            <w:vAlign w:val="center"/>
          </w:tcPr>
          <w:p>
            <w:pPr>
              <w:pStyle w:val="TableContents"/>
              <w:bidi w:val="0"/>
              <w:spacing w:before="60" w:after="100"/>
              <w:jc w:val="center"/>
              <w:rPr>
                <w:rFonts w:ascii="Times New Roman" w:hAnsi="Times New Roman"/>
                <w:color w:val="000000"/>
                <w:sz w:val="24"/>
              </w:rPr>
            </w:pPr>
            <w:r>
              <w:rPr>
                <w:rFonts w:ascii="Times New Roman" w:hAnsi="Times New Roman"/>
                <w:color w:val="000000"/>
                <w:sz w:val="24"/>
              </w:rPr>
              <w:t>(3)</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certification is required; such transfer or exchange is subject to the applicable policies and procedures of the Depositary.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The Person requesting the transfer or exchange must deliver or cause to be delivered to the Company and the Trustee a duly completed Regulation S Certificate; </w:t>
      </w:r>
      <w:r>
        <w:rPr>
          <w:rFonts w:ascii="Times New Roman" w:hAnsi="Times New Roman"/>
          <w:i/>
          <w:color w:val="000000"/>
          <w:sz w:val="24"/>
        </w:rPr>
        <w:t>provided</w:t>
      </w:r>
      <w:r>
        <w:rPr>
          <w:rFonts w:ascii="Times New Roman" w:hAnsi="Times New Roman"/>
          <w:color w:val="000000"/>
          <w:sz w:val="24"/>
        </w:rPr>
        <w:t xml:space="preserve"> that if the requested transfer or exchange is made by the Holder of a Certificated Note that does not bear the Restricted Legend, then no certification is required.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The Person requesting the transfer or exchange must deliver or cause to be delivered to the Company and the Trustee (x) a duly completed Rule 144A Certificate or (y) a duly completed Regulation S Certificate and/or an Opinion of Counsel and such other certifications and evidence as the Company may reasonably require in order to determine that the proposed transfer or exchange is being made in compliance with the Securities Act and any applicable securities laws of any state of the United States; </w:t>
      </w:r>
      <w:r>
        <w:rPr>
          <w:rFonts w:ascii="Times New Roman" w:hAnsi="Times New Roman"/>
          <w:i/>
          <w:color w:val="000000"/>
          <w:sz w:val="24"/>
        </w:rPr>
        <w:t xml:space="preserve">provided </w:t>
      </w:r>
      <w:r>
        <w:rPr>
          <w:rFonts w:ascii="Times New Roman" w:hAnsi="Times New Roman"/>
          <w:color w:val="000000"/>
          <w:sz w:val="24"/>
        </w:rPr>
        <w:t>that if the requested transfer or exchange is made by the Holder of a Certificated Note that does not bear the Restricted Legend, then no certification is required. In the event that (i) the requested transfer or exchange takes place after the Restricted Period and a duly completed Regulation S Certificate is delivered to the Company and the Trustee or (ii) a Certificated Note that does not bear the Restricted Legend is surrendered for transfer or exchange, upon transfer or exchange the Trustee will deliver a Certificated Note that does not bear the Restricted Legend.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Person requesting the transfer or exchange must deliver or cause to be delivered to the Company and the Trustee a duly completed Rule 144A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requested transfer or exchange takes place during the Restricted Period, the person requesting the transfer or exchange must deliver or cause to be delivered to the Company and the Trustee a duly completed Rule 144A Certificate and/or an Opinion of Counsel and such other certifications and evidence as the Company may reasonably require in order to determine that the proposed transfer or exchange is being made in compliance with the Securities Act and any applicable securities laws of any state of the United States. If the requested transfer or exchange takes place after the Restricted Period, no certification is required and the Trustee will deliver a Certificated Note that does not bear the Restricted Legend.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No certification is required in connection with any transfer or exchange of any Note (or a beneficial interest therein) (1) after such Note is eligible for resale pursuant to Rule 144 under the Securities Act (or a successor provision) without the need for current public information; </w:t>
      </w:r>
      <w:r>
        <w:rPr>
          <w:rFonts w:ascii="Times New Roman" w:hAnsi="Times New Roman"/>
          <w:i/>
          <w:color w:val="000000"/>
          <w:sz w:val="24"/>
        </w:rPr>
        <w:t>provided</w:t>
      </w:r>
      <w:r>
        <w:rPr>
          <w:rFonts w:ascii="Times New Roman" w:hAnsi="Times New Roman"/>
          <w:color w:val="000000"/>
          <w:sz w:val="24"/>
        </w:rPr>
        <w:t xml:space="preserve"> that the Company has provided the Trustee with an Officer’s Certificate to that effect, and the Company may require from any Person requesting a transfer or exchange in reliance upon this clause (1) an opinion of counsel and any other reasonable certifications and evidence in order to support such certificate; or (2)(x) sold pursuant to an effective registration statement, pursuant to the Registration Rights Agreement or otherwise or (y) which is validly tendered for exchange into an Exchange Note pursuant to an Exchange Offer.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Certificated Note delivered in reliance upon this paragraph will not bear the Restricted Legend.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Trustee will retain copies of all certificates, opinions and other documents received in connection with the transfer or exchange of a Certificated Note (or a beneficial interest therein), and the Company will have the right to inspect and make copies thereof at any reasonable time upon written notice to the Trustee.</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Section 2.3. </w:t>
      </w:r>
      <w:r>
        <w:rPr>
          <w:rFonts w:ascii="Times New Roman" w:hAnsi="Times New Roman"/>
          <w:color w:val="000000"/>
          <w:sz w:val="24"/>
        </w:rPr>
        <w:t xml:space="preserve">Registration, Transfer and Exchange. (a) </w:t>
      </w:r>
      <w:r>
        <w:rPr>
          <w:rFonts w:ascii="Times New Roman" w:hAnsi="Times New Roman"/>
          <w:i/>
          <w:color w:val="000000"/>
          <w:sz w:val="24"/>
        </w:rPr>
        <w:t>Registered Form Only</w:t>
      </w:r>
      <w:r>
        <w:rPr>
          <w:rFonts w:ascii="Times New Roman" w:hAnsi="Times New Roman"/>
          <w:color w:val="000000"/>
          <w:sz w:val="24"/>
        </w:rPr>
        <w:t>. The Notes will be issued in registered form only.</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Global Notes</w:t>
      </w:r>
      <w:r>
        <w:rPr>
          <w:rFonts w:ascii="Times New Roman" w:hAnsi="Times New Roman"/>
          <w:color w:val="000000"/>
          <w:sz w:val="24"/>
        </w:rPr>
        <w:t>. (1) Each Global Note will be registered in the name of the Depositary or its nominee and, so long as DTC is serving as the Depositary thereof, will bear the following legend:</w:t>
      </w:r>
    </w:p>
    <w:p>
      <w:pPr>
        <w:pStyle w:val="TextBody"/>
        <w:bidi w:val="0"/>
        <w:spacing w:before="0" w:after="240"/>
        <w:jc w:val="left"/>
        <w:rPr>
          <w:rFonts w:ascii="Times New Roman" w:hAnsi="Times New Roman"/>
          <w:sz w:val="24"/>
        </w:rPr>
      </w:pPr>
      <w:r>
        <w:rPr>
          <w:rFonts w:ascii="Times New Roman" w:hAnsi="Times New Roman"/>
          <w:caps/>
          <w:color w:val="000000"/>
          <w:sz w:val="24"/>
        </w:rPr>
        <w:t>Unless this certificate is presented by an authorized representative of The Depository Trust Company (the “</w:t>
      </w:r>
      <w:r>
        <w:rPr>
          <w:rFonts w:ascii="Times New Roman" w:hAnsi="Times New Roman"/>
          <w:b/>
          <w:caps/>
          <w:color w:val="000000"/>
          <w:sz w:val="24"/>
        </w:rPr>
        <w:t>depositary</w:t>
      </w:r>
      <w:r>
        <w:rPr>
          <w:rFonts w:ascii="Times New Roman" w:hAnsi="Times New Roman"/>
          <w:caps/>
          <w:color w:val="000000"/>
          <w:sz w:val="24"/>
        </w:rPr>
        <w:t>”),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 beneficial interest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Each Global Note will be delivered to the Trustee as custodian for the Depositary. Transfers of a Global Note (but not a beneficial interest therein) will be limited to transfers thereof in whole, but not in part, to the Depositary, its successors or their respective nominees, except (x) as set forth in Section 2.3(b)(4) and (y) transfers of portions thereof in the form of Certificated Notes may be made upon request of an Agent Member (for itself or on behalf of a beneficial owner) by written notice given to the Company or the Trustee, on behalf of the Depositary in accordance with customary procedures of the Depositary and in compliance with this Section and Section 2.2.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 Agent Members will have no rights under the Indenture with respect to any Global Note held on their behalf by the Depositary, and the Depositary shall be treated by the Company, the Trustee and any agent of the Company or the Trustee as the absolute owner and Holder of such Global Note for all purposes whatsoever. Notwithstanding the foregoing, the Depositary or its nominee may grant proxies and otherwise authorize any Person (including any Agent Member and any Person that holds a beneficial interest in a Global Note through an Agent Member) to take any action which a Holder is entitled to take under the Indenture or the Notes, and nothing herein will impair, as between the Depositary and its Agent Members, the operation of customary practices governing the exercise of the rights of a holder of any security.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 If (x) the Depositary notifies the Company that it is unwilling or unable to continue as Depositary for a Global Note and a successor depositary is not appointed by the Company within 90 days of the notice or (y) an Event of Default has occurred and is continuing, any owner of a beneficial interest in such Global Note will be entitled to receive a Certificated Note in exchange for such interest, whether or not the Trustee has received a request from the Depositary, and the Company will promptly execute one or more Certificated Notes in authorized denominations having an equal aggregate principal amount of such Global Note, registered in the name of the owner of the beneficial interest of each such Global Note, as identified to the Trustee by the Depositary. The Trustee will authenticate and deliver such Certificated Notes in exchange for such Global Note and thereupon the Global Note will be deemed canceled upon issuance of such Certificated Notes. If such Note was an Offshore Global Note, then the Certificated Notes issued in exchange therefor will not bear the Restricted Legend.</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Certificated Notes</w:t>
      </w:r>
      <w:r>
        <w:rPr>
          <w:rFonts w:ascii="Times New Roman" w:hAnsi="Times New Roman"/>
          <w:color w:val="000000"/>
          <w:sz w:val="24"/>
        </w:rPr>
        <w:t>. Each Certificated Note will be registered in the name of the Holder thereof or its nominee.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Transfers and Exchanges Generally</w:t>
      </w:r>
      <w:r>
        <w:rPr>
          <w:rFonts w:ascii="Times New Roman" w:hAnsi="Times New Roman"/>
          <w:color w:val="000000"/>
          <w:sz w:val="24"/>
        </w:rPr>
        <w:t xml:space="preserve">.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(1) </w:t>
      </w:r>
      <w:r>
        <w:rPr>
          <w:rFonts w:ascii="Times New Roman" w:hAnsi="Times New Roman"/>
          <w:i/>
          <w:color w:val="000000"/>
          <w:sz w:val="24"/>
        </w:rPr>
        <w:t>Global Notes</w:t>
      </w:r>
      <w:r>
        <w:rPr>
          <w:rFonts w:ascii="Times New Roman" w:hAnsi="Times New Roman"/>
          <w:color w:val="000000"/>
          <w:sz w:val="24"/>
        </w:rPr>
        <w:t xml:space="preserve">. Transfers of beneficial interests in any Global Notes shall be transferred pursuant to the policies and procedures of the Depositary.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 </w:t>
      </w:r>
      <w:r>
        <w:rPr>
          <w:rFonts w:ascii="Times New Roman" w:hAnsi="Times New Roman"/>
          <w:i/>
          <w:color w:val="000000"/>
          <w:sz w:val="24"/>
        </w:rPr>
        <w:t>Certificated Notes</w:t>
      </w:r>
      <w:r>
        <w:rPr>
          <w:rFonts w:ascii="Times New Roman" w:hAnsi="Times New Roman"/>
          <w:color w:val="000000"/>
          <w:sz w:val="24"/>
        </w:rPr>
        <w:t xml:space="preserve">. A Holder may transfer a Certificated Note (or a beneficial interest therein) to another Person or exchange a Certificated Note (or a beneficial interest therein) for another Certificated Note or Certificated Notes of any authorized denomination by presenting to the Trustee a written request therefor stating the name of the proposed transferee or requesting such an exchange, accompanied by any certification, opinion or other document required by Section 2.2. The Trustee will promptly register any such transfer or exchange that meets the requirements of this Section by noting the same in the register maintained by the Trustee for the purpose; </w:t>
      </w:r>
      <w:r>
        <w:rPr>
          <w:rFonts w:ascii="Times New Roman" w:hAnsi="Times New Roman"/>
          <w:i/>
          <w:color w:val="000000"/>
          <w:sz w:val="24"/>
        </w:rPr>
        <w:t>provided</w:t>
      </w:r>
      <w:r>
        <w:rPr>
          <w:rFonts w:ascii="Times New Roman" w:hAnsi="Times New Roman"/>
          <w:color w:val="000000"/>
          <w:sz w:val="24"/>
        </w:rPr>
        <w:t xml:space="preserve"> that (x) no transfer or exchange will be effective until the transfer or exchange is registered in such register and (y) the Trustee will not be required (i) to issue, register the transfer of or exchange any Certificated Note for a period of 15 days before a selection of Certificated Notes to be redeemed or purchased pursuant to an Offer to Purchase, (ii) to register the transfer of or exchange any Certificated Note so selected for redemption or purchase in whole or in part, except, in the case of a partial redemption (or purchase), that portion of any Certificated Note not being redeemed or purchased, or (iii) if a redemption or a purchase pursuant to an Offer to Purchase is to occur after a Regular Record Date but on or before the corresponding Interest Payment Date, to register the transfer of or exchange any Certificated Note on or after the Regular Record Date and before the date of redemption or purchase. Prior to the registration of any transfer, the Company, the Trustee and their agents will treat the person in whose name the Certificated Note is registered as the owner and Holder thereof for all purposes (whether or not the Certificated Note is overdue), and will not be affected by notice to the contrary.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From time to time the Company will execute and the Trustee will authenticate additional Certificated Notes as necessary in order to permit the registration of a transfer or exchange in accordance with this Section.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service charge will be imposed in connection with any transfer or exchange of any Certificated Note, but the Company may require payment of a sum sufficient to cover any transfer tax or similar governmental charge payable in connection therewith (other than a transfer tax or other similar governmental charge payable upon exchange pursuant to paragraph (b)(4)).</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rPr>
        <w:t>Procedures to Be Followed</w:t>
      </w:r>
      <w:r>
        <w:rPr>
          <w:rFonts w:ascii="Times New Roman" w:hAnsi="Times New Roman"/>
          <w:color w:val="000000"/>
          <w:sz w:val="24"/>
        </w:rPr>
        <w:t xml:space="preserve">. (1) </w:t>
      </w:r>
      <w:r>
        <w:rPr>
          <w:rFonts w:ascii="Times New Roman" w:hAnsi="Times New Roman"/>
          <w:i/>
          <w:color w:val="000000"/>
          <w:sz w:val="24"/>
        </w:rPr>
        <w:t>Global Note to Global Note</w:t>
      </w:r>
      <w:r>
        <w:rPr>
          <w:rFonts w:ascii="Times New Roman" w:hAnsi="Times New Roman"/>
          <w:color w:val="000000"/>
          <w:sz w:val="24"/>
        </w:rPr>
        <w:t>. If a beneficial interest in a Global Note is transferred or exchanged for a beneficial interest in another Global Note, such transfer or exchange shall be made pursuant to the policies and procedures of the Depositary.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(2) </w:t>
      </w:r>
      <w:r>
        <w:rPr>
          <w:rFonts w:ascii="Times New Roman" w:hAnsi="Times New Roman"/>
          <w:i/>
          <w:color w:val="000000"/>
          <w:sz w:val="24"/>
        </w:rPr>
        <w:t>Global Note to Certificated Note</w:t>
      </w:r>
      <w:r>
        <w:rPr>
          <w:rFonts w:ascii="Times New Roman" w:hAnsi="Times New Roman"/>
          <w:color w:val="000000"/>
          <w:sz w:val="24"/>
        </w:rPr>
        <w:t>. If a beneficial interest in a Global Note is transferred or exchanged for a Certificated Note, the Trustee will (x) record a decrease in the principal amount of such Global Note equal to the principal amount of such transfer or exchange and (y) deliver one or more new Certificated Notes in authorized denominations having an equal aggregate principal amount to the transferee (in the case of a transfer) or the owner of such beneficial interest (in the case of an exchange), registered in the name of such transferee or owner, as applicable.</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(3) </w:t>
      </w:r>
      <w:r>
        <w:rPr>
          <w:rFonts w:ascii="Times New Roman" w:hAnsi="Times New Roman"/>
          <w:i/>
          <w:color w:val="000000"/>
          <w:sz w:val="24"/>
        </w:rPr>
        <w:t>Certificated Note to Global Note</w:t>
      </w:r>
      <w:r>
        <w:rPr>
          <w:rFonts w:ascii="Times New Roman" w:hAnsi="Times New Roman"/>
          <w:color w:val="000000"/>
          <w:sz w:val="24"/>
        </w:rPr>
        <w:t>. If a Certificated Note is transferred or exchanged for a beneficial interest in a Global Note, the Trustee will (x) cancel such Certificated Note, (y) record an increase in the principal amount of such Global Note equal to the principal amount of such transfer or exchange and (z) in the event that such transfer or exchange involves less than the entire principal amount of the canceled Certificated Note, deliver to the Holder thereof one or more new Certificated Notes in authorized denominations having an aggregate principal amount equal to the untransferred or unexchanged portion of the canceled Certificated Note, registered in the name of the Holder thereof.</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(4) </w:t>
      </w:r>
      <w:r>
        <w:rPr>
          <w:rFonts w:ascii="Times New Roman" w:hAnsi="Times New Roman"/>
          <w:i/>
          <w:color w:val="000000"/>
          <w:sz w:val="24"/>
        </w:rPr>
        <w:t>Certificated Note to Certificated Note</w:t>
      </w:r>
      <w:r>
        <w:rPr>
          <w:rFonts w:ascii="Times New Roman" w:hAnsi="Times New Roman"/>
          <w:color w:val="000000"/>
          <w:sz w:val="24"/>
        </w:rPr>
        <w:t>. If a Certificated Note is transferred or exchanged for another Certificated Note, the Trustee will (x) cancel the Certificated Note being transferred or exchanged, (y) deliver one or more new Certificated Notes in authorized denominations having an aggregate principal amount equal to the principal amount of such transfer or exchange to the transferee (in the case of a transfer) or the Holder of the canceled Certificated Note (in the case of an exchange), registered in the name of such transferee or Holder, as applicable, and (z) if such transfer or exchange involves less than the entire principal amount of the canceled Certificated Note, deliver to the Holder thereof one or more new Certificated Notes in authorized denominations having an aggregate principal amount equal to the untransferred or unexchanged portion of the canceled Certificated Note, registered in the name of the Holder thereof.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OF</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GLOBAL 2031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FACE OF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[Initial Notes Legend]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NOTE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REPRESENTS THAT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(X) IT AND ANY ACCOUNT FOR WHICH IT IS ACTING IS A “QUALIFIED INSTITUTIONAL BUYER” (WITHIN THE MEANING OF RULE 144A UNDER THE SECURITIES ACT) AND IT EXERCISES SOLE INVESTMENT DISCRETION WITH RESPECT TO EACH SUCH ACCOUNT,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 IT IS NOT A “U.S. PERSON” AND IS OUTSIDE THE UNITED STATES (WITHIN THE MEANING OF REGULATION S UNDER THE SECURITIES ACT)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IT IS IN CANADA, SUCH ACQUIRER IS AN ACCREDITED INVESTOR, AS DEFINED IN NATIONAL INSTRUMENT 45-106 PROSPECTUS EXEMPTIONS OR SUBSECTION 73.3(1) OF THE SECURITIES ACT (ONTARIO), IS A PERMITTED CLIENT AS DEFINED IN NATIONAL INSTRUMENT 31-103 REGISTRATION REQUIREMENTS, EXEMPTIONS AND ONGOING REGISTRANT OBLIGATIONS, IS NOT AN INDIVIDUAL, AND HAS COMPLETED, SIGNED AND SUBMITTED TO THE EXCHANGE AGENT A CANADIAN ELIGIBILITY CERTIFICATION IN THE FORM PROVIDED BY VYLOR INC. (“VYLOR”);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AGREES FOR THE BENEFIT OF VYLOR THAT IT WILL NOT OFFER, SELL, PLEDGE OR OTHERWISE TRANSFER THIS NOTE OR ANY BENEFICIAL INTEREST HEREIN, EXCEPT IN ACCORDANCE WITH THE SECURITIES ACT AND ANY APPLICABLE SECURITIES LAWS OF ANY STATE OF THE UNITED STATES AND ONLY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VYLOR,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PURSUANT TO A REGISTRATION STATEMENT WHICH HAS BECOME EFFECTIVE UNDER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A QUALIFIED INSTITUTIONAL BUYER IN COMPLIANCE WITH RULE 144A UNDER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IN AN OFFSHORE TRANSACTION IN COMPLIANCE WITH RULE 904 OF REGULATION S UNDER THE SECURITIES ACT,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PURSUANT TO AN EXEMPTION FROM REGISTRATION PROVIDED BY RULE 144 UNDER THE SECURITIES ACT OR ANY OTHER AVAILABLE EXEMPTION FROM THE REGISTRATION REQUIREMENTS OF THE SECURITIES ACT.</w:t>
      </w:r>
    </w:p>
    <w:p>
      <w:pPr>
        <w:pStyle w:val="TextBody"/>
        <w:bidi w:val="0"/>
        <w:spacing w:lineRule="auto" w:line="360" w:before="0" w:after="240"/>
        <w:jc w:val="left"/>
        <w:rPr>
          <w:rFonts w:ascii="Times New Roman" w:hAnsi="Times New Roman"/>
          <w:sz w:val="24"/>
        </w:rPr>
      </w:pPr>
      <w:r>
        <w:rPr>
          <w:rFonts w:ascii="Times New Roman" w:hAnsi="Times New Roman"/>
          <w:color w:val="000000"/>
          <w:sz w:val="24"/>
        </w:rPr>
        <w:t>PRIOR TO THE REGISTRATION OF ANY TRANSFER IN ACCORDANCE WITH (2)(C) ABOVE OR (2)(D) ABOVE, A DULY COMPLETED AND SIGNED CERTIFICATE (THE FORM OF WHICH MAY BE OBTAINED FROM THE TRUSTEE) MUST BE DELIVERED TO THE TRUSTEE. PRIOR TO THE REGISTRATION OF ANY TRANSFER IN ACCORDANCE WITH (2)(E) ABOVE, VYLOR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w:t>
      </w:r>
      <w:r>
        <w:rPr>
          <w:rFonts w:ascii="Times New Roman" w:hAnsi="Times New Roman"/>
          <w:color w:val="000000"/>
          <w:sz w:val="16"/>
        </w:rPr>
        <w:t>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[Regulation S Global Notes Legend]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ITS ACQUISITION HEREOF, THE HOLDER HEREOF REPRESENTS THAT IT IS NOT A U.S. PERSON NOR IS IT PURCHASING FOR THE ACCOUNT OF A U.S. PERSON AND IS ACQUIRING THIS NOTE IN AN OFFSHORE TRANSACTION IN ACCORDANCE WITH REGULATION S UNDER THE SECURITIES ACT. THIS NOTE (OR ITS PREDECESSOR) WAS ORIGINALLY ISSUED IN A TRANSACTION ORIGINALLY EXEMPT FROM REGISTRATION UNDER THE U.S. SECURITIES ACT OF 1933, AS AMENDED (THE “SECURITIES ACT”), AND MAY NOT BE TRANSFERRED IN THE UNITED STATES OR TO, OR FOR THE ACCOUNT OR BENEFIT OF, ANY U.S. PERSON EXCEPT PURSUANT TO AN AVAILABLE EXEMPTION FROM THE REGISTRATION REQUIREMENTS OF THE SECURITIES ACT AND ALL APPLICABLE STATE SECURITIES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TERMS USED ABOVE HAVE THE MEANINGS GIVEN TO THEM IN REGULATION S UNDER THE SECURITIES ACT.</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4"/>
        </w:rPr>
      </w:pPr>
      <w:r>
        <w:rPr>
          <w:rFonts w:ascii="Times New Roman" w:hAnsi="Times New Roman"/>
          <w:color w:val="000000"/>
          <w:sz w:val="16"/>
        </w:rPr>
        <w:t>1</w:t>
      </w:r>
      <w:r>
        <w:rPr>
          <w:rFonts w:ascii="Times New Roman" w:hAnsi="Times New Roman"/>
          <w:color w:val="000000"/>
          <w:sz w:val="24"/>
        </w:rPr>
        <w:t xml:space="preserve"> To be included only if the Note is a Restricted Note.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left"/>
        <w:rPr>
          <w:rFonts w:ascii="Times New Roman" w:hAnsi="Times New Roman"/>
          <w:sz w:val="24"/>
        </w:rPr>
      </w:pPr>
      <w:r>
        <w:rPr>
          <w:rFonts w:ascii="Times New Roman" w:hAnsi="Times New Roman"/>
          <w:color w:val="000000"/>
          <w:sz w:val="24"/>
        </w:rPr>
        <w:t>UNTIL 40 DAYS AFTER THE LATER OF COMMENCEMENT OR COMPLETION OF THE OFFERING, AN OFFER OR SALE OF SECURITIES WITHIN THE UNITED STATES BY A DEALER (AS DEFINED IN THE SECURITIES ACT) MAY VIOLATE THE REGISTRATION REQUIREMENTS OF THE SECURITIES ACT IF SUCH OFFER OR SALE IS MADE OTHERWISE THAN IN ACCORDANCE WITH RULE 144A THEREUNDER.]</w:t>
      </w:r>
      <w:r>
        <w:rPr>
          <w:rFonts w:ascii="Times New Roman" w:hAnsi="Times New Roman"/>
          <w:color w:val="000000"/>
          <w:sz w:val="16"/>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THIS CERTIFICATE IS PRESENTED BY AN AUTHORIZED REPRESENTATIVE OF THE DEPOSITORY TRUST COMPANY (THE “DEPOSITARY”)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 BENEFICIAL INTEREST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4"/>
        </w:rPr>
      </w:pPr>
      <w:r>
        <w:rPr>
          <w:rFonts w:ascii="Times New Roman" w:hAnsi="Times New Roman"/>
          <w:color w:val="000000"/>
          <w:sz w:val="16"/>
        </w:rPr>
        <w:t>2</w:t>
      </w:r>
      <w:r>
        <w:rPr>
          <w:rFonts w:ascii="Times New Roman" w:hAnsi="Times New Roman"/>
          <w:color w:val="000000"/>
          <w:sz w:val="24"/>
        </w:rPr>
        <w:t xml:space="preserve"> To be included only if the Note is a Regulation S Global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right"/>
        <w:rPr>
          <w:rFonts w:ascii="Times New Roman" w:hAnsi="Times New Roman"/>
          <w:color w:val="000000"/>
          <w:sz w:val="24"/>
        </w:rPr>
      </w:pPr>
      <w:r>
        <w:rPr>
          <w:rFonts w:ascii="Times New Roman" w:hAnsi="Times New Roman"/>
          <w:color w:val="000000"/>
          <w:sz w:val="24"/>
        </w:rPr>
        <w:t>CUSIP No. [●]</w:t>
        <w:br/>
        <w:t>ISIN No.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VYLOR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5.125% Senior Notes due 2031</w:t>
      </w:r>
    </w:p>
    <w:p>
      <w:pPr>
        <w:pStyle w:val="TextBody"/>
        <w:bidi w:val="0"/>
        <w:spacing w:before="0" w:after="180"/>
        <w:jc w:val="left"/>
        <w:rPr>
          <w:rFonts w:ascii="Times New Roman" w:hAnsi="Times New Roman"/>
          <w:color w:val="000000"/>
          <w:sz w:val="24"/>
        </w:rPr>
      </w:pPr>
      <w:r>
        <w:rPr>
          <w:rFonts w:ascii="Times New Roman" w:hAnsi="Times New Roman"/>
          <w:color w:val="000000"/>
          <w:sz w:val="24"/>
        </w:rPr>
        <w:t>No.</w:t>
      </w:r>
    </w:p>
    <w:tbl>
      <w:tblPr>
        <w:tblW w:w="286" w:type="dxa"/>
        <w:jc w:val="left"/>
        <w:tblInd w:w="0" w:type="dxa"/>
        <w:tblLayout w:type="fixed"/>
        <w:tblCellMar>
          <w:top w:w="28" w:type="dxa"/>
          <w:left w:w="28" w:type="dxa"/>
          <w:bottom w:w="28" w:type="dxa"/>
          <w:right w:w="28" w:type="dxa"/>
        </w:tblCellMar>
      </w:tblPr>
      <w:tblGrid>
        <w:gridCol w:w="286"/>
      </w:tblGrid>
      <w:tr>
        <w:trPr/>
        <w:tc>
          <w:tcPr>
            <w:tcW w:w="286" w:type="dxa"/>
            <w:tcBorders/>
            <w:vAlign w:val="center"/>
          </w:tcPr>
          <w:p>
            <w:pPr>
              <w:pStyle w:val="TableContents"/>
              <w:bidi w:val="0"/>
              <w:spacing w:before="0" w:after="283"/>
              <w:jc w:val="left"/>
              <w:rPr>
                <w:sz w:val="4"/>
                <w:szCs w:val="4"/>
              </w:rPr>
            </w:pPr>
            <w:r>
              <w:rPr>
                <w:sz w:val="4"/>
                <w:szCs w:val="4"/>
              </w:rPr>
            </w:r>
          </w:p>
        </w:tc>
      </w:tr>
      <w:tr>
        <w:trPr/>
        <w:tc>
          <w:tcPr>
            <w:tcW w:w="286" w:type="dxa"/>
            <w:tcBorders>
              <w:bottom w:val="single" w:sz="4" w:space="0" w:color="000000"/>
            </w:tcBorders>
            <w:tcMar>
              <w:top w:w="0" w:type="dxa"/>
              <w:left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w:t>
            </w:r>
          </w:p>
        </w:tc>
      </w:tr>
    </w:tbl>
    <w:p>
      <w:pPr>
        <w:pStyle w:val="TextBody"/>
        <w:bidi w:val="0"/>
        <w:jc w:val="right"/>
        <w:rPr/>
      </w:pPr>
      <w:r>
        <w:rPr/>
        <w:t> </w:t>
      </w:r>
    </w:p>
    <w:p>
      <w:pPr>
        <w:pStyle w:val="TextBody"/>
        <w:bidi w:val="0"/>
        <w:spacing w:before="0" w:after="180"/>
        <w:jc w:val="right"/>
        <w:rPr>
          <w:rFonts w:ascii="Times New Roman" w:hAnsi="Times New Roman"/>
          <w:color w:val="000000"/>
          <w:sz w:val="24"/>
        </w:rPr>
      </w:pPr>
      <w:r>
        <w:rPr>
          <w:rFonts w:ascii="Times New Roman" w:hAnsi="Times New Roman"/>
          <w:color w:val="000000"/>
          <w:sz w:val="24"/>
        </w:rPr>
        <w:t>As revised by the</w:t>
        <w:br/>
        <w:t>Schedule of Increases or Decreases</w:t>
        <w:br/>
        <w:t>in Global Security attached hereto</w:t>
      </w:r>
    </w:p>
    <w:p>
      <w:pPr>
        <w:pStyle w:val="TextBody"/>
        <w:bidi w:val="0"/>
        <w:spacing w:before="0" w:after="180"/>
        <w:jc w:val="left"/>
        <w:rPr>
          <w:rFonts w:ascii="Times New Roman" w:hAnsi="Times New Roman"/>
          <w:color w:val="000000"/>
          <w:sz w:val="24"/>
        </w:rPr>
      </w:pPr>
      <w:r>
        <w:rPr>
          <w:rFonts w:ascii="Times New Roman" w:hAnsi="Times New Roman"/>
          <w:color w:val="000000"/>
          <w:sz w:val="24"/>
        </w:rPr>
        <w:t>Capitalized terms used herein have the meanings assigned to them in the Indenture referred to on the reverse hereof unless otherwise indicated.</w:t>
      </w:r>
    </w:p>
    <w:p>
      <w:pPr>
        <w:pStyle w:val="TextBody"/>
        <w:bidi w:val="0"/>
        <w:spacing w:before="0" w:after="180"/>
        <w:jc w:val="left"/>
        <w:rPr>
          <w:rFonts w:ascii="Times New Roman" w:hAnsi="Times New Roman"/>
          <w:sz w:val="24"/>
        </w:rPr>
      </w:pPr>
      <w:r>
        <w:rPr>
          <w:rFonts w:ascii="Times New Roman" w:hAnsi="Times New Roman"/>
          <w:i/>
          <w:color w:val="000000"/>
          <w:sz w:val="24"/>
        </w:rPr>
        <w:t>Interest</w:t>
      </w:r>
      <w:r>
        <w:rPr>
          <w:rFonts w:ascii="Times New Roman" w:hAnsi="Times New Roman"/>
          <w:color w:val="000000"/>
          <w:sz w:val="24"/>
        </w:rPr>
        <w:t>. Vylor Inc., a Delaware corporation (herein called the “</w:t>
      </w:r>
      <w:r>
        <w:rPr>
          <w:rFonts w:ascii="Times New Roman" w:hAnsi="Times New Roman"/>
          <w:i/>
          <w:color w:val="000000"/>
          <w:sz w:val="24"/>
        </w:rPr>
        <w:t>Company</w:t>
      </w:r>
      <w:r>
        <w:rPr>
          <w:rFonts w:ascii="Times New Roman" w:hAnsi="Times New Roman"/>
          <w:color w:val="000000"/>
          <w:sz w:val="24"/>
        </w:rPr>
        <w:t>”, which term includes any successor Person under the Indenture hereinafter referred to), for value received, hereby promises to pay to CEDE &amp; CO., or registered assigns, the principal sum of Dollars, as revised by the Schedule of Increases or Decreases in Global Security attached hereto, on August 15, 2031, and to pay interest thereon from August 31, 2026 or from the most recent Interest Payment Date to which interest has been paid or duly provided for, semi-annually in arrears on February 15 and August 15 of each year, commencing on February 15, 2027 at the rate of 5.125% per annum, until the principal hereof is paid or made available for payment.</w:t>
      </w:r>
    </w:p>
    <w:p>
      <w:pPr>
        <w:pStyle w:val="TextBody"/>
        <w:bidi w:val="0"/>
        <w:spacing w:before="0" w:after="180"/>
        <w:jc w:val="left"/>
        <w:rPr>
          <w:rFonts w:ascii="Times New Roman" w:hAnsi="Times New Roman"/>
          <w:sz w:val="24"/>
        </w:rPr>
      </w:pPr>
      <w:r>
        <w:rPr>
          <w:rFonts w:ascii="Times New Roman" w:hAnsi="Times New Roman"/>
          <w:i/>
          <w:color w:val="000000"/>
          <w:sz w:val="24"/>
        </w:rPr>
        <w:t>Method of Payment</w:t>
      </w:r>
      <w:r>
        <w:rPr>
          <w:rFonts w:ascii="Times New Roman" w:hAnsi="Times New Roman"/>
          <w:color w:val="000000"/>
          <w:sz w:val="24"/>
        </w:rPr>
        <w: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February 1 and August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pStyle w:val="TextBody"/>
        <w:bidi w:val="0"/>
        <w:spacing w:before="0" w:after="180"/>
        <w:jc w:val="left"/>
        <w:rPr>
          <w:rFonts w:ascii="Times New Roman" w:hAnsi="Times New Roman"/>
          <w:color w:val="000000"/>
          <w:sz w:val="24"/>
        </w:rPr>
      </w:pPr>
      <w:r>
        <w:rPr>
          <w:rFonts w:ascii="Times New Roman" w:hAnsi="Times New Roman"/>
          <w:color w:val="000000"/>
          <w:sz w:val="24"/>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180"/>
        <w:jc w:val="left"/>
        <w:rPr>
          <w:rFonts w:ascii="Times New Roman" w:hAnsi="Times New Roman"/>
          <w:sz w:val="24"/>
        </w:rPr>
      </w:pPr>
      <w:r>
        <w:rPr>
          <w:rFonts w:ascii="Times New Roman" w:hAnsi="Times New Roman"/>
          <w:i/>
          <w:color w:val="000000"/>
          <w:sz w:val="24"/>
        </w:rPr>
        <w:t>Authentication</w:t>
      </w:r>
      <w:r>
        <w:rPr>
          <w:rFonts w:ascii="Times New Roman" w:hAnsi="Times New Roman"/>
          <w:color w:val="000000"/>
          <w:sz w:val="24"/>
        </w:rPr>
        <w:t>. Unless the certificate of authentication hereon has been executed by the Trustee referred to on the reverse hereof by electronic or manual signature, this Security shall not be entitled to any benefit under the Indenture or be valid or obligatory for any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Company has caused this instrument to be duly executed.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Dated:</w:t>
      </w:r>
    </w:p>
    <w:tbl>
      <w:tblPr>
        <w:tblW w:w="2247" w:type="dxa"/>
        <w:jc w:val="left"/>
        <w:tblInd w:w="0" w:type="dxa"/>
        <w:tblLayout w:type="fixed"/>
        <w:tblCellMar>
          <w:top w:w="28" w:type="dxa"/>
          <w:left w:w="28" w:type="dxa"/>
          <w:bottom w:w="28" w:type="dxa"/>
          <w:right w:w="28" w:type="dxa"/>
        </w:tblCellMar>
      </w:tblPr>
      <w:tblGrid>
        <w:gridCol w:w="881"/>
        <w:gridCol w:w="1366"/>
      </w:tblGrid>
      <w:tr>
        <w:trPr/>
        <w:tc>
          <w:tcPr>
            <w:tcW w:w="88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247"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4"/>
              </w:rPr>
            </w:pPr>
            <w:r>
              <w:rPr>
                <w:rFonts w:ascii="Times New Roman" w:hAnsi="Times New Roman"/>
                <w:caps/>
                <w:color w:val="000000"/>
                <w:sz w:val="24"/>
              </w:rPr>
              <w:t>vylor inc.</w:t>
            </w:r>
          </w:p>
        </w:tc>
      </w:tr>
      <w:tr>
        <w:trPr/>
        <w:tc>
          <w:tcPr>
            <w:tcW w:w="224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Name:</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TRUSTEE’S CERTIFICATE OF AUTHENTICATION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is one of the Securities of the series designated therein referred to in the within-mentioned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of authentication:</w:t>
      </w:r>
    </w:p>
    <w:tbl>
      <w:tblPr>
        <w:tblW w:w="8025" w:type="dxa"/>
        <w:jc w:val="left"/>
        <w:tblInd w:w="0" w:type="dxa"/>
        <w:tblLayout w:type="fixed"/>
        <w:tblCellMar>
          <w:top w:w="28" w:type="dxa"/>
          <w:left w:w="28" w:type="dxa"/>
          <w:bottom w:w="28" w:type="dxa"/>
          <w:right w:w="28" w:type="dxa"/>
        </w:tblCellMar>
      </w:tblPr>
      <w:tblGrid>
        <w:gridCol w:w="2060"/>
        <w:gridCol w:w="5965"/>
      </w:tblGrid>
      <w:tr>
        <w:trPr/>
        <w:tc>
          <w:tcPr>
            <w:tcW w:w="2060" w:type="dxa"/>
            <w:tcBorders/>
            <w:vAlign w:val="center"/>
          </w:tcPr>
          <w:p>
            <w:pPr>
              <w:pStyle w:val="TableContents"/>
              <w:bidi w:val="0"/>
              <w:spacing w:before="0" w:after="283"/>
              <w:jc w:val="left"/>
              <w:rPr>
                <w:sz w:val="4"/>
                <w:szCs w:val="4"/>
              </w:rPr>
            </w:pPr>
            <w:r>
              <w:rPr>
                <w:sz w:val="4"/>
                <w:szCs w:val="4"/>
              </w:rPr>
            </w:r>
          </w:p>
        </w:tc>
        <w:tc>
          <w:tcPr>
            <w:tcW w:w="5965" w:type="dxa"/>
            <w:tcBorders/>
            <w:vAlign w:val="center"/>
          </w:tcPr>
          <w:p>
            <w:pPr>
              <w:pStyle w:val="TableContents"/>
              <w:bidi w:val="0"/>
              <w:spacing w:before="0" w:after="283"/>
              <w:jc w:val="left"/>
              <w:rPr>
                <w:sz w:val="4"/>
                <w:szCs w:val="4"/>
              </w:rPr>
            </w:pPr>
            <w:r>
              <w:rPr>
                <w:sz w:val="4"/>
                <w:szCs w:val="4"/>
              </w:rPr>
            </w:r>
          </w:p>
        </w:tc>
      </w:tr>
      <w:tr>
        <w:trPr/>
        <w:tc>
          <w:tcPr>
            <w:tcW w:w="802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U.S. BANK TRUST COMPANY, NATIONAL ASSOCIATION, as Trustee</w:t>
            </w:r>
          </w:p>
        </w:tc>
      </w:tr>
      <w:tr>
        <w:trPr/>
        <w:tc>
          <w:tcPr>
            <w:tcW w:w="802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206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965"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left"/>
              <w:rPr/>
            </w:pPr>
            <w:r>
              <w:rPr/>
              <w:t> </w:t>
            </w:r>
          </w:p>
        </w:tc>
      </w:tr>
      <w:tr>
        <w:trPr/>
        <w:tc>
          <w:tcPr>
            <w:tcW w:w="206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965"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Authorized Signatory</w:t>
            </w:r>
          </w:p>
        </w:tc>
      </w:tr>
      <w:tr>
        <w:trPr/>
        <w:tc>
          <w:tcPr>
            <w:tcW w:w="2060"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5965"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REVERSE OF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Capitalized terms used herein have the meanings assigned to them in the Indenture referred to below unless otherwise indicated.</w:t>
      </w:r>
    </w:p>
    <w:p>
      <w:pPr>
        <w:pStyle w:val="TextBody"/>
        <w:bidi w:val="0"/>
        <w:spacing w:before="0" w:after="240"/>
        <w:jc w:val="left"/>
        <w:rPr>
          <w:rFonts w:ascii="Times New Roman" w:hAnsi="Times New Roman"/>
          <w:sz w:val="24"/>
        </w:rPr>
      </w:pPr>
      <w:r>
        <w:rPr>
          <w:rFonts w:ascii="Times New Roman" w:hAnsi="Times New Roman"/>
          <w:i/>
          <w:color w:val="000000"/>
          <w:sz w:val="24"/>
        </w:rPr>
        <w:t>Indenture</w:t>
      </w:r>
      <w:r>
        <w:rPr>
          <w:rFonts w:ascii="Times New Roman" w:hAnsi="Times New Roman"/>
          <w:color w:val="000000"/>
          <w:sz w:val="24"/>
        </w:rPr>
        <w:t>. This Security is one of a duly authorized issue of securities of the Company (herein called the “</w:t>
      </w:r>
      <w:r>
        <w:rPr>
          <w:rFonts w:ascii="Times New Roman" w:hAnsi="Times New Roman"/>
          <w:i/>
          <w:color w:val="000000"/>
          <w:sz w:val="24"/>
        </w:rPr>
        <w:t>Securities</w:t>
      </w:r>
      <w:r>
        <w:rPr>
          <w:rFonts w:ascii="Times New Roman" w:hAnsi="Times New Roman"/>
          <w:color w:val="000000"/>
          <w:sz w:val="24"/>
        </w:rPr>
        <w:t>”), issued and to be issued in one or more series under the Indenture, dated as of August 31, 2026 (the “</w:t>
      </w:r>
      <w:r>
        <w:rPr>
          <w:rFonts w:ascii="Times New Roman" w:hAnsi="Times New Roman"/>
          <w:i/>
          <w:color w:val="000000"/>
          <w:sz w:val="24"/>
        </w:rPr>
        <w:t>Base Indenture</w:t>
      </w:r>
      <w:r>
        <w:rPr>
          <w:rFonts w:ascii="Times New Roman" w:hAnsi="Times New Roman"/>
          <w:color w:val="000000"/>
          <w:sz w:val="24"/>
        </w:rPr>
        <w:t>”), as supplemented by the First Supplemental Indenture, dated as of August 31, 2026 (herein called the “</w:t>
      </w:r>
      <w:r>
        <w:rPr>
          <w:rFonts w:ascii="Times New Roman" w:hAnsi="Times New Roman"/>
          <w:i/>
          <w:color w:val="000000"/>
          <w:sz w:val="24"/>
        </w:rPr>
        <w:t>Supplemental Indenture</w:t>
      </w:r>
      <w:r>
        <w:rPr>
          <w:rFonts w:ascii="Times New Roman" w:hAnsi="Times New Roman"/>
          <w:color w:val="000000"/>
          <w:sz w:val="24"/>
        </w:rPr>
        <w:t>” and, together with the Base Indenture, the “</w:t>
      </w:r>
      <w:r>
        <w:rPr>
          <w:rFonts w:ascii="Times New Roman" w:hAnsi="Times New Roman"/>
          <w:i/>
          <w:color w:val="000000"/>
          <w:sz w:val="24"/>
        </w:rPr>
        <w:t>Indenture</w:t>
      </w:r>
      <w:r>
        <w:rPr>
          <w:rFonts w:ascii="Times New Roman" w:hAnsi="Times New Roman"/>
          <w:color w:val="000000"/>
          <w:sz w:val="24"/>
        </w:rPr>
        <w:t>”), between the Company and U.S. Bank Trust Company, National Association, as Trustee (herein called the “</w:t>
      </w:r>
      <w:r>
        <w:rPr>
          <w:rFonts w:ascii="Times New Roman" w:hAnsi="Times New Roman"/>
          <w:i/>
          <w:color w:val="000000"/>
          <w:sz w:val="24"/>
        </w:rPr>
        <w:t>Trustee</w:t>
      </w:r>
      <w:r>
        <w:rPr>
          <w:rFonts w:ascii="Times New Roman" w:hAnsi="Times New Roman"/>
          <w:color w:val="000000"/>
          <w:sz w:val="24"/>
        </w:rPr>
        <w:t>”,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of this series are, and are to be, authenticated and delivered. This Security is one of the series designated on the face hereof, issued initially in aggregate principal amount to $________.</w:t>
      </w:r>
    </w:p>
    <w:p>
      <w:pPr>
        <w:pStyle w:val="TextBody"/>
        <w:bidi w:val="0"/>
        <w:spacing w:before="0" w:after="240"/>
        <w:jc w:val="left"/>
        <w:rPr>
          <w:rFonts w:ascii="Times New Roman" w:hAnsi="Times New Roman"/>
          <w:sz w:val="24"/>
        </w:rPr>
      </w:pPr>
      <w:r>
        <w:rPr>
          <w:rFonts w:ascii="Times New Roman" w:hAnsi="Times New Roman"/>
          <w:i/>
          <w:color w:val="000000"/>
          <w:sz w:val="24"/>
        </w:rPr>
        <w:t>Optional Redemption</w:t>
      </w:r>
      <w:r>
        <w:rPr>
          <w:rFonts w:ascii="Times New Roman" w:hAnsi="Times New Roman"/>
          <w:color w:val="000000"/>
          <w:sz w:val="24"/>
        </w:rPr>
        <w:t>. Prior to July 15, 2031 (the “</w:t>
      </w:r>
      <w:r>
        <w:rPr>
          <w:rFonts w:ascii="Times New Roman" w:hAnsi="Times New Roman"/>
          <w:i/>
          <w:color w:val="000000"/>
          <w:sz w:val="24"/>
        </w:rPr>
        <w:t>Par Call Date</w:t>
      </w:r>
      <w:r>
        <w:rPr>
          <w:rFonts w:ascii="Times New Roman" w:hAnsi="Times New Roman"/>
          <w:color w:val="000000"/>
          <w:sz w:val="24"/>
        </w:rPr>
        <w:t xml:space="preserve">”), the Company may redeem the Securities of this series at its option, in whole or in part, at any time and from time to time, at a redemption price (expressed as a percentage of the principal amount and rounded to three decimal places) equal to the greater of: </w:t>
      </w:r>
    </w:p>
    <w:p>
      <w:pPr>
        <w:pStyle w:val="TextBody"/>
        <w:bidi w:val="0"/>
        <w:spacing w:before="0" w:after="240"/>
        <w:jc w:val="both"/>
        <w:rPr>
          <w:rFonts w:ascii="Times New Roman" w:hAnsi="Times New Roman"/>
          <w:sz w:val="22"/>
        </w:rPr>
      </w:pPr>
      <w:r>
        <w:rPr>
          <w:rFonts w:ascii="Times New Roman" w:hAnsi="Times New Roman"/>
          <w:color w:val="000000"/>
          <w:sz w:val="24"/>
        </w:rPr>
        <w:t>(1) (a) the sum of the present values of the remaining scheduled payments of principal and interest thereon discounted to the Redemption Date (assuming the Securities of this series matured on the Par Call Date), on a semi-annual basis (assuming a 360-day year consisting of twelve 30-day months) at the Treasury Rate plus 15 basis points</w:t>
      </w:r>
      <w:r>
        <w:rPr>
          <w:rFonts w:ascii="Times New Roman" w:hAnsi="Times New Roman"/>
          <w:color w:val="000000"/>
          <w:sz w:val="22"/>
        </w:rPr>
        <w:t xml:space="preserve"> </w:t>
      </w:r>
      <w:r>
        <w:rPr>
          <w:rFonts w:ascii="Times New Roman" w:hAnsi="Times New Roman"/>
          <w:color w:val="000000"/>
          <w:sz w:val="24"/>
        </w:rPr>
        <w:t>less (b) interest accrued to the Redemption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100% of the principal amount of the Securities to be redeemed;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plus, in either case, accrued and unpaid interest thereon to, but excluding, the Redemption Date.</w:t>
      </w:r>
    </w:p>
    <w:p>
      <w:pPr>
        <w:pStyle w:val="TextBody"/>
        <w:bidi w:val="0"/>
        <w:spacing w:before="0" w:after="240"/>
        <w:jc w:val="both"/>
        <w:rPr>
          <w:rFonts w:ascii="Times New Roman" w:hAnsi="Times New Roman"/>
          <w:sz w:val="22"/>
        </w:rPr>
      </w:pPr>
      <w:r>
        <w:rPr>
          <w:rFonts w:ascii="Times New Roman" w:hAnsi="Times New Roman"/>
          <w:color w:val="000000"/>
          <w:sz w:val="24"/>
        </w:rPr>
        <w:t>On or after the Par Call Date, the Company may redeem the Securities of this series, in whole or in part, at any time and from time to time, at a redemption price equal to 100% of the principal amount of the Securities to be redeemed</w:t>
      </w:r>
      <w:r>
        <w:rPr>
          <w:rFonts w:ascii="Times New Roman" w:hAnsi="Times New Roman"/>
          <w:color w:val="000000"/>
          <w:sz w:val="22"/>
        </w:rPr>
        <w:t xml:space="preserve"> </w:t>
      </w:r>
      <w:r>
        <w:rPr>
          <w:rFonts w:ascii="Times New Roman" w:hAnsi="Times New Roman"/>
          <w:color w:val="000000"/>
          <w:sz w:val="24"/>
        </w:rPr>
        <w:t>plus accrued and unpaid interest thereon to, but excluding, the Redemption Date.</w:t>
      </w:r>
    </w:p>
    <w:p>
      <w:pPr>
        <w:pStyle w:val="TextBody"/>
        <w:bidi w:val="0"/>
        <w:jc w:val="left"/>
        <w:rPr>
          <w:rFonts w:ascii="Times New Roman" w:hAnsi="Times New Roman"/>
          <w:color w:val="000000"/>
          <w:sz w:val="24"/>
        </w:rPr>
      </w:pPr>
      <w:r>
        <w:rPr>
          <w:rFonts w:ascii="Times New Roman" w:hAnsi="Times New Roman"/>
          <w:color w:val="000000"/>
          <w:sz w:val="24"/>
        </w:rPr>
        <w:t>This Security is also subject to a Special Mandatory Redemption as provided in Article IV of the First Supplemental Indenture.</w:t>
        <w:br/>
        <w:t> </w:t>
      </w:r>
    </w:p>
    <w:p>
      <w:pPr>
        <w:pStyle w:val="TextBody"/>
        <w:bidi w:val="0"/>
        <w:spacing w:before="0" w:after="240"/>
        <w:jc w:val="left"/>
        <w:rPr/>
      </w:pPr>
      <w:r>
        <w:rPr>
          <w:color w:val="000000"/>
        </w:rPr>
        <w:t>“</w:t>
      </w:r>
      <w:r>
        <w:rPr>
          <w:rFonts w:ascii="Times New Roman" w:hAnsi="Times New Roman"/>
          <w:i/>
          <w:color w:val="000000"/>
          <w:sz w:val="24"/>
        </w:rPr>
        <w:t>Treasury Rate</w:t>
      </w:r>
      <w:r>
        <w:rPr>
          <w:rFonts w:ascii="Times New Roman" w:hAnsi="Times New Roman"/>
          <w:color w:val="000000"/>
          <w:sz w:val="24"/>
        </w:rPr>
        <w:t xml:space="preserve">” means, with respect to any Redemption Date for the Securities of this series, the yield determined by the Company in accordance with the following two paragraphs.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Treasury Rate applicable to redemption of the Securities of this series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on the third Business Day preceding the Redemption Date H.15 TCM is no longer published, the Company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redemption and notice of such redemption may, at the Company’s option,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as any or all such conditions shall be satisfied (or waived by the Company), or such redemption may not occur and such notice may be rescinded in the event that any or all such conditions shall not have been satisfied (or waived by the Company)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the Company defaults in payment of the redemption price, on and after the Redemption Date, interest will cease to accrue on the Securities of this series or portions thereof called for redemption.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set forth herein, the Securities of this series will not be redeemable by the Company prior to their Stated Maturity and will not be entitled to the benefit of any sinking fund.</w:t>
      </w:r>
    </w:p>
    <w:p>
      <w:pPr>
        <w:pStyle w:val="TextBody"/>
        <w:bidi w:val="0"/>
        <w:spacing w:before="0" w:after="240"/>
        <w:jc w:val="left"/>
        <w:rPr>
          <w:rFonts w:ascii="Times New Roman" w:hAnsi="Times New Roman"/>
          <w:sz w:val="24"/>
        </w:rPr>
      </w:pPr>
      <w:r>
        <w:rPr>
          <w:rFonts w:ascii="Times New Roman" w:hAnsi="Times New Roman"/>
          <w:i/>
          <w:color w:val="000000"/>
          <w:sz w:val="24"/>
        </w:rPr>
        <w:t>Defaults and Remedies</w:t>
      </w:r>
      <w:r>
        <w:rPr>
          <w:rFonts w:ascii="Times New Roman" w:hAnsi="Times New Roman"/>
          <w:color w:val="000000"/>
          <w:sz w:val="24"/>
        </w:rPr>
        <w:t>. 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240"/>
        <w:jc w:val="left"/>
        <w:rPr>
          <w:rFonts w:ascii="Times New Roman" w:hAnsi="Times New Roman"/>
          <w:sz w:val="24"/>
        </w:rPr>
      </w:pPr>
      <w:r>
        <w:rPr>
          <w:rFonts w:ascii="Times New Roman" w:hAnsi="Times New Roman"/>
          <w:i/>
          <w:color w:val="000000"/>
          <w:sz w:val="24"/>
        </w:rPr>
        <w:t>Change of Control.</w:t>
      </w:r>
      <w:r>
        <w:rPr>
          <w:rFonts w:ascii="Times New Roman" w:hAnsi="Times New Roman"/>
          <w:color w:val="000000"/>
          <w:sz w:val="24"/>
        </w:rPr>
        <w:t xml:space="preserve"> If a Change of Control Triggering Event occurs with respect to the Securities of this series, unless the Company has exercised its option to redeem the Securities of this series in accordance with the provisions set forth in this Security under the heading “Optional Redemption”, Holders of the Securities will have the right to require the Company to repurchase all or any part (equal to $2,000 and any integral multiple of $1,000 in excess thereof) of their Securities as described in Article IV of the Supplemental Indenture.</w:t>
      </w:r>
    </w:p>
    <w:p>
      <w:pPr>
        <w:pStyle w:val="TextBody"/>
        <w:bidi w:val="0"/>
        <w:spacing w:before="0" w:after="240"/>
        <w:jc w:val="left"/>
        <w:rPr>
          <w:rFonts w:ascii="Times New Roman" w:hAnsi="Times New Roman"/>
          <w:sz w:val="24"/>
        </w:rPr>
      </w:pPr>
      <w:r>
        <w:rPr>
          <w:rFonts w:ascii="Times New Roman" w:hAnsi="Times New Roman"/>
          <w:i/>
          <w:color w:val="000000"/>
          <w:sz w:val="24"/>
        </w:rPr>
        <w:t>Amendment, Modification and Waiver</w:t>
      </w:r>
      <w:r>
        <w:rPr>
          <w:rFonts w:ascii="Times New Roman" w:hAnsi="Times New Roman"/>
          <w:color w:val="000000"/>
          <w:sz w:val="24"/>
        </w:rPr>
        <w:t>. The Indenture permits, with certain exceptions as therein provided, the amendment and 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Outstanding Securities (as defined in the Base Indenture) affected by such amendment, supplement or modification voting as a single class.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i/>
          <w:color w:val="000000"/>
          <w:sz w:val="24"/>
        </w:rPr>
        <w:t>Restrictive Covenants</w:t>
      </w:r>
      <w:r>
        <w:rPr>
          <w:rFonts w:ascii="Times New Roman" w:hAnsi="Times New Roman"/>
          <w:color w:val="000000"/>
          <w:sz w:val="24"/>
        </w:rPr>
        <w:t>. The restrictive covenants for this Security are as specified in the Indenture. The Indenture does not limit unsecured debt of the Company or any of its Subsidiaries.</w:t>
      </w:r>
    </w:p>
    <w:p>
      <w:pPr>
        <w:pStyle w:val="TextBody"/>
        <w:bidi w:val="0"/>
        <w:spacing w:before="0" w:after="240"/>
        <w:jc w:val="left"/>
        <w:rPr>
          <w:rFonts w:ascii="Times New Roman" w:hAnsi="Times New Roman"/>
          <w:sz w:val="24"/>
        </w:rPr>
      </w:pPr>
      <w:r>
        <w:rPr>
          <w:rFonts w:ascii="Times New Roman" w:hAnsi="Times New Roman"/>
          <w:i/>
          <w:color w:val="000000"/>
          <w:sz w:val="24"/>
        </w:rPr>
        <w:t>Denominations, Transfer and Exchange</w:t>
      </w:r>
      <w:r>
        <w:rPr>
          <w:rFonts w:ascii="Times New Roman" w:hAnsi="Times New Roman"/>
          <w:color w:val="000000"/>
          <w:sz w:val="24"/>
        </w:rPr>
        <w:t>. The Securities of this series are issuable only in registered form without coupons in denominations of $2,000 or any integral multiple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240"/>
        <w:jc w:val="left"/>
        <w:rPr>
          <w:rFonts w:ascii="Times New Roman" w:hAnsi="Times New Roman"/>
          <w:sz w:val="24"/>
        </w:rPr>
      </w:pPr>
      <w:r>
        <w:rPr>
          <w:rFonts w:ascii="Times New Roman" w:hAnsi="Times New Roman"/>
          <w:i/>
          <w:color w:val="000000"/>
          <w:sz w:val="24"/>
        </w:rPr>
        <w:t>Persons Deemed Owners</w:t>
      </w:r>
      <w:r>
        <w:rPr>
          <w:rFonts w:ascii="Times New Roman" w:hAnsi="Times New Roman"/>
          <w:color w:val="000000"/>
          <w:sz w:val="24"/>
        </w:rPr>
        <w:t>.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240"/>
        <w:jc w:val="left"/>
        <w:rPr>
          <w:rFonts w:ascii="Times New Roman" w:hAnsi="Times New Roman"/>
          <w:sz w:val="24"/>
        </w:rPr>
      </w:pPr>
      <w:r>
        <w:rPr>
          <w:rFonts w:ascii="Times New Roman" w:hAnsi="Times New Roman"/>
          <w:i/>
          <w:color w:val="000000"/>
          <w:sz w:val="24"/>
        </w:rPr>
        <w:t>Miscellaneous</w:t>
      </w:r>
      <w:r>
        <w:rPr>
          <w:rFonts w:ascii="Times New Roman" w:hAnsi="Times New Roman"/>
          <w:color w:val="000000"/>
          <w:sz w:val="24"/>
        </w:rPr>
        <w:t>. The Indenture and this Security shall be governed by and construed in accordance with the laws of the State of New York, without regard to the conflicts of law rules of said State.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OF INCREASES OR DECREASES IN GLOBAL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increases or decreases in this Global Security have been made:</w:t>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2260"/>
        <w:gridCol w:w="2269"/>
        <w:gridCol w:w="2606"/>
        <w:gridCol w:w="1917"/>
      </w:tblGrid>
      <w:tr>
        <w:trPr/>
        <w:tc>
          <w:tcPr>
            <w:tcW w:w="115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1153"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Date of Exchange</w:t>
            </w:r>
          </w:p>
        </w:tc>
        <w:tc>
          <w:tcPr>
            <w:tcW w:w="2260"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Amount of increase in Principal Amount of this Global Security</w:t>
            </w:r>
          </w:p>
        </w:tc>
        <w:tc>
          <w:tcPr>
            <w:tcW w:w="2269"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Amount of decrease in Principal Amount of this Global Security</w:t>
            </w:r>
          </w:p>
        </w:tc>
        <w:tc>
          <w:tcPr>
            <w:tcW w:w="260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Principal Amount of this Global Security following each decrease or increase</w:t>
            </w:r>
          </w:p>
        </w:tc>
        <w:tc>
          <w:tcPr>
            <w:tcW w:w="191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Signature of authorized signatory of Trustee</w:t>
            </w:r>
          </w:p>
        </w:tc>
      </w:tr>
      <w:tr>
        <w:trPr/>
        <w:tc>
          <w:tcPr>
            <w:tcW w:w="11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[FORM OF TRANSFER NOTICE]</w:t>
      </w:r>
    </w:p>
    <w:p>
      <w:pPr>
        <w:pStyle w:val="TextBody"/>
        <w:bidi w:val="0"/>
        <w:jc w:val="left"/>
        <w:rPr>
          <w:rFonts w:ascii="Times New Roman" w:hAnsi="Times New Roman"/>
          <w:color w:val="000000"/>
          <w:sz w:val="24"/>
        </w:rPr>
      </w:pPr>
      <w:r>
        <w:rPr>
          <w:rFonts w:ascii="Times New Roman" w:hAnsi="Times New Roman"/>
          <w:color w:val="000000"/>
          <w:sz w:val="24"/>
        </w:rPr>
        <w:t>FOR VALUE RECEIVED, the undersigned hereby sell(s), assign(s) and transfer(s) unto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7"/>
        <w:gridCol w:w="2516"/>
        <w:gridCol w:w="2516"/>
        <w:gridCol w:w="2376"/>
      </w:tblGrid>
      <w:tr>
        <w:trPr/>
        <w:tc>
          <w:tcPr>
            <w:tcW w:w="2797"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5313"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t>
            </w:r>
            <w:r>
              <w:rPr>
                <w:rFonts w:ascii="Times New Roman" w:hAnsi="Times New Roman"/>
                <w:color w:val="000000"/>
                <w:sz w:val="24"/>
              </w:rPr>
              <w:t>PLEASE INSERT SOCIAL SECURITY OR OTHER IDENTIFYING NUMBER OF ASSIGNEE</w:t>
            </w:r>
            <w:r>
              <w:rPr>
                <w:rFonts w:ascii="Times New Roman" w:hAnsi="Times New Roman"/>
                <w:b/>
                <w:color w:val="000000"/>
                <w:sz w:val="24"/>
              </w:rPr>
              <w:t>]</w:t>
            </w:r>
          </w:p>
        </w:tc>
      </w:tr>
      <w:tr>
        <w:trPr/>
        <w:tc>
          <w:tcPr>
            <w:tcW w:w="27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97"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97"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82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t>
            </w:r>
            <w:r>
              <w:rPr>
                <w:rFonts w:ascii="Times New Roman" w:hAnsi="Times New Roman"/>
                <w:color w:val="000000"/>
                <w:sz w:val="24"/>
              </w:rPr>
              <w:t>PLEASE PRINT OR TYPE NAME AND ADDRESS, INCLUDING ZIP CODE, OF ASSIGNEE</w:t>
            </w:r>
            <w:r>
              <w:rPr>
                <w:rFonts w:ascii="Times New Roman" w:hAnsi="Times New Roman"/>
                <w:b/>
                <w:color w:val="000000"/>
                <w:sz w:val="24"/>
              </w:rPr>
              <w:t>]</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within Note and all rights thereunder, hereby irrevocably constituting and appointing </w:t>
        <w:br/>
        <w:t>attorney to transfer such Note on the books of the Company, with full power of substitution in the premises.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Dated: 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NOTICE: The signature to this assignment must correspond with the name as written upon the face of the within Note in every particular without alteration or enlargement or any change whatsoever.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PROVISION TO BE INCLUDED ON ALL CERTIFICATES BEARING A RESTRICTED LEGEND]</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connection with any transfer of this Note occurring prior to </w:t>
        <w:br/>
        <w:t>, the undersigned confirms that such transfer is made without utilizing any general solicitation or general advertising and further as follows:</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Check One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40"/>
              <w:jc w:val="left"/>
              <w:rPr/>
            </w:pPr>
            <w:r>
              <w:rPr>
                <w:color w:val="000000"/>
              </w:rPr>
              <w:t xml:space="preserve">☐ </w:t>
            </w:r>
            <w:r>
              <w:rPr>
                <w:rFonts w:ascii="Times New Roman" w:hAnsi="Times New Roman"/>
                <w:color w:val="000000"/>
                <w:sz w:val="24"/>
              </w:rPr>
              <w:t>(1) This Note is being transferred to a “qualified institutional buyer” in compliance with Rule 144A under the Securities Act of 1933, as amended and certification in the form of Exhibit E to the Indenture is being furnished herewith.</w:t>
            </w:r>
          </w:p>
        </w:tc>
      </w:tr>
      <w:tr>
        <w:trPr/>
        <w:tc>
          <w:tcPr>
            <w:tcW w:w="10205" w:type="dxa"/>
            <w:tcBorders/>
            <w:tcMar>
              <w:top w:w="0" w:type="dxa"/>
              <w:left w:w="0" w:type="dxa"/>
              <w:bottom w:w="0" w:type="dxa"/>
              <w:right w:w="0" w:type="dxa"/>
            </w:tcMar>
            <w:vAlign w:val="center"/>
          </w:tcPr>
          <w:p>
            <w:pPr>
              <w:pStyle w:val="TableContents"/>
              <w:bidi w:val="0"/>
              <w:spacing w:before="0" w:after="240"/>
              <w:jc w:val="left"/>
              <w:rPr/>
            </w:pPr>
            <w:r>
              <w:rPr>
                <w:color w:val="000000"/>
              </w:rPr>
              <w:t>☐  </w:t>
            </w:r>
            <w:r>
              <w:rPr>
                <w:rFonts w:ascii="Times New Roman" w:hAnsi="Times New Roman"/>
                <w:color w:val="000000"/>
                <w:sz w:val="24"/>
              </w:rPr>
              <w:t>(2) This Note is being transferred to a Non-U.S. Person in compliance with the exemption from registration under the Securities Act of 1933, as amended, provided by Regulation S thereunder, and certification in the form of Exhibit D to the Indenture is being furnished herewith.</w:t>
            </w:r>
          </w:p>
        </w:tc>
      </w:tr>
      <w:tr>
        <w:trPr/>
        <w:tc>
          <w:tcPr>
            <w:tcW w:w="10205"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i/>
                <w:color w:val="000000"/>
                <w:sz w:val="24"/>
              </w:rPr>
            </w:pPr>
            <w:r>
              <w:rPr>
                <w:rFonts w:ascii="Times New Roman" w:hAnsi="Times New Roman"/>
                <w:i/>
                <w:color w:val="000000"/>
                <w:sz w:val="24"/>
              </w:rPr>
              <w:t>or</w:t>
            </w:r>
          </w:p>
        </w:tc>
      </w:tr>
      <w:tr>
        <w:trPr/>
        <w:tc>
          <w:tcPr>
            <w:tcW w:w="10205" w:type="dxa"/>
            <w:tcBorders/>
            <w:tcMar>
              <w:top w:w="0" w:type="dxa"/>
              <w:left w:w="0" w:type="dxa"/>
              <w:bottom w:w="0" w:type="dxa"/>
              <w:right w:w="0" w:type="dxa"/>
            </w:tcMar>
            <w:vAlign w:val="center"/>
          </w:tcPr>
          <w:p>
            <w:pPr>
              <w:pStyle w:val="TableContents"/>
              <w:bidi w:val="0"/>
              <w:spacing w:before="0" w:after="240"/>
              <w:jc w:val="left"/>
              <w:rPr/>
            </w:pPr>
            <w:r>
              <w:rPr>
                <w:color w:val="000000"/>
              </w:rPr>
              <w:t xml:space="preserve">☐ </w:t>
            </w:r>
            <w:r>
              <w:rPr>
                <w:rFonts w:ascii="Times New Roman" w:hAnsi="Times New Roman"/>
                <w:color w:val="000000"/>
                <w:sz w:val="24"/>
              </w:rPr>
              <w:t>(3) This Note is being transferred other than in accordance with (1) or (2) above and documents are being furnished which comply with the conditions of transfer set forth in this Note and the Indenture.</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none of the foregoing boxes is checked, the Trustee is not obligated to register this Note in the name of any Person other than the Holder hereof unless and until the conditions to any such transfer of registration set forth herein and in the Indenture have been satisfied.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_________________</w:t>
      </w:r>
    </w:p>
    <w:p>
      <w:pPr>
        <w:pStyle w:val="TextBody"/>
        <w:bidi w:val="0"/>
        <w:spacing w:before="0" w:after="240"/>
        <w:jc w:val="left"/>
        <w:rPr/>
      </w:pPr>
      <w:r>
        <w:rPr/>
        <w:t> </w:t>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w:t>
            </w:r>
          </w:p>
        </w:tc>
      </w:tr>
    </w:tbl>
    <w:p>
      <w:pPr>
        <w:pStyle w:val="TextBody"/>
        <w:bidi w:val="0"/>
        <w:spacing w:before="0" w:after="240"/>
        <w:jc w:val="left"/>
        <w:rPr/>
      </w:pPr>
      <w:r>
        <w:rPr/>
        <w:t> </w:t>
      </w:r>
    </w:p>
    <w:tbl>
      <w:tblPr>
        <w:tblW w:w="657" w:type="dxa"/>
        <w:jc w:val="left"/>
        <w:tblInd w:w="0" w:type="dxa"/>
        <w:tblLayout w:type="fixed"/>
        <w:tblCellMar>
          <w:top w:w="28" w:type="dxa"/>
          <w:left w:w="28" w:type="dxa"/>
          <w:bottom w:w="28" w:type="dxa"/>
          <w:right w:w="28" w:type="dxa"/>
        </w:tblCellMar>
      </w:tblPr>
      <w:tblGrid>
        <w:gridCol w:w="466"/>
        <w:gridCol w:w="191"/>
      </w:tblGrid>
      <w:tr>
        <w:trPr/>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NOTICE: The signature to this assignment must correspond with the name as written upon the face of the within-mentioned instrument in every particular, without alteration or any change whatsoever.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483" w:type="dxa"/>
        <w:jc w:val="left"/>
        <w:tblInd w:w="0" w:type="dxa"/>
        <w:tblLayout w:type="fixed"/>
        <w:tblCellMar>
          <w:top w:w="28" w:type="dxa"/>
          <w:left w:w="28" w:type="dxa"/>
          <w:bottom w:w="28" w:type="dxa"/>
          <w:right w:w="28" w:type="dxa"/>
        </w:tblCellMar>
      </w:tblPr>
      <w:tblGrid>
        <w:gridCol w:w="2206"/>
        <w:gridCol w:w="451"/>
        <w:gridCol w:w="3826"/>
      </w:tblGrid>
      <w:tr>
        <w:trPr/>
        <w:tc>
          <w:tcPr>
            <w:tcW w:w="2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4"/>
              </w:rPr>
            </w:pPr>
            <w:r>
              <w:rPr>
                <w:rFonts w:ascii="Times New Roman" w:hAnsi="Times New Roman"/>
                <w:color w:val="000000"/>
                <w:sz w:val="24"/>
              </w:rPr>
              <w:t>Signature Guarantee:</w:t>
            </w:r>
            <w:r>
              <w:rPr>
                <w:rFonts w:ascii="Times New Roman" w:hAnsi="Times New Roman"/>
                <w:color w:val="000000"/>
                <w:sz w:val="16"/>
              </w:rPr>
              <w:t>3</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 be executed by an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4"/>
        </w:rPr>
      </w:pPr>
      <w:r>
        <w:rPr>
          <w:rFonts w:ascii="Times New Roman" w:hAnsi="Times New Roman"/>
          <w:color w:val="000000"/>
          <w:sz w:val="16"/>
        </w:rPr>
        <w:t>3</w:t>
      </w:r>
      <w:r>
        <w:rPr>
          <w:rFonts w:ascii="Times New Roman" w:hAnsi="Times New Roman"/>
          <w:color w:val="000000"/>
          <w:sz w:val="24"/>
        </w:rPr>
        <w:t xml:space="preserve"> Signatures must be guaranteed by an “</w:t>
      </w:r>
      <w:r>
        <w:rPr>
          <w:rFonts w:ascii="Times New Roman" w:hAnsi="Times New Roman"/>
          <w:b/>
          <w:color w:val="000000"/>
          <w:sz w:val="24"/>
        </w:rPr>
        <w:t>eligible guarantor institution</w:t>
      </w:r>
      <w:r>
        <w:rPr>
          <w:rFonts w:ascii="Times New Roman" w:hAnsi="Times New Roman"/>
          <w:color w:val="000000"/>
          <w:sz w:val="24"/>
        </w:rPr>
        <w:t>” meeting the requirements of the Trustee, which requirements include membership or participation in the Securities Transfer Association Medallion Program (“</w:t>
      </w:r>
      <w:r>
        <w:rPr>
          <w:rFonts w:ascii="Times New Roman" w:hAnsi="Times New Roman"/>
          <w:b/>
          <w:color w:val="000000"/>
          <w:sz w:val="24"/>
        </w:rPr>
        <w:t>STAMP</w:t>
      </w:r>
      <w:r>
        <w:rPr>
          <w:rFonts w:ascii="Times New Roman" w:hAnsi="Times New Roman"/>
          <w:color w:val="000000"/>
          <w:sz w:val="24"/>
        </w:rPr>
        <w:t>”) or such other “</w:t>
      </w:r>
      <w:r>
        <w:rPr>
          <w:rFonts w:ascii="Times New Roman" w:hAnsi="Times New Roman"/>
          <w:b/>
          <w:color w:val="000000"/>
          <w:sz w:val="24"/>
        </w:rPr>
        <w:t>signature guarantee program</w:t>
      </w:r>
      <w:r>
        <w:rPr>
          <w:rFonts w:ascii="Times New Roman" w:hAnsi="Times New Roman"/>
          <w:color w:val="000000"/>
          <w:sz w:val="24"/>
        </w:rPr>
        <w:t>” as may be determined by the Trustee in addition to, or in substitution for, STAMP, all in accordance with the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FORM</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OF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GLOBAL 2036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 FACE OF SECURITY]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[Initial Notes Legend]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NOTE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 REPRESENTS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(X) IT AND ANY ACCOUNT FOR WHICH IT IS ACTING IS A “QUALIFIED INSTITUTIONAL BUYER” (WITHIN THE MEANING OF RULE 144A UNDER THE SECURITIES ACT) AND IT EXERCISES SOLE INVESTMENT DISCRETION WITH RESPECT TO EACH SUCH ACCOUNT,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(Y) IT IS NOT A “U.S. PERSON” AND IS OUTSIDE THE UNITED STATES (WITHIN THE MEANING OF REGULATION S UNDER THE SECURITIES ACT)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IF IT IS IN CANADA, SUCH ACQUIRER IS AN ACCREDITED INVESTOR, AS DEFINED IN NATIONAL INSTRUMENT 45-106 PROSPECTUS EXEMPTIONS OR SUBSECTION 73.3(1) OF THE SECURITIES ACT (ONTARIO), IS A PERMITTED CLIENT AS DEFINED IN NATIONAL INSTRUMENT 31-103 REGISTRATION REQUIREMENTS, EXEMPTIONS AND ONGOING REGISTRANT OBLIGATIONS, IS NOT AN INDIVIDUAL, AND HAS COMPLETED, SIGNED AND SUBMITTED TO THE EXCHANGE AGENT A CANADIAN ELIGIBILITY CERTIFICATION IN THE FORM PROVIDED BY VYLOR INC. (“VYLOR”);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 AGREES FOR THE BENEFIT OF VYLOR THAT IT WILL NOT OFFER, SELL, PLEDGE OR OTHERWISE TRANSFER THIS NOTE OR ANY BENEFICIAL INTEREST HEREIN, EXCEPT IN ACCORDANCE WITH THE SECURITIES ACT AND ANY APPLICABLE SECURITIES LAWS OF ANY STATE OF THE UNITED STATES AND ONLY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TO VYLOR,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PURSUANT TO A REGISTRATION STATEMENT WHICH HAS BECOME EFFECTIVE UNDER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TO A QUALIFIED INSTITUTIONAL BUYER IN COMPLIANCE WITH RULE 144A UNDER THE SECURITIES ACT,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 IN AN OFFSHORE TRANSACTION IN COMPLIANCE WITH RULE 904 OF REGULATION S UNDER THE SECURITIES ACT,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 PURSUANT TO AN EXEMPTION FROM REGISTRATION PROVIDED BY RULE 144 UNDER THE SECURITIES ACT OR ANY OTHER AVAILABLE EXEMPTION FROM THE REGISTRATION REQUIREMENTS OF THE SECURITIES ACT.</w:t>
      </w:r>
    </w:p>
    <w:p>
      <w:pPr>
        <w:pStyle w:val="TextBody"/>
        <w:bidi w:val="0"/>
        <w:spacing w:lineRule="auto" w:line="360" w:before="240" w:after="283"/>
        <w:jc w:val="left"/>
        <w:rPr>
          <w:rFonts w:ascii="Times New Roman" w:hAnsi="Times New Roman"/>
          <w:sz w:val="24"/>
        </w:rPr>
      </w:pPr>
      <w:r>
        <w:rPr>
          <w:rFonts w:ascii="Times New Roman" w:hAnsi="Times New Roman"/>
          <w:color w:val="000000"/>
          <w:sz w:val="24"/>
        </w:rPr>
        <w:t>PRIOR TO THE REGISTRATION OF ANY TRANSFER IN ACCORDANCE WITH (2)(C) ABOVE OR (2)(D) ABOVE, A DULY COMPLETED AND SIGNED CERTIFICATE (THE FORM OF WHICH MAY BE OBTAINED FROM THE TRUSTEE) MUST BE DELIVERED TO THE TRUSTEE. PRIOR TO THE REGISTRATION OF ANY TRANSFER IN ACCORDANCE WITH (2)(E) ABOVE, VYLOR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w:t>
      </w:r>
      <w:r>
        <w:rPr>
          <w:rFonts w:ascii="Times New Roman" w:hAnsi="Times New Roman"/>
          <w:color w:val="000000"/>
          <w:sz w:val="16"/>
        </w:rPr>
        <w:t>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[Regulation S Global Notes Legend]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ITS ACQUISITION HEREOF, THE HOLDER HEREOF REPRESENTS THAT IT IS NOT A U.S. PERSON NOR IS IT PURCHASING FOR THE ACCOUNT OF A U.S. PERSON AND IS ACQUIRING THIS NOTE IN AN OFFSHORE TRANSACTION IN ACCORDANCE WITH REGULATION S UNDER THE SECURITIES ACT. THIS NOTE (OR ITS PREDECESSOR) WAS ORIGINALLY ISSUED IN A TRANSACTION ORIGINALLY EXEMPT FROM REGISTRATION UNDER THE U.S. SECURITIES ACT OF 1933, AS AMENDED (THE “SECURITIES ACT”), AND MAY NOT BE TRANSFERRED IN THE UNITED STATES OR TO, OR FOR THE ACCOUNT OR BENEFIT OF, ANY U.S. PERSON EXCEPT PURSUANT TO AN AVAILABLE EXEMPTION FROM THE REGISTRATION REQUIREMENTS OF THE SECURITIES ACT AND ALL APPLICABLE STATE SECURITIES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TERMS USED ABOVE HAVE THE MEANINGS GIVEN TO THEM IN REGULATION S UNDER THE SECURITIES ACT.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UNTIL 40 DAYS AFTER THE LATER OF COMMENCEMENT OR COMPLETION OF THE OFFERING, AN OFFER OR SALE OF SECURITIES WITHIN THE UNITED STATES BY A DEALER (AS DEFINED IN THE SECURITIES ACT) MAY VIOLATE THE </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4"/>
        </w:rPr>
      </w:pPr>
      <w:r>
        <w:rPr>
          <w:rFonts w:ascii="Times New Roman" w:hAnsi="Times New Roman"/>
          <w:color w:val="000000"/>
          <w:sz w:val="16"/>
        </w:rPr>
        <w:t>4</w:t>
      </w:r>
      <w:r>
        <w:rPr>
          <w:rFonts w:ascii="Times New Roman" w:hAnsi="Times New Roman"/>
          <w:color w:val="000000"/>
          <w:sz w:val="24"/>
        </w:rPr>
        <w:t xml:space="preserve"> To be included only if the Note is a Restricted Note.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240" w:after="283"/>
        <w:jc w:val="left"/>
        <w:rPr>
          <w:rFonts w:ascii="Times New Roman" w:hAnsi="Times New Roman"/>
          <w:sz w:val="24"/>
        </w:rPr>
      </w:pPr>
      <w:r>
        <w:rPr>
          <w:rFonts w:ascii="Times New Roman" w:hAnsi="Times New Roman"/>
          <w:color w:val="000000"/>
          <w:sz w:val="24"/>
        </w:rPr>
        <w:t>REGISTRATION REQUIREMENTS OF THE SECURITIES ACT IF SUCH OFFER OR SALE IS MADE OTHERWISE THAN IN ACCORDANCE WITH RULE 144A THEREUNDER.]</w:t>
      </w:r>
      <w:r>
        <w:rPr>
          <w:rFonts w:ascii="Times New Roman" w:hAnsi="Times New Roman"/>
          <w:color w:val="000000"/>
          <w:sz w:val="16"/>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UNLESS THIS CERTIFICATE IS PRESENTED BY AN AUTHORIZED REPRESENTATIVE OF THE DEPOSITORY TRUST COMPANY (THE “DEPOSITARY”)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 BENEFICIAL INTEREST HEREIN.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4"/>
        </w:rPr>
      </w:pPr>
      <w:r>
        <w:rPr>
          <w:rFonts w:ascii="Times New Roman" w:hAnsi="Times New Roman"/>
          <w:color w:val="000000"/>
          <w:sz w:val="16"/>
        </w:rPr>
        <w:t>5</w:t>
      </w:r>
      <w:r>
        <w:rPr>
          <w:rFonts w:ascii="Times New Roman" w:hAnsi="Times New Roman"/>
          <w:color w:val="000000"/>
          <w:sz w:val="24"/>
        </w:rPr>
        <w:t xml:space="preserve"> To be included only if the Note is a Regulation S Global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CUSIP No. [●]</w:t>
        <w:br/>
        <w:t>ISIN No.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VYLOR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5.625% Senior Notes due 2036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t>
      </w:r>
    </w:p>
    <w:p>
      <w:pPr>
        <w:pStyle w:val="TextBody"/>
        <w:pBdr>
          <w:bottom w:val="single" w:sz="6" w:space="1" w:color="000000"/>
        </w:pBdr>
        <w:bidi w:val="0"/>
        <w:jc w:val="left"/>
        <w:rPr/>
      </w:pPr>
      <w:r>
        <w:rPr/>
        <w:t> </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As revised by the</w:t>
        <w:br/>
        <w:t>Schedule of Increases or Decreases</w:t>
        <w:br/>
        <w:t>in Global Security attached hereto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Capitalized terms used herein have the meanings assigned to them in the Indenture referred to on the reverse hereof unless otherwise indicated.</w:t>
      </w:r>
    </w:p>
    <w:p>
      <w:pPr>
        <w:pStyle w:val="TextBody"/>
        <w:bidi w:val="0"/>
        <w:spacing w:before="240" w:after="283"/>
        <w:jc w:val="left"/>
        <w:rPr>
          <w:rFonts w:ascii="Times New Roman" w:hAnsi="Times New Roman"/>
          <w:sz w:val="24"/>
        </w:rPr>
      </w:pPr>
      <w:r>
        <w:rPr>
          <w:rFonts w:ascii="Times New Roman" w:hAnsi="Times New Roman"/>
          <w:i/>
          <w:color w:val="000000"/>
          <w:sz w:val="24"/>
        </w:rPr>
        <w:t>Interest</w:t>
      </w:r>
      <w:r>
        <w:rPr>
          <w:rFonts w:ascii="Times New Roman" w:hAnsi="Times New Roman"/>
          <w:color w:val="000000"/>
          <w:sz w:val="24"/>
        </w:rPr>
        <w:t>. Vylor Inc., a Delaware corporation (herein called the “</w:t>
      </w:r>
      <w:r>
        <w:rPr>
          <w:rFonts w:ascii="Times New Roman" w:hAnsi="Times New Roman"/>
          <w:i/>
          <w:color w:val="000000"/>
          <w:sz w:val="24"/>
        </w:rPr>
        <w:t>Company</w:t>
      </w:r>
      <w:r>
        <w:rPr>
          <w:rFonts w:ascii="Times New Roman" w:hAnsi="Times New Roman"/>
          <w:color w:val="000000"/>
          <w:sz w:val="24"/>
        </w:rPr>
        <w:t>”, which term includes any successor Person under the Indenture hereinafter referred to), for value received, hereby promises to pay to CEDE &amp; CO., or registered assigns, the principal sum of Dollars, as revised by the Schedule of Increases or Decreases in Global Security attached hereto, on August 15, 2036, and to pay interest thereon from August 31, 2026 or from the most recent Interest Payment Date to which interest has been paid or duly provided for, semi-annually in arrears on February 15 and August 15 of each year, commencing on February 15, 2027 at the rate of 5.625% per annum, until the principal hereof is paid or made available for payment.</w:t>
      </w:r>
    </w:p>
    <w:p>
      <w:pPr>
        <w:pStyle w:val="TextBody"/>
        <w:bidi w:val="0"/>
        <w:spacing w:before="240" w:after="283"/>
        <w:jc w:val="left"/>
        <w:rPr>
          <w:rFonts w:ascii="Times New Roman" w:hAnsi="Times New Roman"/>
          <w:sz w:val="24"/>
        </w:rPr>
      </w:pPr>
      <w:r>
        <w:rPr>
          <w:rFonts w:ascii="Times New Roman" w:hAnsi="Times New Roman"/>
          <w:i/>
          <w:color w:val="000000"/>
          <w:sz w:val="24"/>
        </w:rPr>
        <w:t>Method of Payment</w:t>
      </w:r>
      <w:r>
        <w:rPr>
          <w:rFonts w:ascii="Times New Roman" w:hAnsi="Times New Roman"/>
          <w:color w:val="000000"/>
          <w:sz w:val="24"/>
        </w:rPr>
        <w:t>.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February 1 and August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Reference is hereby made to the further provisions of this Security set forth on the reverse hereof, which further provisions shall for all purposes have the same effect as if set forth at this place.</w:t>
      </w:r>
    </w:p>
    <w:p>
      <w:pPr>
        <w:pStyle w:val="TextBody"/>
        <w:bidi w:val="0"/>
        <w:spacing w:before="240" w:after="283"/>
        <w:jc w:val="left"/>
        <w:rPr>
          <w:rFonts w:ascii="Times New Roman" w:hAnsi="Times New Roman"/>
          <w:sz w:val="24"/>
        </w:rPr>
      </w:pPr>
      <w:r>
        <w:rPr>
          <w:rFonts w:ascii="Times New Roman" w:hAnsi="Times New Roman"/>
          <w:i/>
          <w:color w:val="000000"/>
          <w:sz w:val="24"/>
        </w:rPr>
        <w:t>Authentication</w:t>
      </w:r>
      <w:r>
        <w:rPr>
          <w:rFonts w:ascii="Times New Roman" w:hAnsi="Times New Roman"/>
          <w:color w:val="000000"/>
          <w:sz w:val="24"/>
        </w:rPr>
        <w:t>. Unless the certificate of authentication hereon has been executed by the Trustee referred to on the reverse hereof by electronic or manual signature, this Security shall not be entitled to any benefit under the Indenture or be valid or obligatory for any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WITNESS WHEREOF, the Company has caused this instrument to be duly executed.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Dated:</w:t>
      </w:r>
    </w:p>
    <w:tbl>
      <w:tblPr>
        <w:tblW w:w="2247" w:type="dxa"/>
        <w:jc w:val="left"/>
        <w:tblInd w:w="0" w:type="dxa"/>
        <w:tblLayout w:type="fixed"/>
        <w:tblCellMar>
          <w:top w:w="28" w:type="dxa"/>
          <w:left w:w="28" w:type="dxa"/>
          <w:bottom w:w="28" w:type="dxa"/>
          <w:right w:w="28" w:type="dxa"/>
        </w:tblCellMar>
      </w:tblPr>
      <w:tblGrid>
        <w:gridCol w:w="881"/>
        <w:gridCol w:w="1366"/>
      </w:tblGrid>
      <w:tr>
        <w:trPr/>
        <w:tc>
          <w:tcPr>
            <w:tcW w:w="88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2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4"/>
              </w:rPr>
            </w:pPr>
            <w:r>
              <w:rPr>
                <w:rFonts w:ascii="Times New Roman" w:hAnsi="Times New Roman"/>
                <w:caps/>
                <w:color w:val="000000"/>
                <w:sz w:val="24"/>
              </w:rPr>
              <w:t>vylor inc.</w:t>
            </w:r>
          </w:p>
        </w:tc>
      </w:tr>
      <w:tr>
        <w:trPr/>
        <w:tc>
          <w:tcPr>
            <w:tcW w:w="8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by</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TRUSTEE’S CERTIFICATE OF AUTHENTICATION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is one of the Securities of the series designated therein referred to in the within-mentioned Indenture.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 of authentication:</w:t>
      </w:r>
    </w:p>
    <w:tbl>
      <w:tblPr>
        <w:tblW w:w="7665" w:type="dxa"/>
        <w:jc w:val="left"/>
        <w:tblInd w:w="0" w:type="dxa"/>
        <w:tblLayout w:type="fixed"/>
        <w:tblCellMar>
          <w:top w:w="28" w:type="dxa"/>
          <w:left w:w="28" w:type="dxa"/>
          <w:bottom w:w="28" w:type="dxa"/>
          <w:right w:w="28" w:type="dxa"/>
        </w:tblCellMar>
      </w:tblPr>
      <w:tblGrid>
        <w:gridCol w:w="1084"/>
        <w:gridCol w:w="6581"/>
      </w:tblGrid>
      <w:tr>
        <w:trPr/>
        <w:tc>
          <w:tcPr>
            <w:tcW w:w="1084" w:type="dxa"/>
            <w:tcBorders/>
            <w:vAlign w:val="center"/>
          </w:tcPr>
          <w:p>
            <w:pPr>
              <w:pStyle w:val="TableContents"/>
              <w:bidi w:val="0"/>
              <w:spacing w:before="0" w:after="283"/>
              <w:jc w:val="left"/>
              <w:rPr>
                <w:sz w:val="4"/>
                <w:szCs w:val="4"/>
              </w:rPr>
            </w:pPr>
            <w:r>
              <w:rPr>
                <w:sz w:val="4"/>
                <w:szCs w:val="4"/>
              </w:rPr>
            </w:r>
          </w:p>
        </w:tc>
        <w:tc>
          <w:tcPr>
            <w:tcW w:w="6581" w:type="dxa"/>
            <w:tcBorders/>
            <w:vAlign w:val="center"/>
          </w:tcPr>
          <w:p>
            <w:pPr>
              <w:pStyle w:val="TableContents"/>
              <w:bidi w:val="0"/>
              <w:spacing w:before="0" w:after="283"/>
              <w:jc w:val="left"/>
              <w:rPr>
                <w:sz w:val="4"/>
                <w:szCs w:val="4"/>
              </w:rPr>
            </w:pPr>
            <w:r>
              <w:rPr>
                <w:sz w:val="4"/>
                <w:szCs w:val="4"/>
              </w:rPr>
            </w:r>
          </w:p>
        </w:tc>
      </w:tr>
      <w:tr>
        <w:trPr/>
        <w:tc>
          <w:tcPr>
            <w:tcW w:w="76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 BANK TRUST COMPANY, NATIONAL ASSOCIATION, as Trustee</w:t>
            </w:r>
          </w:p>
        </w:tc>
      </w:tr>
      <w:tr>
        <w:trPr/>
        <w:tc>
          <w:tcPr>
            <w:tcW w:w="1084" w:type="dxa"/>
            <w:tcBorders/>
            <w:tcMar>
              <w:top w:w="0" w:type="dxa"/>
              <w:left w:w="0" w:type="dxa"/>
              <w:bottom w:w="0" w:type="dxa"/>
              <w:right w:w="0" w:type="dxa"/>
            </w:tcMar>
            <w:vAlign w:val="center"/>
          </w:tcPr>
          <w:p>
            <w:pPr>
              <w:pStyle w:val="TableContents"/>
              <w:bidi w:val="0"/>
              <w:spacing w:before="0" w:after="283"/>
              <w:jc w:val="right"/>
              <w:rPr/>
            </w:pPr>
            <w:r>
              <w:rPr/>
              <w:t> </w:t>
            </w:r>
          </w:p>
        </w:tc>
        <w:tc>
          <w:tcPr>
            <w:tcW w:w="6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by</w:t>
            </w:r>
          </w:p>
        </w:tc>
        <w:tc>
          <w:tcPr>
            <w:tcW w:w="6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4" w:type="dxa"/>
            <w:tcBorders/>
            <w:tcMar>
              <w:top w:w="0" w:type="dxa"/>
              <w:left w:w="0" w:type="dxa"/>
              <w:bottom w:w="0" w:type="dxa"/>
              <w:right w:w="0" w:type="dxa"/>
            </w:tcMar>
            <w:vAlign w:val="center"/>
          </w:tcPr>
          <w:p>
            <w:pPr>
              <w:pStyle w:val="TableContents"/>
              <w:bidi w:val="0"/>
              <w:spacing w:before="0" w:after="283"/>
              <w:jc w:val="left"/>
              <w:rPr/>
            </w:pPr>
            <w:r>
              <w:rPr/>
              <w:t> </w:t>
            </w:r>
          </w:p>
        </w:tc>
        <w:tc>
          <w:tcPr>
            <w:tcW w:w="65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84" w:type="dxa"/>
            <w:tcBorders/>
            <w:tcMar>
              <w:top w:w="0" w:type="dxa"/>
              <w:left w:w="0" w:type="dxa"/>
              <w:bottom w:w="0" w:type="dxa"/>
              <w:right w:w="0" w:type="dxa"/>
            </w:tcMar>
            <w:vAlign w:val="center"/>
          </w:tcPr>
          <w:p>
            <w:pPr>
              <w:pStyle w:val="TableContents"/>
              <w:bidi w:val="0"/>
              <w:spacing w:before="0" w:after="283"/>
              <w:jc w:val="left"/>
              <w:rPr/>
            </w:pPr>
            <w:r>
              <w:rPr/>
              <w:t> </w:t>
            </w:r>
          </w:p>
        </w:tc>
        <w:tc>
          <w:tcPr>
            <w:tcW w:w="6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Signatory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 REVERSE OF SECURITY]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Capitalized terms used herein have the meanings assigned to them in the Indenture referred to below unless otherwise indicated.</w:t>
      </w:r>
    </w:p>
    <w:p>
      <w:pPr>
        <w:pStyle w:val="TextBody"/>
        <w:bidi w:val="0"/>
        <w:spacing w:before="240" w:after="283"/>
        <w:jc w:val="left"/>
        <w:rPr>
          <w:rFonts w:ascii="Times New Roman" w:hAnsi="Times New Roman"/>
          <w:sz w:val="24"/>
        </w:rPr>
      </w:pPr>
      <w:r>
        <w:rPr>
          <w:rFonts w:ascii="Times New Roman" w:hAnsi="Times New Roman"/>
          <w:i/>
          <w:color w:val="000000"/>
          <w:sz w:val="24"/>
        </w:rPr>
        <w:t>Indenture</w:t>
      </w:r>
      <w:r>
        <w:rPr>
          <w:rFonts w:ascii="Times New Roman" w:hAnsi="Times New Roman"/>
          <w:color w:val="000000"/>
          <w:sz w:val="24"/>
        </w:rPr>
        <w:t>. This Security is one of a duly authorized issue of securities of the Company (herein called the “</w:t>
      </w:r>
      <w:r>
        <w:rPr>
          <w:rFonts w:ascii="Times New Roman" w:hAnsi="Times New Roman"/>
          <w:i/>
          <w:color w:val="000000"/>
          <w:sz w:val="24"/>
        </w:rPr>
        <w:t>Securities</w:t>
      </w:r>
      <w:r>
        <w:rPr>
          <w:rFonts w:ascii="Times New Roman" w:hAnsi="Times New Roman"/>
          <w:color w:val="000000"/>
          <w:sz w:val="24"/>
        </w:rPr>
        <w:t>”), issued and to be issued in one or more series under the Indenture, dated as of August 31, 2026 (the “</w:t>
      </w:r>
      <w:r>
        <w:rPr>
          <w:rFonts w:ascii="Times New Roman" w:hAnsi="Times New Roman"/>
          <w:i/>
          <w:color w:val="000000"/>
          <w:sz w:val="24"/>
        </w:rPr>
        <w:t>Base Indenture</w:t>
      </w:r>
      <w:r>
        <w:rPr>
          <w:rFonts w:ascii="Times New Roman" w:hAnsi="Times New Roman"/>
          <w:color w:val="000000"/>
          <w:sz w:val="24"/>
        </w:rPr>
        <w:t>”), as supplemented by the First Supplemental Indenture, dated as of August 31, 2026 (herein called the “</w:t>
      </w:r>
      <w:r>
        <w:rPr>
          <w:rFonts w:ascii="Times New Roman" w:hAnsi="Times New Roman"/>
          <w:i/>
          <w:color w:val="000000"/>
          <w:sz w:val="24"/>
        </w:rPr>
        <w:t>Supplemental Indenture</w:t>
      </w:r>
      <w:r>
        <w:rPr>
          <w:rFonts w:ascii="Times New Roman" w:hAnsi="Times New Roman"/>
          <w:color w:val="000000"/>
          <w:sz w:val="24"/>
        </w:rPr>
        <w:t>” and, together with the Base Indenture, the “</w:t>
      </w:r>
      <w:r>
        <w:rPr>
          <w:rFonts w:ascii="Times New Roman" w:hAnsi="Times New Roman"/>
          <w:i/>
          <w:color w:val="000000"/>
          <w:sz w:val="24"/>
        </w:rPr>
        <w:t>Indenture</w:t>
      </w:r>
      <w:r>
        <w:rPr>
          <w:rFonts w:ascii="Times New Roman" w:hAnsi="Times New Roman"/>
          <w:color w:val="000000"/>
          <w:sz w:val="24"/>
        </w:rPr>
        <w:t>”), between the Company and U.S. Bank Trust Company, National Association, as Trustee (herein called the “</w:t>
      </w:r>
      <w:r>
        <w:rPr>
          <w:rFonts w:ascii="Times New Roman" w:hAnsi="Times New Roman"/>
          <w:i/>
          <w:color w:val="000000"/>
          <w:sz w:val="24"/>
        </w:rPr>
        <w:t>Trustee</w:t>
      </w:r>
      <w:r>
        <w:rPr>
          <w:rFonts w:ascii="Times New Roman" w:hAnsi="Times New Roman"/>
          <w:color w:val="000000"/>
          <w:sz w:val="24"/>
        </w:rPr>
        <w:t>”,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of this series are, and are to be, authenticated and delivered. This Security is one of the series designated on the face hereof, issued initially in aggregate principal amount to $________.</w:t>
      </w:r>
    </w:p>
    <w:p>
      <w:pPr>
        <w:pStyle w:val="TextBody"/>
        <w:bidi w:val="0"/>
        <w:spacing w:before="240" w:after="283"/>
        <w:jc w:val="left"/>
        <w:rPr>
          <w:rFonts w:ascii="Times New Roman" w:hAnsi="Times New Roman"/>
          <w:sz w:val="24"/>
        </w:rPr>
      </w:pPr>
      <w:r>
        <w:rPr>
          <w:rFonts w:ascii="Times New Roman" w:hAnsi="Times New Roman"/>
          <w:i/>
          <w:color w:val="000000"/>
          <w:sz w:val="24"/>
        </w:rPr>
        <w:t>Optional Redemption</w:t>
      </w:r>
      <w:r>
        <w:rPr>
          <w:rFonts w:ascii="Times New Roman" w:hAnsi="Times New Roman"/>
          <w:color w:val="000000"/>
          <w:sz w:val="24"/>
        </w:rPr>
        <w:t>. Prior to May 15, 2036 (the “</w:t>
      </w:r>
      <w:r>
        <w:rPr>
          <w:rFonts w:ascii="Times New Roman" w:hAnsi="Times New Roman"/>
          <w:i/>
          <w:color w:val="000000"/>
          <w:sz w:val="24"/>
        </w:rPr>
        <w:t>Par Call Date</w:t>
      </w:r>
      <w:r>
        <w:rPr>
          <w:rFonts w:ascii="Times New Roman" w:hAnsi="Times New Roman"/>
          <w:color w:val="000000"/>
          <w:sz w:val="24"/>
        </w:rPr>
        <w:t xml:space="preserve">”), the Company may redeem the Securities of this series at its option, in whole or in part, at any time and from time to time, at a redemption price (expressed as a percentage of the principal amount and rounded to three decimal places) equal to the greater of: </w:t>
      </w:r>
    </w:p>
    <w:p>
      <w:pPr>
        <w:pStyle w:val="TextBody"/>
        <w:bidi w:val="0"/>
        <w:spacing w:before="240" w:after="283"/>
        <w:jc w:val="both"/>
        <w:rPr>
          <w:rFonts w:ascii="Times New Roman" w:hAnsi="Times New Roman"/>
          <w:sz w:val="22"/>
        </w:rPr>
      </w:pPr>
      <w:r>
        <w:rPr>
          <w:rFonts w:ascii="Times New Roman" w:hAnsi="Times New Roman"/>
          <w:color w:val="000000"/>
          <w:sz w:val="24"/>
        </w:rPr>
        <w:t>(1)(a) the sum of the present values of the remaining scheduled payments of principal and interest thereon discounted to the Redemption Date (assuming the Securities of this series matured on the Par Call Date), on a semi-annual basis (assuming a 360-day year consisting of twelve 30-day months) at the Treasury Rate plus 15 basis points</w:t>
      </w:r>
      <w:r>
        <w:rPr>
          <w:rFonts w:ascii="Times New Roman" w:hAnsi="Times New Roman"/>
          <w:color w:val="000000"/>
          <w:sz w:val="22"/>
        </w:rPr>
        <w:t xml:space="preserve"> </w:t>
      </w:r>
      <w:r>
        <w:rPr>
          <w:rFonts w:ascii="Times New Roman" w:hAnsi="Times New Roman"/>
          <w:color w:val="000000"/>
          <w:sz w:val="24"/>
        </w:rPr>
        <w:t>less (b) interest accrued to the Redemption Date;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 100% of the principal amount of the Securities to be redeemed;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plus, in either case, accrued and unpaid interest thereon to, but excluding, the Redemption Date.</w:t>
      </w:r>
    </w:p>
    <w:p>
      <w:pPr>
        <w:pStyle w:val="TextBody"/>
        <w:bidi w:val="0"/>
        <w:spacing w:before="240" w:after="283"/>
        <w:jc w:val="left"/>
        <w:rPr>
          <w:rFonts w:ascii="Times New Roman" w:hAnsi="Times New Roman"/>
          <w:sz w:val="22"/>
        </w:rPr>
      </w:pPr>
      <w:r>
        <w:rPr>
          <w:rFonts w:ascii="Times New Roman" w:hAnsi="Times New Roman"/>
          <w:color w:val="000000"/>
          <w:sz w:val="24"/>
        </w:rPr>
        <w:t>On or after the Par Call Date, the Company may redeem the Securities of this series, in whole or in part, at any time and from time to time, at a redemption price equal to 100% of the principal amount of the Securities to be redeemed</w:t>
      </w:r>
      <w:r>
        <w:rPr>
          <w:rFonts w:ascii="Times New Roman" w:hAnsi="Times New Roman"/>
          <w:color w:val="000000"/>
          <w:sz w:val="22"/>
        </w:rPr>
        <w:t xml:space="preserve"> </w:t>
      </w:r>
      <w:r>
        <w:rPr>
          <w:rFonts w:ascii="Times New Roman" w:hAnsi="Times New Roman"/>
          <w:color w:val="000000"/>
          <w:sz w:val="24"/>
        </w:rPr>
        <w:t>plus accrued and unpaid interest thereon to, but excluding, the Redemption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Security is also subject to a Special Mandatory Redemption as provided in Article IV of the First Supplemental Indenture.</w:t>
      </w:r>
    </w:p>
    <w:p>
      <w:pPr>
        <w:pStyle w:val="TextBody"/>
        <w:bidi w:val="0"/>
        <w:spacing w:before="240" w:after="283"/>
        <w:jc w:val="left"/>
        <w:rPr/>
      </w:pPr>
      <w:r>
        <w:rPr>
          <w:color w:val="000000"/>
        </w:rPr>
        <w:t>“</w:t>
      </w:r>
      <w:r>
        <w:rPr>
          <w:rFonts w:ascii="Times New Roman" w:hAnsi="Times New Roman"/>
          <w:i/>
          <w:color w:val="000000"/>
          <w:sz w:val="24"/>
        </w:rPr>
        <w:t>Treasury Rate</w:t>
      </w:r>
      <w:r>
        <w:rPr>
          <w:rFonts w:ascii="Times New Roman" w:hAnsi="Times New Roman"/>
          <w:color w:val="000000"/>
          <w:sz w:val="24"/>
        </w:rPr>
        <w:t xml:space="preserve">” means, with respect to any Redemption Date for the Securities of this series, the yield determined by the Company in accordance with the following two paragraphs.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Treasury Rate applicable to redemption of the Securities of this series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If on the third Business Day preceding the Redemption Date H.15 TCM is no longer published, the Company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redemption and notice of such redemption may, at the Company’s option,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as any or all such conditions shall be satisfied (or waived by the Company), or such redemption may not occur and such notice may be rescinded in the event that any or all such conditions shall not have been satisfied (or waived by the Company)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Unless the Company defaults in payment of the redemption price, on and after the Redemption Date, interest will cease to accrue on the Securities of this series or portions thereof called for redemption.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Except as set forth herein, the Securities of this series will not be redeemable by the Company prior to their Stated Maturity and will not be entitled to the benefit of any sinking fund. </w:t>
      </w:r>
    </w:p>
    <w:p>
      <w:pPr>
        <w:pStyle w:val="TextBody"/>
        <w:bidi w:val="0"/>
        <w:spacing w:before="240" w:after="283"/>
        <w:jc w:val="left"/>
        <w:rPr>
          <w:rFonts w:ascii="Times New Roman" w:hAnsi="Times New Roman"/>
          <w:sz w:val="24"/>
        </w:rPr>
      </w:pPr>
      <w:r>
        <w:rPr>
          <w:rFonts w:ascii="Times New Roman" w:hAnsi="Times New Roman"/>
          <w:i/>
          <w:color w:val="000000"/>
          <w:sz w:val="24"/>
        </w:rPr>
        <w:t>Defaults and Remedies</w:t>
      </w:r>
      <w:r>
        <w:rPr>
          <w:rFonts w:ascii="Times New Roman" w:hAnsi="Times New Roman"/>
          <w:color w:val="000000"/>
          <w:sz w:val="24"/>
        </w:rPr>
        <w:t>. 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240" w:after="283"/>
        <w:jc w:val="left"/>
        <w:rPr>
          <w:rFonts w:ascii="Times New Roman" w:hAnsi="Times New Roman"/>
          <w:sz w:val="24"/>
        </w:rPr>
      </w:pPr>
      <w:r>
        <w:rPr>
          <w:rFonts w:ascii="Times New Roman" w:hAnsi="Times New Roman"/>
          <w:i/>
          <w:color w:val="000000"/>
          <w:sz w:val="24"/>
        </w:rPr>
        <w:t>Change of Control.</w:t>
      </w:r>
      <w:r>
        <w:rPr>
          <w:rFonts w:ascii="Times New Roman" w:hAnsi="Times New Roman"/>
          <w:color w:val="000000"/>
          <w:sz w:val="24"/>
        </w:rPr>
        <w:t xml:space="preserve"> If a Change of Control Triggering Event occurs with respect to the Securities of this series, unless the Company has exercised its option to redeem the Securities of this series in accordance with the provisions set forth in this Security under the heading “Optional Redemption”, Holders of the Securities will have the right to require the Company to repurchase all or any part (equal to $2,000 and any integral multiple of $1,000 in excess thereof) of their Securities as described in Article IV of the Supplemental Indenture.</w:t>
      </w:r>
    </w:p>
    <w:p>
      <w:pPr>
        <w:pStyle w:val="TextBody"/>
        <w:bidi w:val="0"/>
        <w:spacing w:before="240" w:after="283"/>
        <w:jc w:val="left"/>
        <w:rPr>
          <w:rFonts w:ascii="Times New Roman" w:hAnsi="Times New Roman"/>
          <w:sz w:val="24"/>
        </w:rPr>
      </w:pPr>
      <w:r>
        <w:rPr>
          <w:rFonts w:ascii="Times New Roman" w:hAnsi="Times New Roman"/>
          <w:i/>
          <w:color w:val="000000"/>
          <w:sz w:val="24"/>
        </w:rPr>
        <w:t>Amendment, Modification and Waiver</w:t>
      </w:r>
      <w:r>
        <w:rPr>
          <w:rFonts w:ascii="Times New Roman" w:hAnsi="Times New Roman"/>
          <w:color w:val="000000"/>
          <w:sz w:val="24"/>
        </w:rPr>
        <w:t>. The Indenture permits, with certain exceptions as therein provided, the amendment and 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Outstanding Securities (as defined in the Base Indenture) affected by such amendment, supplement or modification voting as a single class.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240" w:after="283"/>
        <w:jc w:val="left"/>
        <w:rPr>
          <w:rFonts w:ascii="Times New Roman" w:hAnsi="Times New Roman"/>
          <w:sz w:val="24"/>
        </w:rPr>
      </w:pPr>
      <w:r>
        <w:rPr>
          <w:rFonts w:ascii="Times New Roman" w:hAnsi="Times New Roman"/>
          <w:i/>
          <w:color w:val="000000"/>
          <w:sz w:val="24"/>
        </w:rPr>
        <w:t>Restrictive Covenants</w:t>
      </w:r>
      <w:r>
        <w:rPr>
          <w:rFonts w:ascii="Times New Roman" w:hAnsi="Times New Roman"/>
          <w:color w:val="000000"/>
          <w:sz w:val="24"/>
        </w:rPr>
        <w:t>. The restrictive covenants for this Security are as specified in the Indenture. The Indenture does not limit unsecured debt of the Company or any of its Subsidiaries.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i/>
          <w:color w:val="000000"/>
          <w:sz w:val="24"/>
        </w:rPr>
        <w:t>Denominations, Transfer and Exchange</w:t>
      </w:r>
      <w:r>
        <w:rPr>
          <w:rFonts w:ascii="Times New Roman" w:hAnsi="Times New Roman"/>
          <w:color w:val="000000"/>
          <w:sz w:val="24"/>
        </w:rPr>
        <w:t>. The Securities of this series are issuable only in registered form without coupons in denominations of $2,000 or any integral multiple of $1,000 in excess thereof. As provided in the Indenture and subject to certain limitations therein set forth, Securities of this series are exchangeable for a like aggregate principal amount of Securities of like tenor of a different authorized denomination, as requested by the Holder surrendering the same.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240" w:after="283"/>
        <w:jc w:val="left"/>
        <w:rPr>
          <w:rFonts w:ascii="Times New Roman" w:hAnsi="Times New Roman"/>
          <w:sz w:val="24"/>
        </w:rPr>
      </w:pPr>
      <w:r>
        <w:rPr>
          <w:rFonts w:ascii="Times New Roman" w:hAnsi="Times New Roman"/>
          <w:i/>
          <w:color w:val="000000"/>
          <w:sz w:val="24"/>
        </w:rPr>
        <w:t>Persons Deemed Owners</w:t>
      </w:r>
      <w:r>
        <w:rPr>
          <w:rFonts w:ascii="Times New Roman" w:hAnsi="Times New Roman"/>
          <w:color w:val="000000"/>
          <w:sz w:val="24"/>
        </w:rPr>
        <w:t>.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240" w:after="283"/>
        <w:jc w:val="left"/>
        <w:rPr>
          <w:rFonts w:ascii="Times New Roman" w:hAnsi="Times New Roman"/>
          <w:sz w:val="24"/>
        </w:rPr>
      </w:pPr>
      <w:r>
        <w:rPr>
          <w:rFonts w:ascii="Times New Roman" w:hAnsi="Times New Roman"/>
          <w:i/>
          <w:color w:val="000000"/>
          <w:sz w:val="24"/>
        </w:rPr>
        <w:t>Miscellaneous</w:t>
      </w:r>
      <w:r>
        <w:rPr>
          <w:rFonts w:ascii="Times New Roman" w:hAnsi="Times New Roman"/>
          <w:color w:val="000000"/>
          <w:sz w:val="24"/>
        </w:rPr>
        <w:t>. The Indenture and this Security shall be governed by and construed in accordance with the laws of the State of New York, without regard to the conflicts of law rules of said State.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SCHEDULE OF INCREASES OR DECREASES IN GLOBAL SECURITY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increases or decreases in this Global Security have been made:</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2260"/>
        <w:gridCol w:w="2269"/>
        <w:gridCol w:w="2606"/>
        <w:gridCol w:w="1917"/>
      </w:tblGrid>
      <w:tr>
        <w:trPr/>
        <w:tc>
          <w:tcPr>
            <w:tcW w:w="115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115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Date of Exchange</w:t>
            </w:r>
          </w:p>
        </w:tc>
        <w:tc>
          <w:tcPr>
            <w:tcW w:w="2260"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Amount of increase in Principal Amount of this Global Security</w:t>
            </w:r>
          </w:p>
        </w:tc>
        <w:tc>
          <w:tcPr>
            <w:tcW w:w="226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Amount of decrease in Principal Amount of this Global Security</w:t>
            </w:r>
          </w:p>
        </w:tc>
        <w:tc>
          <w:tcPr>
            <w:tcW w:w="260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Principal Amount of this Global Security following each decrease or increase</w:t>
            </w:r>
          </w:p>
        </w:tc>
        <w:tc>
          <w:tcPr>
            <w:tcW w:w="1917"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0"/>
              </w:rPr>
            </w:pPr>
            <w:r>
              <w:rPr>
                <w:rFonts w:ascii="Times New Roman" w:hAnsi="Times New Roman"/>
                <w:b/>
                <w:color w:val="000000"/>
                <w:sz w:val="20"/>
              </w:rPr>
              <w:t>Signature of authorized signatory of Trustee</w:t>
            </w:r>
          </w:p>
        </w:tc>
      </w:tr>
      <w:tr>
        <w:trPr/>
        <w:tc>
          <w:tcPr>
            <w:tcW w:w="11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[FORM OF TRANSFER NOTICE]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VALUE RECEIVED, the undersigned hereby sell(s), assign(s) and transfer(s) unto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7"/>
        <w:gridCol w:w="2516"/>
        <w:gridCol w:w="2516"/>
        <w:gridCol w:w="2376"/>
      </w:tblGrid>
      <w:tr>
        <w:trPr/>
        <w:tc>
          <w:tcPr>
            <w:tcW w:w="2797"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5313"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t>
            </w:r>
            <w:r>
              <w:rPr>
                <w:rFonts w:ascii="Times New Roman" w:hAnsi="Times New Roman"/>
                <w:color w:val="000000"/>
                <w:sz w:val="24"/>
              </w:rPr>
              <w:t>PLEASE INSERT SOCIAL SECURITY OR OTHER IDENTIFYING NUMBER OF ASSIGNEE</w:t>
            </w:r>
            <w:r>
              <w:rPr>
                <w:rFonts w:ascii="Times New Roman" w:hAnsi="Times New Roman"/>
                <w:b/>
                <w:color w:val="000000"/>
                <w:sz w:val="24"/>
              </w:rPr>
              <w:t>]</w:t>
            </w:r>
          </w:p>
        </w:tc>
      </w:tr>
      <w:tr>
        <w:trPr/>
        <w:tc>
          <w:tcPr>
            <w:tcW w:w="27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97"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97"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82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t>
            </w:r>
            <w:r>
              <w:rPr>
                <w:rFonts w:ascii="Times New Roman" w:hAnsi="Times New Roman"/>
                <w:color w:val="000000"/>
                <w:sz w:val="24"/>
              </w:rPr>
              <w:t>PLEASE PRINT OR TYPE NAME AND ADDRESS, INCLUDING ZIP CODE, OF ASSIGNEE</w:t>
            </w:r>
            <w:r>
              <w:rPr>
                <w:rFonts w:ascii="Times New Roman" w:hAnsi="Times New Roman"/>
                <w:b/>
                <w:color w:val="000000"/>
                <w:sz w:val="24"/>
              </w:rPr>
              <w:t>]</w:t>
            </w:r>
          </w:p>
        </w:tc>
        <w:tc>
          <w:tcPr>
            <w:tcW w:w="2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the within Note and all rights thereunder, hereby irrevocably constituting and appointing </w:t>
        <w:br/>
        <w:t>attorney to transfer such Note on the books of the Company, with full power of substitution in the premises.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Dated: _______________________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NOTICE: The signature to this assignment must correspond with the name as written upon the face of the within Note in every particular without alteration or enlargement or any change whatsoever.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PROVISION TO BE INCLUDED ON ALL CERTIFICATES BEARING A RESTRICTED LEGEND]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In connection with any transfer of this Note occurring prior to </w:t>
        <w:br/>
        <w:t>___________________________, the undersigned confirms that such transfer is made without utilizing any general solicitation or general advertising and further as follows:</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Check One</w:t>
      </w:r>
    </w:p>
    <w:p>
      <w:pPr>
        <w:pStyle w:val="TextBody"/>
        <w:bidi w:val="0"/>
        <w:spacing w:before="240" w:after="283"/>
        <w:jc w:val="left"/>
        <w:rPr/>
      </w:pPr>
      <w:r>
        <w:rPr>
          <w:color w:val="000000"/>
        </w:rPr>
        <w:t xml:space="preserve">☐ </w:t>
      </w:r>
      <w:r>
        <w:rPr>
          <w:rFonts w:ascii="Times New Roman" w:hAnsi="Times New Roman"/>
          <w:color w:val="000000"/>
          <w:sz w:val="24"/>
        </w:rPr>
        <w:t>(1) This Note is being transferred to a “qualified institutional buyer” in compliance with Rule 144A under the Securities Act of 1933, as amended and certification in the form of Exhibit E to the Indenture is being furnished herewith.</w:t>
      </w:r>
    </w:p>
    <w:p>
      <w:pPr>
        <w:pStyle w:val="TextBody"/>
        <w:bidi w:val="0"/>
        <w:spacing w:before="240" w:after="283"/>
        <w:jc w:val="left"/>
        <w:rPr/>
      </w:pPr>
      <w:r>
        <w:rPr>
          <w:color w:val="000000"/>
        </w:rPr>
        <w:t xml:space="preserve">☐ </w:t>
      </w:r>
      <w:r>
        <w:rPr>
          <w:rFonts w:ascii="Times New Roman" w:hAnsi="Times New Roman"/>
          <w:color w:val="000000"/>
          <w:sz w:val="24"/>
        </w:rPr>
        <w:t>(2) This Note is being transferred to a Non-U.S. Person in compliance with the exemption from registration under the Securities Act of 1933, as amended, provided by Regulation S thereunder, and certification in the form of Exhibit D to the Indenture is being furnished herewith.</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or</w:t>
      </w:r>
    </w:p>
    <w:p>
      <w:pPr>
        <w:pStyle w:val="TextBody"/>
        <w:bidi w:val="0"/>
        <w:spacing w:before="240" w:after="283"/>
        <w:jc w:val="left"/>
        <w:rPr/>
      </w:pPr>
      <w:r>
        <w:rPr>
          <w:color w:val="000000"/>
        </w:rPr>
        <w:t xml:space="preserve">☐ </w:t>
      </w:r>
      <w:r>
        <w:rPr>
          <w:rFonts w:ascii="Times New Roman" w:hAnsi="Times New Roman"/>
          <w:color w:val="000000"/>
          <w:sz w:val="24"/>
        </w:rPr>
        <w:t>(3) This Note is being transferred other than in accordance with (1) or (2) above and documents are being furnished which comply with the conditions of transfer set forth in this Note and the Indenture.</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If none of the foregoing boxes is checked, the Trustee is not obligated to register this Note in the name of any Person other than the Holder hereof unless and until the conditions to any such transfer of registration set forth herein and in the Indenture have been satisfied.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Date: _________________</w:t>
      </w:r>
    </w:p>
    <w:p>
      <w:pPr>
        <w:pStyle w:val="TextBody"/>
        <w:bidi w:val="0"/>
        <w:spacing w:before="240" w:after="283"/>
        <w:jc w:val="left"/>
        <w:rPr/>
      </w:pPr>
      <w:r>
        <w:rPr/>
        <w:t> </w:t>
      </w:r>
    </w:p>
    <w:p>
      <w:pPr>
        <w:pStyle w:val="TextBody"/>
        <w:bidi w:val="0"/>
        <w:jc w:val="left"/>
        <w:rPr/>
      </w:pPr>
      <w:r>
        <w:rPr/>
        <w:t> </w:t>
      </w:r>
    </w:p>
    <w:tbl>
      <w:tblPr>
        <w:tblW w:w="852" w:type="dxa"/>
        <w:jc w:val="left"/>
        <w:tblInd w:w="0" w:type="dxa"/>
        <w:tblLayout w:type="fixed"/>
        <w:tblCellMar>
          <w:top w:w="28" w:type="dxa"/>
          <w:left w:w="28" w:type="dxa"/>
          <w:bottom w:w="28" w:type="dxa"/>
          <w:right w:w="28" w:type="dxa"/>
        </w:tblCellMar>
      </w:tblPr>
      <w:tblGrid>
        <w:gridCol w:w="661"/>
        <w:gridCol w:w="191"/>
      </w:tblGrid>
      <w:tr>
        <w:trPr/>
        <w:tc>
          <w:tcPr>
            <w:tcW w:w="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657" w:type="dxa"/>
        <w:jc w:val="left"/>
        <w:tblInd w:w="0" w:type="dxa"/>
        <w:tblLayout w:type="fixed"/>
        <w:tblCellMar>
          <w:top w:w="28" w:type="dxa"/>
          <w:left w:w="28" w:type="dxa"/>
          <w:bottom w:w="28" w:type="dxa"/>
          <w:right w:w="28" w:type="dxa"/>
        </w:tblCellMar>
      </w:tblPr>
      <w:tblGrid>
        <w:gridCol w:w="466"/>
        <w:gridCol w:w="191"/>
      </w:tblGrid>
      <w:tr>
        <w:trPr/>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NOTICE: The signature to this assignment must correspond with the name as written upon the face of the within-mentioned instrument in every particular, without alteration or any change whatsoever.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lineRule="auto" w:line="360"/>
        <w:jc w:val="left"/>
        <w:rPr>
          <w:rFonts w:ascii="Times New Roman" w:hAnsi="Times New Roman"/>
          <w:sz w:val="24"/>
        </w:rPr>
      </w:pPr>
      <w:r>
        <w:rPr>
          <w:rFonts w:ascii="Times New Roman" w:hAnsi="Times New Roman"/>
          <w:color w:val="000000"/>
          <w:sz w:val="24"/>
        </w:rPr>
        <w:t>Signature Guarantee:</w:t>
      </w:r>
      <w:r>
        <w:rPr>
          <w:rFonts w:ascii="Times New Roman" w:hAnsi="Times New Roman"/>
          <w:color w:val="000000"/>
          <w:sz w:val="16"/>
        </w:rPr>
        <w:t>6</w:t>
      </w:r>
    </w:p>
    <w:tbl>
      <w:tblPr>
        <w:tblW w:w="4292" w:type="dxa"/>
        <w:jc w:val="left"/>
        <w:tblInd w:w="0" w:type="dxa"/>
        <w:tblLayout w:type="fixed"/>
        <w:tblCellMar>
          <w:top w:w="28" w:type="dxa"/>
          <w:left w:w="28" w:type="dxa"/>
          <w:bottom w:w="28" w:type="dxa"/>
          <w:right w:w="28" w:type="dxa"/>
        </w:tblCellMar>
      </w:tblPr>
      <w:tblGrid>
        <w:gridCol w:w="466"/>
        <w:gridCol w:w="3826"/>
      </w:tblGrid>
      <w:tr>
        <w:trPr/>
        <w:tc>
          <w:tcPr>
            <w:tcW w:w="46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 be executed by an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4"/>
        </w:rPr>
      </w:pPr>
      <w:r>
        <w:rPr>
          <w:rFonts w:ascii="Times New Roman" w:hAnsi="Times New Roman"/>
          <w:color w:val="000000"/>
          <w:sz w:val="16"/>
        </w:rPr>
        <w:t>6</w:t>
      </w:r>
      <w:r>
        <w:rPr>
          <w:rFonts w:ascii="Times New Roman" w:hAnsi="Times New Roman"/>
          <w:color w:val="000000"/>
          <w:sz w:val="24"/>
        </w:rPr>
        <w:t xml:space="preserve"> Signatures must be guaranteed by an “</w:t>
      </w:r>
      <w:r>
        <w:rPr>
          <w:rFonts w:ascii="Times New Roman" w:hAnsi="Times New Roman"/>
          <w:b/>
          <w:color w:val="000000"/>
          <w:sz w:val="24"/>
        </w:rPr>
        <w:t>eligible guarantor institution</w:t>
      </w:r>
      <w:r>
        <w:rPr>
          <w:rFonts w:ascii="Times New Roman" w:hAnsi="Times New Roman"/>
          <w:color w:val="000000"/>
          <w:sz w:val="24"/>
        </w:rPr>
        <w:t>” meeting the requirements of the Trustee, which requirements include membership or participation in the Securities Transfer Association Medallion Program (“</w:t>
      </w:r>
      <w:r>
        <w:rPr>
          <w:rFonts w:ascii="Times New Roman" w:hAnsi="Times New Roman"/>
          <w:b/>
          <w:color w:val="000000"/>
          <w:sz w:val="24"/>
        </w:rPr>
        <w:t>STAMP</w:t>
      </w:r>
      <w:r>
        <w:rPr>
          <w:rFonts w:ascii="Times New Roman" w:hAnsi="Times New Roman"/>
          <w:color w:val="000000"/>
          <w:sz w:val="24"/>
        </w:rPr>
        <w:t>”) or such other “</w:t>
      </w:r>
      <w:r>
        <w:rPr>
          <w:rFonts w:ascii="Times New Roman" w:hAnsi="Times New Roman"/>
          <w:b/>
          <w:color w:val="000000"/>
          <w:sz w:val="24"/>
        </w:rPr>
        <w:t>signature guarantee program</w:t>
      </w:r>
      <w:r>
        <w:rPr>
          <w:rFonts w:ascii="Times New Roman" w:hAnsi="Times New Roman"/>
          <w:color w:val="000000"/>
          <w:sz w:val="24"/>
        </w:rPr>
        <w:t>” as may be determined by the Trustee in addition to, or in substitution for, STAMP, all in accordance with the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jc w:val="right"/>
        <w:rPr/>
      </w:pPr>
      <w:r>
        <w:rP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Restricted Securities Legend</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NOTE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REPRESENTS THAT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(X) IT AND ANY ACCOUNT FOR WHICH IT IS ACTING IS A “QUALIFIED INSTITUTIONAL BUYER” (WITHIN THE MEANING OF RULE 144A UNDER THE SECURITIES ACT) AND IT EXERCISES SOLE INVESTMENT DISCRETION WITH RESPECT TO EACH SUCH ACCOUNT,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 IT IS NOT A “U.S. PERSON” AND IS OUTSIDE THE UNITED STATES (WITHIN THE MEANING OF REGULATION S UNDER THE SECURITIES ACT)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IT IS IN CANADA, SUCH ACQUIRER IS AN ACCREDITED INVESTOR, AS DEFINED IN NATIONAL INSTRUMENT 45-106 PROSPECTUS EXEMPTIONS OR SUBSECTION 73.3(1) OF THE SECURITIES ACT (ONTARIO), IS A PERMITTED CLIENT AS DEFINED IN NATIONAL INSTRUMENT 31-103 REGISTRATION REQUIREMENTS, EXEMPTIONS AND ONGOING REGISTRANT OBLIGATIONS, IS NOT AN INDIVIDUAL, AND HAS COMPLETED, SIGNED AND SUBMITTED TO THE EXCHANGE AGENT A CANADIAN ELIGIBILITY CERTIFICATION IN THE FORM PROVIDED BY VYLOR INC. (“VYLOR”);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AGREES FOR THE BENEFIT OF VYLOR THAT IT WILL NOT OFFER, SELL, PLEDGE OR OTHERWISE TRANSFER THIS NOTE OR ANY BENEFICIAL INTEREST HEREIN, EXCEPT IN ACCORDANCE WITH THE SECURITIES ACT AND ANY APPLICABLE SECURITIES LAWS OF ANY STATE OF THE UNITED STATES AND ONLY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VYLOR,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PURSUANT TO A REGISTRATION STATEMENT WHICH HAS BECOME EFFECTIVE UNDER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A QUALIFIED INSTITUTIONAL BUYER IN COMPLIANCE WITH RULE 144A UNDER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IN AN OFFSHORE TRANSACTION IN COMPLIANCE WITH RULE 904 OF REGULATION S UNDER THE SECURITIES ACT,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PURSUANT TO AN EXEMPTION FROM REGISTRATION PROVIDED BY RULE 144 UNDER THE SECURITIES ACT OR ANY OTHER AVAILABLE EXEMPTION FROM THE REGISTRATION REQUIREMENTS OF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THE REGISTRATION OF ANY TRANSFER IN ACCORDANCE WITH (2)(C) ABOVE OR (2)(D) ABOVE, A DULY COMPLETED AND SIGNED CERTIFICATE (THE FORM OF WHICH MAY BE OBTAINED FROM THE TRUSTEE) MUST BE DELIVERED TO THE TRUSTEE. PRIOR TO THE REGISTRATION OF ANY TRANSFER IN ACCORDANCE WITH (2)(E) ABOVE, VYLOR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Regulation S Certificate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1"/>
        <w:gridCol w:w="146"/>
        <w:gridCol w:w="9648"/>
      </w:tblGrid>
      <w:tr>
        <w:trPr/>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8" w:type="dxa"/>
            <w:tcBorders/>
            <w:vAlign w:val="center"/>
          </w:tcPr>
          <w:p>
            <w:pPr>
              <w:pStyle w:val="TableContents"/>
              <w:bidi w:val="0"/>
              <w:spacing w:before="0" w:after="283"/>
              <w:jc w:val="left"/>
              <w:rPr>
                <w:sz w:val="4"/>
                <w:szCs w:val="4"/>
              </w:rPr>
            </w:pPr>
            <w:r>
              <w:rPr>
                <w:sz w:val="4"/>
                <w:szCs w:val="4"/>
              </w:rPr>
            </w:r>
          </w:p>
        </w:tc>
      </w:tr>
      <w:tr>
        <w:trPr/>
        <w:tc>
          <w:tcPr>
            <w:tcW w:w="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U.S. Bank Trust Company, National Association, as Trustee (the “</w:t>
            </w:r>
            <w:r>
              <w:rPr>
                <w:rFonts w:ascii="Times New Roman" w:hAnsi="Times New Roman"/>
                <w:b/>
                <w:color w:val="000000"/>
                <w:sz w:val="24"/>
              </w:rPr>
              <w:t>Trustee</w:t>
            </w:r>
            <w:r>
              <w:rPr>
                <w:rFonts w:ascii="Times New Roman" w:hAnsi="Times New Roman"/>
                <w:color w:val="000000"/>
                <w:sz w:val="24"/>
              </w:rPr>
              <w:t>”)</w:t>
            </w:r>
          </w:p>
        </w:tc>
      </w:tr>
      <w:tr>
        <w:trPr/>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8"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4"/>
              </w:rPr>
            </w:pPr>
            <w:r>
              <w:rPr>
                <w:rFonts w:ascii="Times New Roman" w:hAnsi="Times New Roman"/>
                <w:color w:val="000000"/>
                <w:sz w:val="24"/>
              </w:rPr>
              <w:t>Attention: [●]</w:t>
            </w:r>
            <w:r>
              <w:rPr>
                <w:rFonts w:ascii="Times New Roman" w:hAnsi="Times New Roman"/>
                <w:color w:val="000000"/>
                <w:sz w:val="16"/>
              </w:rPr>
              <w:t>7</w:t>
            </w:r>
          </w:p>
        </w:tc>
      </w:tr>
      <w:tr>
        <w:trPr/>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___% Senior Notes due ___ (the “</w:t>
            </w:r>
            <w:r>
              <w:rPr>
                <w:rFonts w:ascii="Times New Roman" w:hAnsi="Times New Roman"/>
                <w:b/>
                <w:color w:val="000000"/>
                <w:sz w:val="24"/>
              </w:rPr>
              <w:t>Notes</w:t>
            </w:r>
            <w:r>
              <w:rPr>
                <w:rFonts w:ascii="Times New Roman" w:hAnsi="Times New Roman"/>
                <w:color w:val="000000"/>
                <w:sz w:val="24"/>
              </w:rPr>
              <w:t>”) issued under the Indenture dated as of August 31, 2026 between Vylor Inc. (the “</w:t>
            </w:r>
            <w:r>
              <w:rPr>
                <w:rFonts w:ascii="Times New Roman" w:hAnsi="Times New Roman"/>
                <w:b/>
                <w:color w:val="000000"/>
                <w:sz w:val="24"/>
              </w:rPr>
              <w:t>Company</w:t>
            </w:r>
            <w:r>
              <w:rPr>
                <w:rFonts w:ascii="Times New Roman" w:hAnsi="Times New Roman"/>
                <w:color w:val="000000"/>
                <w:sz w:val="24"/>
              </w:rPr>
              <w:t>”) and the Trustee, as supplemented by the First Supplemental Indenture thereto dated as of August 31, 2026 (together, the “</w:t>
            </w:r>
            <w:r>
              <w:rPr>
                <w:rFonts w:ascii="Times New Roman" w:hAnsi="Times New Roman"/>
                <w:b/>
                <w:color w:val="000000"/>
                <w:sz w:val="24"/>
              </w:rPr>
              <w:t>Indenture</w:t>
            </w:r>
            <w:r>
              <w:rPr>
                <w:rFonts w:ascii="Times New Roman" w:hAnsi="Times New Roman"/>
                <w:color w:val="000000"/>
                <w:sz w:val="24"/>
              </w:rPr>
              <w:t>”)</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40" w:after="283"/>
        <w:jc w:val="left"/>
        <w:rPr>
          <w:rFonts w:ascii="Times New Roman" w:hAnsi="Times New Roman"/>
          <w:sz w:val="24"/>
        </w:rPr>
      </w:pPr>
      <w:r>
        <w:rPr>
          <w:rFonts w:ascii="Times New Roman" w:hAnsi="Times New Roman"/>
          <w:color w:val="000000"/>
          <w:sz w:val="24"/>
        </w:rPr>
        <w:t>Terms are used in this Certificate as used in Regulation S (“</w:t>
      </w:r>
      <w:r>
        <w:rPr>
          <w:rFonts w:ascii="Times New Roman" w:hAnsi="Times New Roman"/>
          <w:b/>
          <w:color w:val="000000"/>
          <w:sz w:val="24"/>
        </w:rPr>
        <w:t>Regulation S</w:t>
      </w:r>
      <w:r>
        <w:rPr>
          <w:rFonts w:ascii="Times New Roman" w:hAnsi="Times New Roman"/>
          <w:color w:val="000000"/>
          <w:sz w:val="24"/>
        </w:rPr>
        <w:t>”) under the Securities Act of 1933, as amended (the “</w:t>
      </w:r>
      <w:r>
        <w:rPr>
          <w:rFonts w:ascii="Times New Roman" w:hAnsi="Times New Roman"/>
          <w:b/>
          <w:color w:val="000000"/>
          <w:sz w:val="24"/>
        </w:rPr>
        <w:t>Securities Act</w:t>
      </w:r>
      <w:r>
        <w:rPr>
          <w:rFonts w:ascii="Times New Roman" w:hAnsi="Times New Roman"/>
          <w:color w:val="000000"/>
          <w:sz w:val="24"/>
        </w:rPr>
        <w:t>”), except as otherwise stated herein.</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[CHECK A OR B AS APPLICABLE.]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
        <w:gridCol w:w="9701"/>
      </w:tblGrid>
      <w:tr>
        <w:trPr/>
        <w:tc>
          <w:tcPr>
            <w:tcW w:w="504" w:type="dxa"/>
            <w:tcBorders/>
            <w:vAlign w:val="center"/>
          </w:tcPr>
          <w:p>
            <w:pPr>
              <w:pStyle w:val="TableContents"/>
              <w:bidi w:val="0"/>
              <w:spacing w:before="0" w:after="283"/>
              <w:jc w:val="left"/>
              <w:rPr>
                <w:sz w:val="4"/>
                <w:szCs w:val="4"/>
              </w:rPr>
            </w:pPr>
            <w:r>
              <w:rPr>
                <w:sz w:val="4"/>
                <w:szCs w:val="4"/>
              </w:rPr>
            </w:r>
          </w:p>
        </w:tc>
        <w:tc>
          <w:tcPr>
            <w:tcW w:w="9701" w:type="dxa"/>
            <w:tcBorders/>
            <w:vAlign w:val="center"/>
          </w:tcPr>
          <w:p>
            <w:pPr>
              <w:pStyle w:val="TableContents"/>
              <w:bidi w:val="0"/>
              <w:spacing w:before="0" w:after="283"/>
              <w:jc w:val="left"/>
              <w:rPr>
                <w:sz w:val="4"/>
                <w:szCs w:val="4"/>
              </w:rPr>
            </w:pPr>
            <w:r>
              <w:rPr>
                <w:sz w:val="4"/>
                <w:szCs w:val="4"/>
              </w:rPr>
            </w:r>
          </w:p>
        </w:tc>
      </w:tr>
      <w:tr>
        <w:trPr/>
        <w:tc>
          <w:tcPr>
            <w:tcW w:w="50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4"/>
              </w:rPr>
              <w:t>A.</w:t>
            </w:r>
          </w:p>
        </w:tc>
        <w:tc>
          <w:tcPr>
            <w:tcW w:w="97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This Certificate relates to our proposed transfer of $____ principal amount of Notes issued under the Indenture. We hereby certify as follows:</w:t>
            </w:r>
          </w:p>
        </w:tc>
      </w:tr>
    </w:tbl>
    <w:p>
      <w:pPr>
        <w:pStyle w:val="TextBody"/>
        <w:bidi w:val="0"/>
        <w:spacing w:before="0" w:after="12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sz w:val="24"/>
        </w:rPr>
      </w:pPr>
      <w:r>
        <w:rPr>
          <w:rFonts w:ascii="Times New Roman" w:hAnsi="Times New Roman"/>
          <w:color w:val="000000"/>
          <w:sz w:val="24"/>
        </w:rPr>
        <w:t>The offer and sale of the Notes was not and will not be made to a person in the United States (unless such person is excluded from the definition of “</w:t>
      </w:r>
      <w:r>
        <w:rPr>
          <w:rFonts w:ascii="Times New Roman" w:hAnsi="Times New Roman"/>
          <w:b/>
          <w:color w:val="000000"/>
          <w:sz w:val="24"/>
        </w:rPr>
        <w:t>U.S. person</w:t>
      </w:r>
      <w:r>
        <w:rPr>
          <w:rFonts w:ascii="Times New Roman" w:hAnsi="Times New Roman"/>
          <w:color w:val="000000"/>
          <w:sz w:val="24"/>
        </w:rPr>
        <w:t>” pursuant to Rule 902(k)(2)(vi) or the account held by it for which it is acting is excluded from the definition of “</w:t>
      </w:r>
      <w:r>
        <w:rPr>
          <w:rFonts w:ascii="Times New Roman" w:hAnsi="Times New Roman"/>
          <w:b/>
          <w:color w:val="000000"/>
          <w:sz w:val="24"/>
        </w:rPr>
        <w:t>U.S. person</w:t>
      </w:r>
      <w:r>
        <w:rPr>
          <w:rFonts w:ascii="Times New Roman" w:hAnsi="Times New Roman"/>
          <w:color w:val="000000"/>
          <w:sz w:val="24"/>
        </w:rPr>
        <w:t>” pursuant to Rule 902(k)(2)(i) under the circumstances described in Rule 902(h)(3)) and such offer and sale was not and will not be specifically targeted at an identifiable group of U.S. citizens abroad.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Unless the circumstances described in the parenthetical in paragraph 1 above are applicable, either (a) at the time the buy order was originated, the buyer was outside the United States or we and any person acting on our behalf reasonably believed that the buyer was outside the United States or (b) the transaction was executed in, on or through the facilities of a designated offshore securities market, and neither we nor any person acting on our behalf knows that the transaction was pre-arranged with a buyer in the United States.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Neither we, any of our affiliates, nor any person acting on our or their behalf has made any directed selling efforts in the United States with respect to the Notes.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proposed transfer of Notes is not part of a plan or scheme to evade the registration requirements of the Securities Act.</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4"/>
        </w:rPr>
      </w:pPr>
      <w:r>
        <w:rPr>
          <w:rFonts w:ascii="Times New Roman" w:hAnsi="Times New Roman"/>
          <w:color w:val="000000"/>
          <w:sz w:val="16"/>
        </w:rPr>
        <w:t>7</w:t>
      </w:r>
      <w:r>
        <w:rPr>
          <w:rFonts w:ascii="Times New Roman" w:hAnsi="Times New Roman"/>
          <w:color w:val="000000"/>
          <w:sz w:val="24"/>
        </w:rPr>
        <w:t xml:space="preserve"> NTD: To be updated with Trustee’s address.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we are a dealer or a person receiving a selling concession, fee or other remuneration in respect of the Notes, and the proposed transfer takes place during the Restricted Period (as defined in the Indenture), or we are an officer or director of the Company or an Initial Purchaser (as defined in the Indenture), we certify that the proposed transfer is being made in accordance with the provisions of Rule 904(b) of Regulation 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
        <w:gridCol w:w="9761"/>
      </w:tblGrid>
      <w:tr>
        <w:trPr/>
        <w:tc>
          <w:tcPr>
            <w:tcW w:w="444" w:type="dxa"/>
            <w:tcBorders/>
            <w:vAlign w:val="center"/>
          </w:tcPr>
          <w:p>
            <w:pPr>
              <w:pStyle w:val="TableContents"/>
              <w:bidi w:val="0"/>
              <w:spacing w:before="0" w:after="283"/>
              <w:jc w:val="left"/>
              <w:rPr>
                <w:sz w:val="4"/>
                <w:szCs w:val="4"/>
              </w:rPr>
            </w:pPr>
            <w:r>
              <w:rPr>
                <w:sz w:val="4"/>
                <w:szCs w:val="4"/>
              </w:rPr>
            </w:r>
          </w:p>
        </w:tc>
        <w:tc>
          <w:tcPr>
            <w:tcW w:w="9761" w:type="dxa"/>
            <w:tcBorders/>
            <w:vAlign w:val="center"/>
          </w:tcPr>
          <w:p>
            <w:pPr>
              <w:pStyle w:val="TableContents"/>
              <w:bidi w:val="0"/>
              <w:spacing w:before="0" w:after="283"/>
              <w:jc w:val="left"/>
              <w:rPr>
                <w:sz w:val="4"/>
                <w:szCs w:val="4"/>
              </w:rPr>
            </w:pPr>
            <w:r>
              <w:rPr>
                <w:sz w:val="4"/>
                <w:szCs w:val="4"/>
              </w:rPr>
            </w:r>
          </w:p>
        </w:tc>
      </w:tr>
      <w:tr>
        <w:trPr/>
        <w:tc>
          <w:tcPr>
            <w:tcW w:w="44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4"/>
              </w:rPr>
              <w:t>B.</w:t>
            </w:r>
          </w:p>
        </w:tc>
        <w:tc>
          <w:tcPr>
            <w:tcW w:w="9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This Certificate relates to our proposed exchange of $____ principal amount of Notes issued under the Indenture for an equal principal amount of Notes to be held by us. We hereby certify as follows:</w:t>
            </w:r>
          </w:p>
        </w:tc>
      </w:tr>
    </w:tbl>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sz w:val="24"/>
        </w:rPr>
      </w:pPr>
      <w:r>
        <w:rPr>
          <w:rFonts w:ascii="Times New Roman" w:hAnsi="Times New Roman"/>
          <w:color w:val="000000"/>
          <w:sz w:val="24"/>
        </w:rPr>
        <w:t>At the time the offer and sale of the Notes was made to us, either (i) we were not in the United States or (ii) we were excluded from the definition of “</w:t>
      </w:r>
      <w:r>
        <w:rPr>
          <w:rFonts w:ascii="Times New Roman" w:hAnsi="Times New Roman"/>
          <w:b/>
          <w:color w:val="000000"/>
          <w:sz w:val="24"/>
        </w:rPr>
        <w:t>U.S. person</w:t>
      </w:r>
      <w:r>
        <w:rPr>
          <w:rFonts w:ascii="Times New Roman" w:hAnsi="Times New Roman"/>
          <w:color w:val="000000"/>
          <w:sz w:val="24"/>
        </w:rPr>
        <w:t>” pursuant to Rule 902(k)(2)(vi) or the account held by us for which we were acting was excluded from the definition of “</w:t>
      </w:r>
      <w:r>
        <w:rPr>
          <w:rFonts w:ascii="Times New Roman" w:hAnsi="Times New Roman"/>
          <w:b/>
          <w:color w:val="000000"/>
          <w:sz w:val="24"/>
        </w:rPr>
        <w:t>U.S. person</w:t>
      </w:r>
      <w:r>
        <w:rPr>
          <w:rFonts w:ascii="Times New Roman" w:hAnsi="Times New Roman"/>
          <w:color w:val="000000"/>
          <w:sz w:val="24"/>
        </w:rPr>
        <w:t>” pursuant to Rule 902(k)(2)(i) under the circumstances described in Rule 902(h)(3); and we were not a member of an identifiable group of U.S. citizens abroad.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Unless the circumstances described in paragraph 1(ii) above are applicable, either (a) at the time our buy order was originated, we were outside the United States or (b) the transaction was executed in, on or through the facilities of a designated offshore securities market and we did not pre-arrange the transaction in the United States.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proposed exchange of Notes is not part of a plan or scheme to evade the registration requirements of the Securities Act.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You and the Company are entitled to rely upon this Certificate and are irrevocably authorized to produce this Certificate or a copy hereof to any interested party in any administrative or legal proceeding or official inquiry with respect to the matters covered hereby.</w:t>
      </w:r>
    </w:p>
    <w:p>
      <w:pPr>
        <w:pStyle w:val="TextBody"/>
        <w:bidi w:val="0"/>
        <w:spacing w:before="120" w:after="283"/>
        <w:jc w:val="left"/>
        <w:rPr/>
      </w:pPr>
      <w:r>
        <w:rPr/>
        <w:t> </w:t>
      </w:r>
    </w:p>
    <w:tbl>
      <w:tblPr>
        <w:tblW w:w="8130" w:type="dxa"/>
        <w:jc w:val="left"/>
        <w:tblInd w:w="0" w:type="dxa"/>
        <w:tblLayout w:type="fixed"/>
        <w:tblCellMar>
          <w:top w:w="28" w:type="dxa"/>
          <w:left w:w="28" w:type="dxa"/>
          <w:bottom w:w="28" w:type="dxa"/>
          <w:right w:w="28" w:type="dxa"/>
        </w:tblCellMar>
      </w:tblPr>
      <w:tblGrid>
        <w:gridCol w:w="3555"/>
        <w:gridCol w:w="830"/>
        <w:gridCol w:w="3745"/>
      </w:tblGrid>
      <w:tr>
        <w:trPr/>
        <w:tc>
          <w:tcPr>
            <w:tcW w:w="355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Very truly yours,</w:t>
            </w:r>
          </w:p>
        </w:tc>
      </w:tr>
      <w:tr>
        <w:trPr/>
        <w:tc>
          <w:tcPr>
            <w:tcW w:w="8130" w:type="dxa"/>
            <w:gridSpan w:val="3"/>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OF SELLER (FOR TRANSFERS) OR OWNER (FOR EXCHANGES)]</w:t>
            </w:r>
          </w:p>
        </w:tc>
      </w:tr>
      <w:tr>
        <w:trPr/>
        <w:tc>
          <w:tcPr>
            <w:tcW w:w="35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5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4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374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4"/>
        </w:rPr>
      </w:pPr>
      <w:r>
        <w:rPr>
          <w:rFonts w:ascii="Times New Roman" w:hAnsi="Times New Roman"/>
          <w:color w:val="000000"/>
          <w:sz w:val="24"/>
        </w:rPr>
        <w:t>Date:________________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right"/>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Rule 144A Certificate</w:t>
      </w:r>
    </w:p>
    <w:tbl>
      <w:tblPr>
        <w:tblW w:w="10205" w:type="dxa"/>
        <w:jc w:val="left"/>
        <w:tblInd w:w="0" w:type="dxa"/>
        <w:tblLayout w:type="fixed"/>
        <w:tblCellMar>
          <w:top w:w="28" w:type="dxa"/>
          <w:left w:w="28" w:type="dxa"/>
          <w:bottom w:w="28" w:type="dxa"/>
          <w:right w:w="28" w:type="dxa"/>
        </w:tblCellMar>
      </w:tblPr>
      <w:tblGrid>
        <w:gridCol w:w="1082"/>
        <w:gridCol w:w="866"/>
        <w:gridCol w:w="8257"/>
      </w:tblGrid>
      <w:tr>
        <w:trPr/>
        <w:tc>
          <w:tcPr>
            <w:tcW w:w="108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257" w:type="dxa"/>
            <w:tcBorders/>
            <w:vAlign w:val="center"/>
          </w:tcPr>
          <w:p>
            <w:pPr>
              <w:pStyle w:val="TableContents"/>
              <w:bidi w:val="0"/>
              <w:spacing w:before="0" w:after="283"/>
              <w:jc w:val="left"/>
              <w:rPr>
                <w:sz w:val="4"/>
                <w:szCs w:val="4"/>
              </w:rPr>
            </w:pPr>
            <w:r>
              <w:rPr>
                <w:sz w:val="4"/>
                <w:szCs w:val="4"/>
              </w:rPr>
            </w:r>
          </w:p>
        </w:tc>
      </w:tr>
      <w:tr>
        <w:trPr/>
        <w:tc>
          <w:tcPr>
            <w:tcW w:w="10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U.S. Bank Trust Company, National Association, as Trustee (the “</w:t>
            </w:r>
            <w:r>
              <w:rPr>
                <w:rFonts w:ascii="Times New Roman" w:hAnsi="Times New Roman"/>
                <w:b/>
                <w:color w:val="000000"/>
                <w:sz w:val="24"/>
              </w:rPr>
              <w:t>Trustee</w:t>
            </w:r>
            <w:r>
              <w:rPr>
                <w:rFonts w:ascii="Times New Roman" w:hAnsi="Times New Roman"/>
                <w:color w:val="000000"/>
                <w:sz w:val="24"/>
              </w:rPr>
              <w:t>”)</w:t>
            </w:r>
          </w:p>
        </w:tc>
      </w:tr>
      <w:tr>
        <w:trPr/>
        <w:tc>
          <w:tcPr>
            <w:tcW w:w="1082"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257"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4"/>
              </w:rPr>
            </w:pPr>
            <w:r>
              <w:rPr>
                <w:rFonts w:ascii="Times New Roman" w:hAnsi="Times New Roman"/>
                <w:color w:val="000000"/>
                <w:sz w:val="24"/>
              </w:rPr>
              <w:t>[●]</w:t>
            </w:r>
          </w:p>
        </w:tc>
      </w:tr>
      <w:tr>
        <w:trPr/>
        <w:tc>
          <w:tcPr>
            <w:tcW w:w="1082"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257" w:type="dxa"/>
            <w:tcBorders/>
            <w:tcMar>
              <w:top w:w="0" w:type="dxa"/>
              <w:left w:w="0" w:type="dxa"/>
              <w:bottom w:w="0" w:type="dxa"/>
              <w:right w:w="0" w:type="dxa"/>
            </w:tcMar>
            <w:vAlign w:val="center"/>
          </w:tcPr>
          <w:p>
            <w:pPr>
              <w:pStyle w:val="TableContents"/>
              <w:bidi w:val="0"/>
              <w:spacing w:lineRule="auto" w:line="360" w:before="0" w:after="283"/>
              <w:ind w:left="0" w:right="0" w:firstLine="720"/>
              <w:jc w:val="left"/>
              <w:rPr>
                <w:rFonts w:ascii="Times New Roman" w:hAnsi="Times New Roman"/>
                <w:sz w:val="24"/>
              </w:rPr>
            </w:pPr>
            <w:r>
              <w:rPr>
                <w:rFonts w:ascii="Times New Roman" w:hAnsi="Times New Roman"/>
                <w:color w:val="000000"/>
                <w:sz w:val="24"/>
              </w:rPr>
              <w:t>Attention: [●]</w:t>
            </w:r>
            <w:r>
              <w:rPr>
                <w:rFonts w:ascii="Times New Roman" w:hAnsi="Times New Roman"/>
                <w:color w:val="000000"/>
                <w:sz w:val="16"/>
              </w:rPr>
              <w:t>8</w:t>
            </w:r>
          </w:p>
        </w:tc>
      </w:tr>
      <w:tr>
        <w:trPr/>
        <w:tc>
          <w:tcPr>
            <w:tcW w:w="1082"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257"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082"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Re:</w:t>
            </w:r>
          </w:p>
        </w:tc>
        <w:tc>
          <w:tcPr>
            <w:tcW w:w="8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____% Senior Notes due ___ (the “</w:t>
            </w:r>
            <w:r>
              <w:rPr>
                <w:rFonts w:ascii="Times New Roman" w:hAnsi="Times New Roman"/>
                <w:b/>
                <w:color w:val="000000"/>
                <w:sz w:val="24"/>
              </w:rPr>
              <w:t>Notes</w:t>
            </w:r>
            <w:r>
              <w:rPr>
                <w:rFonts w:ascii="Times New Roman" w:hAnsi="Times New Roman"/>
                <w:color w:val="000000"/>
                <w:sz w:val="24"/>
              </w:rPr>
              <w:t>”) issued under the Indenture dated as of August 31, 2026 between Vylor Inc. (the “</w:t>
            </w:r>
            <w:r>
              <w:rPr>
                <w:rFonts w:ascii="Times New Roman" w:hAnsi="Times New Roman"/>
                <w:b/>
                <w:color w:val="000000"/>
                <w:sz w:val="24"/>
              </w:rPr>
              <w:t>Company</w:t>
            </w:r>
            <w:r>
              <w:rPr>
                <w:rFonts w:ascii="Times New Roman" w:hAnsi="Times New Roman"/>
                <w:color w:val="000000"/>
                <w:sz w:val="24"/>
              </w:rPr>
              <w:t>”) and the Trustee, as supplemented by the First Supplemental Indenture thereto dated as of August 31, 2026 (together, the “</w:t>
            </w:r>
            <w:r>
              <w:rPr>
                <w:rFonts w:ascii="Times New Roman" w:hAnsi="Times New Roman"/>
                <w:b/>
                <w:color w:val="000000"/>
                <w:sz w:val="24"/>
              </w:rPr>
              <w:t>Indenture</w:t>
            </w:r>
            <w:r>
              <w:rPr>
                <w:rFonts w:ascii="Times New Roman" w:hAnsi="Times New Roman"/>
                <w:color w:val="000000"/>
                <w:sz w:val="24"/>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Certificate relates to:</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[CHECK A OR B AS APPLICABLE.]</w:t>
      </w:r>
    </w:p>
    <w:tbl>
      <w:tblPr>
        <w:tblW w:w="10205" w:type="dxa"/>
        <w:jc w:val="left"/>
        <w:tblInd w:w="0" w:type="dxa"/>
        <w:tblLayout w:type="fixed"/>
        <w:tblCellMar>
          <w:top w:w="28" w:type="dxa"/>
          <w:left w:w="28" w:type="dxa"/>
          <w:bottom w:w="28" w:type="dxa"/>
          <w:right w:w="28" w:type="dxa"/>
        </w:tblCellMar>
      </w:tblPr>
      <w:tblGrid>
        <w:gridCol w:w="161"/>
        <w:gridCol w:w="483"/>
        <w:gridCol w:w="9561"/>
      </w:tblGrid>
      <w:tr>
        <w:trPr/>
        <w:tc>
          <w:tcPr>
            <w:tcW w:w="1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4"/>
              </w:rPr>
              <w:t>A.</w:t>
            </w:r>
          </w:p>
        </w:tc>
        <w:tc>
          <w:tcPr>
            <w:tcW w:w="9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Our proposed purchase of $____ principal amount of Notes issued under the Indenture.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9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4"/>
              </w:rPr>
              <w:t>B.</w:t>
            </w:r>
          </w:p>
        </w:tc>
        <w:tc>
          <w:tcPr>
            <w:tcW w:w="9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Our proposed exchange of $____ principal amount of Notes issued under the Indenture for an equal principal amount of Notes to be held by us.</w:t>
            </w:r>
          </w:p>
        </w:tc>
      </w:tr>
    </w:tbl>
    <w:p>
      <w:pPr>
        <w:pStyle w:val="TextBody"/>
        <w:bidi w:val="0"/>
        <w:jc w:val="left"/>
        <w:rPr/>
      </w:pPr>
      <w:r>
        <w:rPr/>
        <w:t> </w:t>
      </w:r>
    </w:p>
    <w:p>
      <w:pPr>
        <w:pStyle w:val="TextBody"/>
        <w:bidi w:val="0"/>
        <w:spacing w:before="0" w:after="120"/>
        <w:jc w:val="left"/>
        <w:rPr>
          <w:rFonts w:ascii="Times New Roman" w:hAnsi="Times New Roman"/>
          <w:sz w:val="24"/>
        </w:rPr>
      </w:pPr>
      <w:r>
        <w:rPr>
          <w:rFonts w:ascii="Times New Roman" w:hAnsi="Times New Roman"/>
          <w:color w:val="000000"/>
          <w:sz w:val="24"/>
        </w:rPr>
        <w:t>We and, if applicable, each account for which we are acting in the aggregate owned and invested more than $100,000,000 in securities of issuers that are not affiliated with us (or such accounts, if applicable), as of __________, 20__, which is a date on or since close of our most recent fiscal year. We and, if applicable, each account for which we are acting, are a qualified institutional buyer within the meaning of Rule 144A (“</w:t>
      </w:r>
      <w:r>
        <w:rPr>
          <w:rFonts w:ascii="Times New Roman" w:hAnsi="Times New Roman"/>
          <w:b/>
          <w:color w:val="000000"/>
          <w:sz w:val="24"/>
        </w:rPr>
        <w:t>Rule 144A</w:t>
      </w:r>
      <w:r>
        <w:rPr>
          <w:rFonts w:ascii="Times New Roman" w:hAnsi="Times New Roman"/>
          <w:color w:val="000000"/>
          <w:sz w:val="24"/>
        </w:rPr>
        <w:t>”) under the Securities Act of 1933, as amended (the “</w:t>
      </w:r>
      <w:r>
        <w:rPr>
          <w:rFonts w:ascii="Times New Roman" w:hAnsi="Times New Roman"/>
          <w:b/>
          <w:color w:val="000000"/>
          <w:sz w:val="24"/>
        </w:rPr>
        <w:t>Securities Act</w:t>
      </w:r>
      <w:r>
        <w:rPr>
          <w:rFonts w:ascii="Times New Roman" w:hAnsi="Times New Roman"/>
          <w:color w:val="000000"/>
          <w:sz w:val="24"/>
        </w:rPr>
        <w:t>”). If we are acting on behalf of an account, we exercise sole investment discretion with respect to such account. We are aware that the transfer of Notes to us, or such exchange, as applicable, is being made in reliance upon the exemption from the provisions of Section 5 of the Securities Act provided by Rule 144A. Prior to the date of this Certificate we have received such information regarding the Company as we have requested pursuant to Rule 144A(d)(4) or have determined not to request such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You and the Company are entitled to rely upon this Certificate and are irrevocably authorized to produce this Certificate or a copy hereof to any interested party in any administrative or legal proceeding or official inquiry with respect to the matters covered hereby.</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Very truly yours,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60" w:before="0" w:after="120"/>
        <w:jc w:val="left"/>
        <w:rPr>
          <w:rFonts w:ascii="Times New Roman" w:hAnsi="Times New Roman"/>
          <w:sz w:val="24"/>
        </w:rPr>
      </w:pPr>
      <w:r>
        <w:rPr>
          <w:rFonts w:ascii="Times New Roman" w:hAnsi="Times New Roman"/>
          <w:color w:val="000000"/>
          <w:sz w:val="16"/>
        </w:rPr>
        <w:t>8</w:t>
      </w:r>
      <w:r>
        <w:rPr>
          <w:rFonts w:ascii="Times New Roman" w:hAnsi="Times New Roman"/>
          <w:color w:val="000000"/>
          <w:sz w:val="24"/>
        </w:rPr>
        <w:t xml:space="preserve"> NTD: To be updated with Trustee’s address.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2" w:name="ck0001755672-ex4_3.htm"/>
      <w:bookmarkStart w:id="13" w:name="ksck0001755672ex4_3"/>
      <w:bookmarkEnd w:id="12"/>
      <w:bookmarkEnd w:id="13"/>
      <w:r>
        <w:rPr>
          <w:rFonts w:ascii="Times New Roman" w:hAnsi="Times New Roman"/>
          <w:b/>
          <w:color w:val="000000"/>
          <w:sz w:val="24"/>
        </w:rPr>
        <w:t>Exhibit 4.3</w:t>
      </w:r>
      <w:r>
        <w:br w:type="page"/>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GUARANTEE AGREEMENT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BY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EIDP,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in favor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THE HOLDERS,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VYLOR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U.S. BANK TRUST COMPANY, NATIONAL ASSOCIATION,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as Trustee for the Holders of the Notes Specified Below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VYLOR INC.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$550,000,000 5.125% Senior Notes due 2031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$550,000,000 5.625% Senior Notes due 2036</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August 31,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GUARANTEE AGREEMENT, dated as of August 31, 2026 (as amended from time to time, this “Guarantee”), made by EIDP, Inc., a Delaware corporation (the “Guarantor”), in favor of (a) the Holders (as defined in the Indenture (as defined below)) of the following securities of Vylor Inc., a Delaware corporation (the “Issuer”): $550,000,000 aggregate principal amount of 5.125% Senior Notes due 2031 (the “2031 Notes”) and $550,000,000 aggregate principal amount of 5.625% Senior Notes due 2036 (the “2036 Notes” and, together with the 2031 Notes, the “Notes”), (b) the Issuer and (c) U.S. Bank Trust Company, National Association, as trustee (the “Trustee”) under the Indenture.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xml:space="preserve">WITNESSETH: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1. Guarantee.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Guarantor hereby irrevocably and unconditionally guarantees, as a primary obligor and not merely as a surety, to the Holders from time to time of the Notes the full and punctual payment of the principal of, premium, if any, and interest on each series of Notes, when and as the same become due and payable, whether at stated maturity, upon redemption, by declaration of acceleration or otherwise, as well as all other obligations of the Issuer to the Holders and the Trustee under the Indenture (as defined below) or the Notes and any other amounts due and owing under the Indenture (the “Obligations”), according to the terms of the Notes and as set forth in the Indenture dated as of August 31, 2026 (the “Base Indenture”), between the Issuer and the Trustee, as supplemented by the first supplemental indenture thereto, dated as of August 31, 2026 (the “First Supplemental Indenture,” and the Base Indenture and the First Supplemental Indenture, as each may be amended, modified or otherwise supplemented from time to time after the date hereof with applicability to the Notes, collectively, the “Indenture”), between the Issuer and the Trustee, and the Notes, in each case subject to any applicable grace period or notice requirement or both. The guarantee hereunder constitutes a guarantee of payment when due (whether or not any bankruptcy, insolvency, receivership or other similar proceeding shall have stayed the accrual or collection of any of the Obligations or operated as a discharge thereof) and not merely of collection.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2. Guarantee Absolute.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Guarantor guarantees that the Obligations will be paid strictly in accordance with the terms of the Indenture and the Notes, regardless of any law, regulation or order now or hereafter in effect in any jurisdiction affecting any of such terms or the rights of the Trustee and the Holders of the Notes with respect thereto. The liability of the Guarantor under this Guarantee shall (subject to Section 3 hereof) be absolute and unconditional irrespective 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any invalidity, illegality or unenforceability of the Indenture, the Notes or any other agreement or instrument relating thereto;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 any change in the time, manner or place of payment of, or in any other term of, all or any of the Obligations, or any other amendment or waiver of or any consent to departure from the Indenture; 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 any other circumstance which might otherwise constitute a defense available to, or a discharge of, the Issuer or a guarantor.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obligation of the Guarantor to make any payment hereunder may be satisfied by causing the Issuer to make such payment. The Guarantor indemnifies the Trustee, jointly and severally with the Issuer to the same extent as the Issuer’s indemnity for the Trustee in Section 11.01 of the Indenture, which is incorporated herein as if fully set forth herein. Notwithstanding anything contained herein to the contrary, nothing shall be construed to impose upon the Guarantor any obligations greater than, in addition to, or other than, the obligations of the Issuer under the Indenture and the Notes.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3. Termination of Guarantee.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Subject to Section 3(b) hereof, this Guarantee shall terminate, and the obligations of the Guarantor under this Guarantee shall cease to exist, with respect to a particular series of Notes, upon payment in full of the Obligations, including with respect to the exercise by Vylor of any mandatory redemption provision, with respect to all of such series of Notes.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 Unless earlier terminated pursuant to Section 3(a) hereof, this Guarantee shall automatically and unconditionally terminate, and all obligations of the Guarantor under this Guarantee shall cease to exist, upon the distribution by Corteva, Inc., as the parent of the Guarantor, to its stockholders of all of the shares of common stock of the Issuer. Upon the satisfaction of the conditions in the immediately preceding sentence, this Guarantee shall be deemed terminated, without any action on the part of the Trustee or any Holder of the Notes; provided, however, that upon delivery by the Issuer or the Guarantor to the Trustee of an officer’s certificate and opinion of counsel to the effect that such conditions have been satisfied, the Trustee shall execute any documents reasonably requested by the Issuer or the Guarantor to evidence such termination.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 Notwithstanding anything to the contrary herein, including Sections 3(a) and 3(b) hereof, the Guarantor shall remain liable for any and all obligations with respect to a particular series of Notes that have become due and payable by the Guarantor pursuant to this Guarantee prior to the effective date of termination of this Guarantee with respect to such series of Notes.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4. Waiver; Subrogation.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Notes or the indebtedness evidenced thereby and all demands whatsoever.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The Guarantor shall be subrogated to all rights of the Trustee or the Holders of any Notes against the Issuer in respect of any amounts paid to the Trustee or such Holder by the Guarantor pursuant to the provisions of this Guarantee; </w:t>
      </w:r>
      <w:r>
        <w:rPr>
          <w:rFonts w:ascii="Times New Roman" w:hAnsi="Times New Roman"/>
          <w:i/>
          <w:color w:val="000000"/>
          <w:sz w:val="24"/>
        </w:rPr>
        <w:t xml:space="preserve">provided, however, </w:t>
      </w:r>
      <w:r>
        <w:rPr>
          <w:rFonts w:ascii="Times New Roman" w:hAnsi="Times New Roman"/>
          <w:color w:val="000000"/>
          <w:sz w:val="24"/>
        </w:rPr>
        <w:t xml:space="preserve">that the Guarantor shall not be entitled to enforce, or to receive any payments arising out of, or based upon, such right of subrogation until all Obligations shall have been paid in full to the Trustee and the Holders.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5. No Waiver; Remedies.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 failure on the part of the Trustee or any Holder of any series of Notes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6. Transfer of Interest.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This Guarantee shall be binding upon the Guarantor, its successors and assigns, and shall inure to the benefit of and be enforceable by any Holder of Notes, the Trustee, and by their respective successors, transferees and assigns, pursuant to the terms hereof. This Guarantee shall not be deemed to create any right in, or to be in whole or in part for the benefit of any other person.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7. Governing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THIS GUARANTEE SHALL BE GOVERNED BY, AND CONSTRUED IN ACCORDANCE WITH THE LAWS OF THE STATE OF NEW YORK, WITHOUT REGARD TO ANY CONFLICT OF LAWS PROVISIONS THEREOF THAT WOULD RESULT IN THE APPLICATION OF THE LAWS OF ANY OTHER JURISDICTION.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EACH OF THE GUARANTOR AND THE TRUSTEE BY ITS ACCEPTANCE THEREOF, HEREBY IRREVOCABLY WAIVES, TO THE FULLEST EXTENT PERMITTED BY APPLICABLE LAW, ANY AND ALL RIGHT TO TRIAL BY JURY IN ANY LEGAL PROCEEDING ARISING OUT OF OR RELATING TO THIS GUARANTEE, THE NOTES OR THE TRANSACTIONS CONTEMPLATED THEREBY.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8. No Recourse Against Others.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director, officer, employee, stockholder, partner or other owner of the Guarantor, as such, shall not have any liability for any obligations of the Guarantor under this Guarantee or for any claim based on, in respect of or by reason of such obligations or their creation.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9. Separability.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case any provision in this Guarantee shall be invalid, illegal or unenforceable, the validity, legality and enforceability of the remaining provisions hereof shall not in any way be affected or impaired thereby, it being intended that all of the provisions hereof shall be enforceable to the full extent permitted by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10. Headings.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section headings of this Guarantee have been inserted for convenience of reference only, are not to be considered a part of this Guarantee and shall in no way modify or restrict any of the terms or provisions hereof.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11. Notices, Etc., to the Guarantor.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request, demand, authorization, direction, notice, consent, waiver or act of Holders or other document provided or permitted by this Guarantee to be made upon, given or furnished to, or filed with, the Guarantor by the Trustee or by any Holder shall be sufficient for every purpose hereunder (unless otherwise herein expressly provided) if in writing and mailed, first-class postage prepaid, to the Guarantor addressed to the address last furnished in writing to the Trustee by the Guarantor, or, if no such address has been furnished, to EIDP, Inc., 1000 N. West Street, Suite 900, Wilmington, Delaware 19801, Attention: Laurie Conslato, Vice President, Treasurer, email: laurie.conslato@corteva.com. Where this Guarantee provides for notice to the Trustee, such notice shall be sufficient for every purpose hereunder (unless otherwise herein expressly provided) if in writing and mailed by first-class mail, via facsimile, or by PDF attachment to electronic transmission to the Trustee at 333 Thornall St, Edison, NJ 08837, Attention: Global Corporate Trust – Vylor Administrator, email: mark.digiacomo@usbank.com.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Each party may, in its discretion, agree to accept notices and other communications delivered or furnished to it hereunder by electronic communication pursuant to procedures approved by them, respectively, provided that approval of such procedures may be limited to particular notices or communications. Any such notices and other communications furnished by electronic communication shall be in the form of attachments in .pdf format.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12. Counterparts.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This Guarantee may be executed in any number of counterparts, each of which so executed shall be deemed to be an original, but all such counterparts shall together constitute but one and the same instrument.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exchange of copies of this Guarantee and of signature pages by facsimile or PDF transmission shall constitute effective execution and delivery of this Guarantee as to the parties hereto and may be used in lieu of the original Guarantee and signature pages for all purposes. Any signature to this Guarantee may be delivered by facsimile, electronic mail (including “.pdf” or “.tif”) or any electronic signature complying with the U.S. Federal ESIGN Act of 2000 (the “ESIGN Act”) or the New York Electronic Signature and Records Act or other transmission method shall be valid and effective as delivery of a manually executed counterpart thereof for all purposes to the fullest extent permitted by applicable law; provided that notwithstanding anything herein to the contrary, the Trustee is under no obligation to agree to accept electronic signatures in any form or in any format unless expressly agreed to by the Trustee pursuant to procedures approved by the Trustee. For the avoidance of doubt, the foregoing also applies to any amendment hereto. Each of the parties represents and warrants to the other parties that it has the corporate capacity and authority to execute this Guarantee through electronic means and there are no restrictions for doing so in that party’s constitutive documents. Electronic signatures believed by the Trustee to comply with the ESIGN Act or other applicable law (including electronic images of handwritten signatures and digital signatures provided by DocuSign, Orbit, Adobe Sign or any other digital signature provider acceptable to the Trustee) shall be deemed original signatures for all purposes. Each of the Guarantor and the Issuer agree to assume all risks arising out of the use of such electronic signatures and electronic methods to submit instructions and directions to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Trustee, including, without limitation, the risk of the Trustee acting on unauthorized instructions, and the risk of interception and misuse by third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SECTION 13. Trustee Disclaimer.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Trustee makes no representation as to the validity, adequacy or sufficiency of this Guarantee. The recitals and statements herein are deemed to be those of the Guarantor and not the Trustee and the Trustee assumes no responsibility for the same and the Trustee does not make any representation with respect to such matters. The Trustee shall have all of the rights (including indemnification rights), powers, benefits, privileges, protections, indemnities, limitations on liability and immunities granted to the Trustee under the Indenture, all of which are incorporated herein mutatis mutandis. </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Pages Follow]</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IN WITNESS WHEREOF, the Guarantor has caused this Guarantee to be duly executed and delivered by its officer thereunto duly authorized as of the date first above written. </w:t>
      </w:r>
    </w:p>
    <w:p>
      <w:pPr>
        <w:pStyle w:val="TextBody"/>
        <w:bidi w:val="0"/>
        <w:jc w:val="left"/>
        <w:rPr/>
      </w:pPr>
      <w:r>
        <w:rPr/>
        <w:t> </w:t>
      </w:r>
    </w:p>
    <w:tbl>
      <w:tblPr>
        <w:tblW w:w="3853" w:type="dxa"/>
        <w:jc w:val="left"/>
        <w:tblInd w:w="0" w:type="dxa"/>
        <w:tblLayout w:type="fixed"/>
        <w:tblCellMar>
          <w:top w:w="28" w:type="dxa"/>
          <w:left w:w="28" w:type="dxa"/>
          <w:bottom w:w="28" w:type="dxa"/>
          <w:right w:w="28" w:type="dxa"/>
        </w:tblCellMar>
      </w:tblPr>
      <w:tblGrid>
        <w:gridCol w:w="161"/>
        <w:gridCol w:w="796"/>
        <w:gridCol w:w="2896"/>
      </w:tblGrid>
      <w:tr>
        <w:trPr/>
        <w:tc>
          <w:tcPr>
            <w:tcW w:w="16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EIDP, Inc., as Guarantor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Laurie A. Conslato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Laurie A. Conslato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 and Treasurer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Guarantee Agreement</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193" w:type="dxa"/>
        <w:jc w:val="left"/>
        <w:tblInd w:w="0" w:type="dxa"/>
        <w:tblLayout w:type="fixed"/>
        <w:tblCellMar>
          <w:top w:w="28" w:type="dxa"/>
          <w:left w:w="28" w:type="dxa"/>
          <w:bottom w:w="28" w:type="dxa"/>
          <w:right w:w="28" w:type="dxa"/>
        </w:tblCellMar>
      </w:tblPr>
      <w:tblGrid>
        <w:gridCol w:w="161"/>
        <w:gridCol w:w="796"/>
        <w:gridCol w:w="2236"/>
      </w:tblGrid>
      <w:tr>
        <w:trPr/>
        <w:tc>
          <w:tcPr>
            <w:tcW w:w="16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Agreed and Accepted: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Vylor Inc., as Issuer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Laurie A. Conslato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Laurie A. Conslato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Treasurer</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Guarantee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981" w:type="dxa"/>
        <w:jc w:val="left"/>
        <w:tblInd w:w="0" w:type="dxa"/>
        <w:tblLayout w:type="fixed"/>
        <w:tblCellMar>
          <w:top w:w="28" w:type="dxa"/>
          <w:left w:w="28" w:type="dxa"/>
          <w:bottom w:w="28" w:type="dxa"/>
          <w:right w:w="28" w:type="dxa"/>
        </w:tblCellMar>
      </w:tblPr>
      <w:tblGrid>
        <w:gridCol w:w="161"/>
        <w:gridCol w:w="1599"/>
        <w:gridCol w:w="4221"/>
      </w:tblGrid>
      <w:tr>
        <w:trPr/>
        <w:tc>
          <w:tcPr>
            <w:tcW w:w="16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42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Agreed and Accepted: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 Bank Trust Company, National Association, as Trustee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2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Mark DiGiacomo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4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 DiGiacomo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4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Guarantee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4" w:name="ck0001755672-ex99_1.htm"/>
      <w:bookmarkStart w:id="15" w:name="ksck0001755672ex99_1"/>
      <w:bookmarkEnd w:id="14"/>
      <w:bookmarkEnd w:id="15"/>
      <w:r>
        <w:rPr>
          <w:rFonts w:ascii="Times New Roman" w:hAnsi="Times New Roman"/>
          <w:b/>
          <w:color w:val="000000"/>
          <w:sz w:val="20"/>
        </w:rPr>
        <w:t>Exhibit 99.1</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REGISTRATION RIGHTS AGREEMENT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August 31, 2026</w:t>
      </w:r>
    </w:p>
    <w:p>
      <w:pPr>
        <w:pStyle w:val="TextBody"/>
        <w:bidi w:val="0"/>
        <w:spacing w:before="0" w:after="240"/>
        <w:jc w:val="both"/>
        <w:rPr>
          <w:rFonts w:ascii="Times New Roman" w:hAnsi="Times New Roman"/>
          <w:sz w:val="20"/>
        </w:rPr>
      </w:pPr>
      <w:r>
        <w:rPr>
          <w:rFonts w:ascii="Times New Roman" w:hAnsi="Times New Roman"/>
          <w:color w:val="000000"/>
          <w:sz w:val="20"/>
        </w:rPr>
        <w:t>This REGISTRATION RIGHTS AGREEMENT, dated as of August 31, 2026 (this “</w:t>
      </w:r>
      <w:r>
        <w:rPr>
          <w:rFonts w:ascii="Times New Roman" w:hAnsi="Times New Roman"/>
          <w:color w:val="000000"/>
          <w:sz w:val="20"/>
          <w:u w:val="single"/>
        </w:rPr>
        <w:t>Agreement</w:t>
      </w:r>
      <w:r>
        <w:rPr>
          <w:rFonts w:ascii="Times New Roman" w:hAnsi="Times New Roman"/>
          <w:color w:val="000000"/>
          <w:sz w:val="20"/>
        </w:rPr>
        <w:t>”), is entered into by and among Vylor Inc., a Delaware corporation (the “</w:t>
      </w:r>
      <w:r>
        <w:rPr>
          <w:rFonts w:ascii="Times New Roman" w:hAnsi="Times New Roman"/>
          <w:color w:val="000000"/>
          <w:sz w:val="20"/>
          <w:u w:val="single"/>
        </w:rPr>
        <w:t>Company</w:t>
      </w:r>
      <w:r>
        <w:rPr>
          <w:rFonts w:ascii="Times New Roman" w:hAnsi="Times New Roman"/>
          <w:color w:val="000000"/>
          <w:sz w:val="20"/>
        </w:rPr>
        <w:t>”), Morgan Stanley &amp; Co. LLC, J.P. Morgan Securities LLC and BofA Securities, Inc., as representatives (the “</w:t>
      </w:r>
      <w:r>
        <w:rPr>
          <w:rFonts w:ascii="Times New Roman" w:hAnsi="Times New Roman"/>
          <w:color w:val="000000"/>
          <w:sz w:val="20"/>
          <w:u w:val="single"/>
        </w:rPr>
        <w:t>Representatives</w:t>
      </w:r>
      <w:r>
        <w:rPr>
          <w:rFonts w:ascii="Times New Roman" w:hAnsi="Times New Roman"/>
          <w:color w:val="000000"/>
          <w:sz w:val="20"/>
        </w:rPr>
        <w:t>”) of the other several initial purchasers (together, the “</w:t>
      </w:r>
      <w:r>
        <w:rPr>
          <w:rFonts w:ascii="Times New Roman" w:hAnsi="Times New Roman"/>
          <w:color w:val="000000"/>
          <w:sz w:val="20"/>
          <w:u w:val="single"/>
        </w:rPr>
        <w:t>Initial Purchasers</w:t>
      </w:r>
      <w:r>
        <w:rPr>
          <w:rFonts w:ascii="Times New Roman" w:hAnsi="Times New Roman"/>
          <w:color w:val="000000"/>
          <w:sz w:val="20"/>
        </w:rPr>
        <w:t>”) listed on Schedule B to the form of Terms Agreement contained in the Purchase Agreement, dated as of August 20, 2026 (the “</w:t>
      </w:r>
      <w:r>
        <w:rPr>
          <w:rFonts w:ascii="Times New Roman" w:hAnsi="Times New Roman"/>
          <w:color w:val="000000"/>
          <w:sz w:val="20"/>
          <w:u w:val="single"/>
        </w:rPr>
        <w:t>Purchase Agreement</w:t>
      </w:r>
      <w:r>
        <w:rPr>
          <w:rFonts w:ascii="Times New Roman" w:hAnsi="Times New Roman"/>
          <w:color w:val="000000"/>
          <w:sz w:val="20"/>
        </w:rPr>
        <w:t>”), in connection with the Company’s issuance and sale of $550,000,000 aggregate principal amount of new 5.125% Senior Notes due 2031 and $550,000,000 aggregate principal amount of new 5.625% Senior Notes due 2036 (together, the “</w:t>
      </w:r>
      <w:r>
        <w:rPr>
          <w:rFonts w:ascii="Times New Roman" w:hAnsi="Times New Roman"/>
          <w:color w:val="000000"/>
          <w:sz w:val="20"/>
          <w:u w:val="single"/>
        </w:rPr>
        <w:t>Vylor Notes</w:t>
      </w:r>
      <w:r>
        <w:rPr>
          <w:rFonts w:ascii="Times New Roman" w:hAnsi="Times New Roman"/>
          <w:color w:val="000000"/>
          <w:sz w:val="20"/>
        </w:rPr>
        <w:t>”). The Vylor Notes will be issued by the Company under an indenture, dated as of August 31, 2026 (the “</w:t>
      </w:r>
      <w:r>
        <w:rPr>
          <w:rFonts w:ascii="Times New Roman" w:hAnsi="Times New Roman"/>
          <w:color w:val="000000"/>
          <w:sz w:val="20"/>
          <w:u w:val="single"/>
        </w:rPr>
        <w:t>Base Indenture</w:t>
      </w:r>
      <w:r>
        <w:rPr>
          <w:rFonts w:ascii="Times New Roman" w:hAnsi="Times New Roman"/>
          <w:color w:val="000000"/>
          <w:sz w:val="20"/>
        </w:rPr>
        <w:t>”), between the Company and U.S. Bank Trust Company, National Association, as trustee (the “</w:t>
      </w:r>
      <w:r>
        <w:rPr>
          <w:rFonts w:ascii="Times New Roman" w:hAnsi="Times New Roman"/>
          <w:color w:val="000000"/>
          <w:sz w:val="20"/>
          <w:u w:val="single"/>
        </w:rPr>
        <w:t>Trustee</w:t>
      </w:r>
      <w:r>
        <w:rPr>
          <w:rFonts w:ascii="Times New Roman" w:hAnsi="Times New Roman"/>
          <w:color w:val="000000"/>
          <w:sz w:val="20"/>
        </w:rPr>
        <w:t>”), as supplemented by one or more supplemental indentures thereto (together with the Base Indenture, the “</w:t>
      </w:r>
      <w:r>
        <w:rPr>
          <w:rFonts w:ascii="Times New Roman" w:hAnsi="Times New Roman"/>
          <w:color w:val="000000"/>
          <w:sz w:val="20"/>
          <w:u w:val="single"/>
        </w:rPr>
        <w:t>Indenture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consideration of the foregoing, the parties hereto agree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Definitions</w:t>
      </w:r>
      <w:r>
        <w:rPr>
          <w:rFonts w:ascii="Times New Roman" w:hAnsi="Times New Roman"/>
          <w:color w:val="000000"/>
          <w:sz w:val="20"/>
        </w:rPr>
        <w:t>. As used in this Agreement, the following capitalized defined terms shall have the following meanings:</w:t>
      </w:r>
    </w:p>
    <w:p>
      <w:pPr>
        <w:pStyle w:val="TextBody"/>
        <w:bidi w:val="0"/>
        <w:spacing w:before="0" w:after="240"/>
        <w:jc w:val="both"/>
        <w:rPr/>
      </w:pPr>
      <w:r>
        <w:rPr>
          <w:color w:val="000000"/>
        </w:rPr>
        <w:t>“</w:t>
      </w:r>
      <w:r>
        <w:rPr>
          <w:rFonts w:ascii="Times New Roman" w:hAnsi="Times New Roman"/>
          <w:color w:val="000000"/>
          <w:sz w:val="20"/>
          <w:u w:val="single"/>
        </w:rPr>
        <w:t>Additional Interest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‎2(e)(iii)</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Agreement</w:t>
      </w:r>
      <w:r>
        <w:rPr>
          <w:rFonts w:ascii="Times New Roman" w:hAnsi="Times New Roman"/>
          <w:color w:val="000000"/>
          <w:sz w:val="20"/>
        </w:rPr>
        <w:t>” shall have the meaning set forth in the preamble.</w:t>
      </w:r>
    </w:p>
    <w:p>
      <w:pPr>
        <w:pStyle w:val="TextBody"/>
        <w:bidi w:val="0"/>
        <w:spacing w:before="0" w:after="240"/>
        <w:jc w:val="both"/>
        <w:rPr/>
      </w:pPr>
      <w:r>
        <w:rPr>
          <w:color w:val="000000"/>
        </w:rPr>
        <w:t>“</w:t>
      </w:r>
      <w:r>
        <w:rPr>
          <w:rFonts w:ascii="Times New Roman" w:hAnsi="Times New Roman"/>
          <w:color w:val="000000"/>
          <w:sz w:val="20"/>
          <w:u w:val="single"/>
        </w:rPr>
        <w:t>Base Indenture</w:t>
      </w:r>
      <w:r>
        <w:rPr>
          <w:rFonts w:ascii="Times New Roman" w:hAnsi="Times New Roman"/>
          <w:color w:val="000000"/>
          <w:sz w:val="20"/>
        </w:rPr>
        <w:t xml:space="preserve">” shall have the meaning set forth in the preamble. </w:t>
      </w:r>
    </w:p>
    <w:p>
      <w:pPr>
        <w:pStyle w:val="TextBody"/>
        <w:bidi w:val="0"/>
        <w:spacing w:before="0" w:after="240"/>
        <w:jc w:val="both"/>
        <w:rPr/>
      </w:pPr>
      <w:r>
        <w:rPr>
          <w:color w:val="000000"/>
        </w:rPr>
        <w:t>“</w:t>
      </w:r>
      <w:r>
        <w:rPr>
          <w:rFonts w:ascii="Times New Roman" w:hAnsi="Times New Roman"/>
          <w:color w:val="000000"/>
          <w:sz w:val="20"/>
          <w:u w:val="single"/>
        </w:rPr>
        <w:t>Business Day</w:t>
      </w:r>
      <w:r>
        <w:rPr>
          <w:rFonts w:ascii="Times New Roman" w:hAnsi="Times New Roman"/>
          <w:color w:val="000000"/>
          <w:sz w:val="20"/>
        </w:rPr>
        <w:t>” shall mean any day that is not a Saturday, Sunday or other day on which commercial banks in New York City, New York are authorized or required by law to remain closed. For purposes of this Agreement, if the day on which any deadline specified in this Agreement expires is not a Business Day, such deadline shall be deemed to expire on the next succeeding Business Day.</w:t>
      </w:r>
    </w:p>
    <w:p>
      <w:pPr>
        <w:pStyle w:val="TextBody"/>
        <w:bidi w:val="0"/>
        <w:spacing w:before="0" w:after="240"/>
        <w:jc w:val="both"/>
        <w:rPr/>
      </w:pPr>
      <w:r>
        <w:rPr>
          <w:color w:val="000000"/>
        </w:rPr>
        <w:t>“</w:t>
      </w:r>
      <w:r>
        <w:rPr>
          <w:rFonts w:ascii="Times New Roman" w:hAnsi="Times New Roman"/>
          <w:color w:val="000000"/>
          <w:sz w:val="20"/>
          <w:u w:val="single"/>
        </w:rPr>
        <w:t>Company</w:t>
      </w:r>
      <w:r>
        <w:rPr>
          <w:rFonts w:ascii="Times New Roman" w:hAnsi="Times New Roman"/>
          <w:color w:val="000000"/>
          <w:sz w:val="20"/>
        </w:rPr>
        <w:t>” shall have the meaning set forth in the preamble.</w:t>
      </w:r>
    </w:p>
    <w:p>
      <w:pPr>
        <w:pStyle w:val="TextBody"/>
        <w:bidi w:val="0"/>
        <w:spacing w:before="0" w:after="240"/>
        <w:jc w:val="both"/>
        <w:rPr/>
      </w:pPr>
      <w:r>
        <w:rPr>
          <w:color w:val="000000"/>
        </w:rPr>
        <w:t>“</w:t>
      </w:r>
      <w:r>
        <w:rPr>
          <w:rFonts w:ascii="Times New Roman" w:hAnsi="Times New Roman"/>
          <w:color w:val="000000"/>
          <w:sz w:val="20"/>
          <w:u w:val="single"/>
        </w:rPr>
        <w:t>Exchange Act</w:t>
      </w:r>
      <w:r>
        <w:rPr>
          <w:rFonts w:ascii="Times New Roman" w:hAnsi="Times New Roman"/>
          <w:color w:val="000000"/>
          <w:sz w:val="20"/>
        </w:rPr>
        <w:t>” shall mean the Securities Exchange Act of 1934, as amended from time to time.</w:t>
      </w:r>
    </w:p>
    <w:p>
      <w:pPr>
        <w:pStyle w:val="TextBody"/>
        <w:bidi w:val="0"/>
        <w:spacing w:before="0" w:after="240"/>
        <w:jc w:val="both"/>
        <w:rPr/>
      </w:pPr>
      <w:r>
        <w:rPr>
          <w:color w:val="000000"/>
        </w:rPr>
        <w:t>“</w:t>
      </w:r>
      <w:r>
        <w:rPr>
          <w:rFonts w:ascii="Times New Roman" w:hAnsi="Times New Roman"/>
          <w:color w:val="000000"/>
          <w:sz w:val="20"/>
          <w:u w:val="single"/>
        </w:rPr>
        <w:t>Exchange Date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‎2(a)(iii)(B)</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Exchange Notes</w:t>
      </w:r>
      <w:r>
        <w:rPr>
          <w:rFonts w:ascii="Times New Roman" w:hAnsi="Times New Roman"/>
          <w:color w:val="000000"/>
          <w:sz w:val="20"/>
        </w:rPr>
        <w:t>” shall mean, with respect to each series of Vylor Notes, a new series of senior unsecured notes issued by the Company under the Indenture containing terms identical in all material respects to the corresponding series of Vylor Notes (except that such notes will be registered under the Securities Act and the transfer restrictions, registration rights and any Additional Interest for failure to comply with this Agreement applicable to such Vylor Notes will not apply to such notes) and to be offered to Holders of the applicable series of Vylor Notes in exchange for the corresponding series of Registrable Notes pursuant to the Exchange Offer.</w:t>
      </w:r>
    </w:p>
    <w:p>
      <w:pPr>
        <w:pStyle w:val="TextBody"/>
        <w:bidi w:val="0"/>
        <w:spacing w:before="0" w:after="240"/>
        <w:jc w:val="both"/>
        <w:rPr/>
      </w:pPr>
      <w:r>
        <w:rPr>
          <w:color w:val="000000"/>
        </w:rPr>
        <w:t>“</w:t>
      </w:r>
      <w:r>
        <w:rPr>
          <w:rFonts w:ascii="Times New Roman" w:hAnsi="Times New Roman"/>
          <w:color w:val="000000"/>
          <w:sz w:val="20"/>
          <w:u w:val="single"/>
        </w:rPr>
        <w:t>Exchange Offer</w:t>
      </w:r>
      <w:r>
        <w:rPr>
          <w:rFonts w:ascii="Times New Roman" w:hAnsi="Times New Roman"/>
          <w:color w:val="000000"/>
          <w:sz w:val="20"/>
        </w:rPr>
        <w:t xml:space="preserve">” shall mean the exchange offer of each series of the Exchange Notes for the corresponding series of Registrable Notes pursuant to </w:t>
      </w:r>
      <w:r>
        <w:rPr>
          <w:rFonts w:ascii="Times New Roman" w:hAnsi="Times New Roman"/>
          <w:color w:val="000000"/>
          <w:sz w:val="20"/>
          <w:u w:val="single"/>
        </w:rPr>
        <w:t>Section ‎2(a)</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Exchange Offer Registration</w:t>
      </w:r>
      <w:r>
        <w:rPr>
          <w:rFonts w:ascii="Times New Roman" w:hAnsi="Times New Roman"/>
          <w:color w:val="000000"/>
          <w:sz w:val="20"/>
        </w:rPr>
        <w:t xml:space="preserve">” shall mean a registration under the Securities Act effected pursuant to </w:t>
      </w:r>
      <w:r>
        <w:rPr>
          <w:rFonts w:ascii="Times New Roman" w:hAnsi="Times New Roman"/>
          <w:color w:val="000000"/>
          <w:sz w:val="20"/>
          <w:u w:val="single"/>
        </w:rPr>
        <w:t>Section ‎2(a)</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Exchange Offer Registration Statement</w:t>
      </w:r>
      <w:r>
        <w:rPr>
          <w:rFonts w:ascii="Times New Roman" w:hAnsi="Times New Roman"/>
          <w:color w:val="000000"/>
          <w:sz w:val="20"/>
        </w:rPr>
        <w:t>” shall mean an exchange offer registration statement on Form S-4 (or, if applicable, on another appropriate form as selected by the Company) and all amendments and supplements to such registration statement, in each case including the Prospectus contained therein or deemed a part thereof, all exhibits thereto and any document incorporated by reference therein.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FINRA</w:t>
      </w:r>
      <w:r>
        <w:rPr>
          <w:rFonts w:ascii="Times New Roman" w:hAnsi="Times New Roman"/>
          <w:color w:val="000000"/>
          <w:sz w:val="20"/>
        </w:rPr>
        <w:t>” shall mean the Financial Industry Regulatory Authority, Inc.</w:t>
      </w:r>
    </w:p>
    <w:p>
      <w:pPr>
        <w:pStyle w:val="TextBody"/>
        <w:bidi w:val="0"/>
        <w:spacing w:before="0" w:after="240"/>
        <w:jc w:val="both"/>
        <w:rPr/>
      </w:pPr>
      <w:r>
        <w:rPr>
          <w:color w:val="000000"/>
        </w:rPr>
        <w:t>“</w:t>
      </w:r>
      <w:r>
        <w:rPr>
          <w:rFonts w:ascii="Times New Roman" w:hAnsi="Times New Roman"/>
          <w:color w:val="000000"/>
          <w:sz w:val="20"/>
          <w:u w:val="single"/>
        </w:rPr>
        <w:t>Free Writing Prospectus</w:t>
      </w:r>
      <w:r>
        <w:rPr>
          <w:rFonts w:ascii="Times New Roman" w:hAnsi="Times New Roman"/>
          <w:color w:val="000000"/>
          <w:sz w:val="20"/>
        </w:rPr>
        <w:t>” shall mean each free writing prospectus (as defined in Rule 405 under the Securities Act) prepared by or on behalf of the Company or used or referred to by the Company in connection with the offer and sale of the Vylor Notes or the Exchange Notes.</w:t>
      </w:r>
    </w:p>
    <w:p>
      <w:pPr>
        <w:pStyle w:val="TextBody"/>
        <w:bidi w:val="0"/>
        <w:spacing w:before="0" w:after="240"/>
        <w:jc w:val="both"/>
        <w:rPr/>
      </w:pPr>
      <w:r>
        <w:rPr>
          <w:color w:val="000000"/>
        </w:rPr>
        <w:t>“</w:t>
      </w:r>
      <w:r>
        <w:rPr>
          <w:rFonts w:ascii="Times New Roman" w:hAnsi="Times New Roman"/>
          <w:color w:val="000000"/>
          <w:sz w:val="20"/>
          <w:u w:val="single"/>
        </w:rPr>
        <w:t>Holder Notice</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‎2(b)</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Holders</w:t>
      </w:r>
      <w:r>
        <w:rPr>
          <w:rFonts w:ascii="Times New Roman" w:hAnsi="Times New Roman"/>
          <w:color w:val="000000"/>
          <w:sz w:val="20"/>
        </w:rPr>
        <w:t xml:space="preserve">” shall mean the holders of the Registrable Notes, and each of their successors, assigns and direct and indirect transferees who become owners of Registrable Notes under the Indenture; </w:t>
      </w:r>
      <w:r>
        <w:rPr>
          <w:rFonts w:ascii="Times New Roman" w:hAnsi="Times New Roman"/>
          <w:color w:val="000000"/>
          <w:sz w:val="20"/>
          <w:u w:val="single"/>
        </w:rPr>
        <w:t>provided</w:t>
      </w:r>
      <w:r>
        <w:rPr>
          <w:rFonts w:ascii="Times New Roman" w:hAnsi="Times New Roman"/>
          <w:color w:val="000000"/>
          <w:sz w:val="20"/>
        </w:rPr>
        <w:t xml:space="preserve"> that for purposes of </w:t>
      </w:r>
      <w:r>
        <w:rPr>
          <w:rFonts w:ascii="Times New Roman" w:hAnsi="Times New Roman"/>
          <w:color w:val="000000"/>
          <w:sz w:val="20"/>
          <w:u w:val="single"/>
        </w:rPr>
        <w:t>Section ‎4</w:t>
      </w:r>
      <w:r>
        <w:rPr>
          <w:rFonts w:ascii="Times New Roman" w:hAnsi="Times New Roman"/>
          <w:color w:val="000000"/>
          <w:sz w:val="20"/>
        </w:rPr>
        <w:t xml:space="preserve"> and </w:t>
      </w:r>
      <w:r>
        <w:rPr>
          <w:rFonts w:ascii="Times New Roman" w:hAnsi="Times New Roman"/>
          <w:color w:val="000000"/>
          <w:sz w:val="20"/>
          <w:u w:val="single"/>
        </w:rPr>
        <w:t>Section ‎6</w:t>
      </w:r>
      <w:r>
        <w:rPr>
          <w:rFonts w:ascii="Times New Roman" w:hAnsi="Times New Roman"/>
          <w:color w:val="000000"/>
          <w:sz w:val="20"/>
        </w:rPr>
        <w:t xml:space="preserve"> hereof, the term “Holders” shall include Participating Broker-Dealers.</w:t>
      </w:r>
    </w:p>
    <w:p>
      <w:pPr>
        <w:pStyle w:val="TextBody"/>
        <w:bidi w:val="0"/>
        <w:spacing w:before="0" w:after="240"/>
        <w:jc w:val="both"/>
        <w:rPr/>
      </w:pPr>
      <w:r>
        <w:rPr>
          <w:color w:val="000000"/>
        </w:rPr>
        <w:t>“</w:t>
      </w:r>
      <w:r>
        <w:rPr>
          <w:rFonts w:ascii="Times New Roman" w:hAnsi="Times New Roman"/>
          <w:color w:val="000000"/>
          <w:sz w:val="20"/>
          <w:u w:val="single"/>
        </w:rPr>
        <w:t>Indemnified Person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‎5(c)</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Indemnifying Person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‎5(c)</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Indenture</w:t>
      </w:r>
      <w:r>
        <w:rPr>
          <w:rFonts w:ascii="Times New Roman" w:hAnsi="Times New Roman"/>
          <w:color w:val="000000"/>
          <w:sz w:val="20"/>
        </w:rPr>
        <w:t>” shall have the meaning set forth in the preamble.</w:t>
      </w:r>
    </w:p>
    <w:p>
      <w:pPr>
        <w:pStyle w:val="TextBody"/>
        <w:bidi w:val="0"/>
        <w:spacing w:before="0" w:after="240"/>
        <w:jc w:val="both"/>
        <w:rPr/>
      </w:pPr>
      <w:r>
        <w:rPr>
          <w:color w:val="000000"/>
        </w:rPr>
        <w:t>“</w:t>
      </w:r>
      <w:r>
        <w:rPr>
          <w:rFonts w:ascii="Times New Roman" w:hAnsi="Times New Roman"/>
          <w:color w:val="000000"/>
          <w:sz w:val="20"/>
          <w:u w:val="single"/>
        </w:rPr>
        <w:t>Initial Purchasers</w:t>
      </w:r>
      <w:r>
        <w:rPr>
          <w:rFonts w:ascii="Times New Roman" w:hAnsi="Times New Roman"/>
          <w:color w:val="000000"/>
          <w:sz w:val="20"/>
        </w:rPr>
        <w:t>” shall have the meaning set forth in the preamble.</w:t>
      </w:r>
    </w:p>
    <w:p>
      <w:pPr>
        <w:pStyle w:val="TextBody"/>
        <w:bidi w:val="0"/>
        <w:spacing w:before="0" w:after="240"/>
        <w:jc w:val="both"/>
        <w:rPr/>
      </w:pPr>
      <w:r>
        <w:rPr>
          <w:color w:val="000000"/>
        </w:rPr>
        <w:t>“</w:t>
      </w:r>
      <w:r>
        <w:rPr>
          <w:rFonts w:ascii="Times New Roman" w:hAnsi="Times New Roman"/>
          <w:color w:val="000000"/>
          <w:sz w:val="20"/>
          <w:u w:val="single"/>
        </w:rPr>
        <w:t>Inspector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‎3(a)(xiv)</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Issuer Information</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‎5(a)</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Majority Holders</w:t>
      </w:r>
      <w:r>
        <w:rPr>
          <w:rFonts w:ascii="Times New Roman" w:hAnsi="Times New Roman"/>
          <w:color w:val="000000"/>
          <w:sz w:val="20"/>
        </w:rPr>
        <w:t xml:space="preserve">” shall mean the Holders of a majority of the aggregate principal amount of the outstanding Registrable Notes; </w:t>
      </w:r>
      <w:r>
        <w:rPr>
          <w:rFonts w:ascii="Times New Roman" w:hAnsi="Times New Roman"/>
          <w:color w:val="000000"/>
          <w:sz w:val="20"/>
          <w:u w:val="single"/>
        </w:rPr>
        <w:t>provided</w:t>
      </w:r>
      <w:r>
        <w:rPr>
          <w:rFonts w:ascii="Times New Roman" w:hAnsi="Times New Roman"/>
          <w:color w:val="000000"/>
          <w:sz w:val="20"/>
        </w:rPr>
        <w:t xml:space="preserve"> that whenever the consent or approval of Holders of a specified percentage of Registrable Notes is required hereunder, any Registrable Notes owned directly or indirectly by the Company or any of its “affiliates” (as such term is defined in Rule 405 under the Securities Act) shall not be counted in determining whether such consent or approval was given by the Holders of such required percentage or amount;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the Company shall issue any additional Vylor Notes of a series under the Indenture prior to consummation of the Exchange Offer or, if applicable, the effectiveness of any Shelf Registration Statement, such additional Vylor Notes and the Registrable Notes to which this Agreement relates shall be treated together as one class for purposes of determining whether the consent or approval of Holders of a specified percentage of Registrable Notes has been obtained.</w:t>
      </w:r>
    </w:p>
    <w:p>
      <w:pPr>
        <w:pStyle w:val="TextBody"/>
        <w:bidi w:val="0"/>
        <w:spacing w:before="0" w:after="240"/>
        <w:jc w:val="both"/>
        <w:rPr/>
      </w:pPr>
      <w:r>
        <w:rPr>
          <w:color w:val="000000"/>
        </w:rPr>
        <w:t>“</w:t>
      </w:r>
      <w:r>
        <w:rPr>
          <w:rFonts w:ascii="Times New Roman" w:hAnsi="Times New Roman"/>
          <w:color w:val="000000"/>
          <w:sz w:val="20"/>
          <w:u w:val="single"/>
        </w:rPr>
        <w:t>Participating Broker-Dealers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‎4(a)</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Person</w:t>
      </w:r>
      <w:r>
        <w:rPr>
          <w:rFonts w:ascii="Times New Roman" w:hAnsi="Times New Roman"/>
          <w:color w:val="000000"/>
          <w:sz w:val="20"/>
        </w:rPr>
        <w:t>” shall mean an individual, partnership, limited liability company, corporation, trust or unincorporated organization, or a government or agency or political subdivision thereof.</w:t>
      </w:r>
    </w:p>
    <w:p>
      <w:pPr>
        <w:pStyle w:val="TextBody"/>
        <w:bidi w:val="0"/>
        <w:spacing w:before="0" w:after="240"/>
        <w:jc w:val="both"/>
        <w:rPr/>
      </w:pPr>
      <w:r>
        <w:rPr>
          <w:color w:val="000000"/>
        </w:rPr>
        <w:t>“</w:t>
      </w:r>
      <w:r>
        <w:rPr>
          <w:rFonts w:ascii="Times New Roman" w:hAnsi="Times New Roman"/>
          <w:color w:val="000000"/>
          <w:sz w:val="20"/>
          <w:u w:val="single"/>
        </w:rPr>
        <w:t>Prospectus</w:t>
      </w:r>
      <w:r>
        <w:rPr>
          <w:rFonts w:ascii="Times New Roman" w:hAnsi="Times New Roman"/>
          <w:color w:val="000000"/>
          <w:sz w:val="20"/>
        </w:rPr>
        <w:t>” shall mean the prospectus included in, or, pursuant to the rules and regulations of the Securities Act, deemed a part of, a Registration Statement, including: (i) any preliminary prospectus, and (ii) any such prospectus as amended or supplemented by any prospectus supplement, including a prospectus supplement with respect to the terms of the offering of any portion of the Registrable Notes covered by a Shelf Registration Statement, and by all other amendments and supplements to such prospectus, and in each case including any document incorporated by reference therein.</w:t>
      </w:r>
    </w:p>
    <w:p>
      <w:pPr>
        <w:pStyle w:val="TextBody"/>
        <w:bidi w:val="0"/>
        <w:spacing w:before="0" w:after="240"/>
        <w:jc w:val="both"/>
        <w:rPr/>
      </w:pPr>
      <w:r>
        <w:rPr>
          <w:color w:val="000000"/>
        </w:rPr>
        <w:t>“</w:t>
      </w:r>
      <w:r>
        <w:rPr>
          <w:rFonts w:ascii="Times New Roman" w:hAnsi="Times New Roman"/>
          <w:color w:val="000000"/>
          <w:sz w:val="20"/>
          <w:u w:val="single"/>
        </w:rPr>
        <w:t>Purchase Agreement</w:t>
      </w:r>
      <w:r>
        <w:rPr>
          <w:rFonts w:ascii="Times New Roman" w:hAnsi="Times New Roman"/>
          <w:color w:val="000000"/>
          <w:sz w:val="20"/>
        </w:rPr>
        <w:t>” shall have the meaning set forth in the preamble.</w:t>
      </w:r>
    </w:p>
    <w:p>
      <w:pPr>
        <w:pStyle w:val="TextBody"/>
        <w:bidi w:val="0"/>
        <w:spacing w:before="0" w:after="240"/>
        <w:jc w:val="both"/>
        <w:rPr/>
      </w:pPr>
      <w:r>
        <w:rPr>
          <w:color w:val="000000"/>
        </w:rPr>
        <w:t>“</w:t>
      </w:r>
      <w:r>
        <w:rPr>
          <w:rFonts w:ascii="Times New Roman" w:hAnsi="Times New Roman"/>
          <w:color w:val="000000"/>
          <w:sz w:val="20"/>
          <w:u w:val="single"/>
        </w:rPr>
        <w:t>Registrable Notes</w:t>
      </w:r>
      <w:r>
        <w:rPr>
          <w:rFonts w:ascii="Times New Roman" w:hAnsi="Times New Roman"/>
          <w:color w:val="000000"/>
          <w:sz w:val="20"/>
        </w:rPr>
        <w:t xml:space="preserve">” shall mean the Vylor Notes; </w:t>
      </w:r>
      <w:r>
        <w:rPr>
          <w:rFonts w:ascii="Times New Roman" w:hAnsi="Times New Roman"/>
          <w:color w:val="000000"/>
          <w:sz w:val="20"/>
          <w:u w:val="single"/>
        </w:rPr>
        <w:t>provided</w:t>
      </w:r>
      <w:r>
        <w:rPr>
          <w:rFonts w:ascii="Times New Roman" w:hAnsi="Times New Roman"/>
          <w:color w:val="000000"/>
          <w:sz w:val="20"/>
        </w:rPr>
        <w:t xml:space="preserve"> that any Vylor Notes shall cease to be Registrable Notes when: (i) a Registration Statement with respect to such Vylor Notes has become effective under the Securities Act and such Vylor Notes have been exchanged, disposed of or distributed pursuant to such Registration Statement, (ii) such Vylor Notes cease to be outstanding, or (iii) the Exchange Offer is consummated, except in the case of Vylor Notes that otherwise remain Registrable Notes that are held by a Holder that was ineligible to participate in the Exchange Offer or participated in the Exchange Offer and did not receive fully tradable Exchange Notes pursuant to the Exchange Offer.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Registration Default</w:t>
      </w:r>
      <w:r>
        <w:rPr>
          <w:rFonts w:ascii="Times New Roman" w:hAnsi="Times New Roman"/>
          <w:color w:val="000000"/>
          <w:sz w:val="20"/>
        </w:rPr>
        <w:t>” shall mean the occurrence of any of the following: (i) the Exchange Offer of the Exchange Notes for all Vylor Notes validly tendered (and not validly withdrawn) in accordance with the terms of the Exchange Offer is not completed on or prior to the Target Registration Date or, if a Shelf Registration Statement is required, such Shelf Registration Statement is not declared effective on or prior to the 60th day after the later of (a) the Target Registration Date and (b) the date on which the Company receives a duly executed Holder Notice or Shelf Request or (ii) if applicable, a Shelf Registration Statement covering resales of the Vylor Notes has been declared effective and such Shelf Registration Statement ceases to be effective or the prospectus contained therein ceases to be usable for resales of Registrable Notes at any time during the Shelf Effectiveness Period, and such failure to remain effective or be so usable exists for more than 90 days (whether or not consecutive) in any 12-month period.</w:t>
      </w:r>
    </w:p>
    <w:p>
      <w:pPr>
        <w:pStyle w:val="TextBody"/>
        <w:bidi w:val="0"/>
        <w:spacing w:before="0" w:after="240"/>
        <w:jc w:val="both"/>
        <w:rPr/>
      </w:pPr>
      <w:r>
        <w:rPr>
          <w:color w:val="000000"/>
        </w:rPr>
        <w:t>“</w:t>
      </w:r>
      <w:r>
        <w:rPr>
          <w:rFonts w:ascii="Times New Roman" w:hAnsi="Times New Roman"/>
          <w:color w:val="000000"/>
          <w:sz w:val="20"/>
          <w:u w:val="single"/>
        </w:rPr>
        <w:t>Registration Expenses</w:t>
      </w:r>
      <w:r>
        <w:rPr>
          <w:rFonts w:ascii="Times New Roman" w:hAnsi="Times New Roman"/>
          <w:color w:val="000000"/>
          <w:sz w:val="20"/>
        </w:rPr>
        <w:t>” shall mean any and all expenses incident to performance of or compliance by the Company with this Agreement, including without limitation: (i) all SEC, stock exchange or FINRA registration and filing fees, (ii) all fees and expenses incurred by the Company in connection with compliance with state securities or blue sky laws (including reasonable and documented fees and disbursements of one firm of counsel for any Underwriters or Holders in connection with blue sky qualification of any Exchange Notes or Registrable Notes, which firm shall be Latham &amp; Watkins LLP or another firm selected by the Underwriters or the Majority Holders and reasonably acceptable to the Company), (iii) all expenses of the Company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incurred by the Company (including with respect to maintaining ratings of the Vylor Notes), (v) all fees and disbursements relating to the qualification of the Indenture under applicable securities laws, (vi) the reasonable fees and disbursements of the Trustee, (vii) the reasonable and documented fees and disbursements of counsel for the Company and, in the case of a Shelf Registration Statement, the reasonable and documented fees (not to exceed $100,000) and disbursements of one counsel for the Holders (which counsel shall be Latham &amp; Watkins LLP or another firm selected by the Majority Holders and reasonably acceptable to the Company) and (viii) the fees and disbursements of the independent public accountants of the Company, including the expenses of any “comfort” letters required by or incident to the performance of and compliance with this Agreement, but excluding any or all fees and expenses of advisors or counsel to any Underwriters (other than fees and expenses set forth in clause (ii) above) or the Holders (other than, in the case of a Shelf Registration Statement, fees and expenses set forth in clause (vii) above), any underwriting discounts and commissions, and any brokerage commissions and transfer taxes, if any, relating to the sale or disposition of Registrable Notes by a Holder.</w:t>
      </w:r>
    </w:p>
    <w:p>
      <w:pPr>
        <w:pStyle w:val="TextBody"/>
        <w:bidi w:val="0"/>
        <w:spacing w:before="0" w:after="240"/>
        <w:jc w:val="both"/>
        <w:rPr/>
      </w:pPr>
      <w:r>
        <w:rPr>
          <w:color w:val="000000"/>
        </w:rPr>
        <w:t>“</w:t>
      </w:r>
      <w:r>
        <w:rPr>
          <w:rFonts w:ascii="Times New Roman" w:hAnsi="Times New Roman"/>
          <w:color w:val="000000"/>
          <w:sz w:val="20"/>
          <w:u w:val="single"/>
        </w:rPr>
        <w:t>Registration Statement</w:t>
      </w:r>
      <w:r>
        <w:rPr>
          <w:rFonts w:ascii="Times New Roman" w:hAnsi="Times New Roman"/>
          <w:color w:val="000000"/>
          <w:sz w:val="20"/>
        </w:rPr>
        <w:t>” shall mean any registration statement that covers any of the Exchange Notes or Registrable Notes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pStyle w:val="TextBody"/>
        <w:bidi w:val="0"/>
        <w:spacing w:before="0" w:after="240"/>
        <w:jc w:val="both"/>
        <w:rPr/>
      </w:pPr>
      <w:r>
        <w:rPr>
          <w:color w:val="000000"/>
        </w:rPr>
        <w:t>“</w:t>
      </w:r>
      <w:r>
        <w:rPr>
          <w:rFonts w:ascii="Times New Roman" w:hAnsi="Times New Roman"/>
          <w:color w:val="000000"/>
          <w:sz w:val="20"/>
          <w:u w:val="single"/>
        </w:rPr>
        <w:t>Representatives</w:t>
      </w:r>
      <w:r>
        <w:rPr>
          <w:rFonts w:ascii="Times New Roman" w:hAnsi="Times New Roman"/>
          <w:color w:val="000000"/>
          <w:sz w:val="20"/>
        </w:rPr>
        <w:t>” shall have the meaning set forth in the preamble.</w:t>
      </w:r>
    </w:p>
    <w:p>
      <w:pPr>
        <w:pStyle w:val="TextBody"/>
        <w:bidi w:val="0"/>
        <w:spacing w:before="0" w:after="240"/>
        <w:jc w:val="both"/>
        <w:rPr/>
      </w:pPr>
      <w:r>
        <w:rPr>
          <w:color w:val="000000"/>
        </w:rPr>
        <w:t>“</w:t>
      </w:r>
      <w:r>
        <w:rPr>
          <w:rFonts w:ascii="Times New Roman" w:hAnsi="Times New Roman"/>
          <w:color w:val="000000"/>
          <w:sz w:val="20"/>
          <w:u w:val="single"/>
        </w:rPr>
        <w:t>SEC</w:t>
      </w:r>
      <w:r>
        <w:rPr>
          <w:rFonts w:ascii="Times New Roman" w:hAnsi="Times New Roman"/>
          <w:color w:val="000000"/>
          <w:sz w:val="20"/>
        </w:rPr>
        <w:t>” shall mean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0"/>
          <w:u w:val="single"/>
        </w:rPr>
        <w:t>Securities Act</w:t>
      </w:r>
      <w:r>
        <w:rPr>
          <w:rFonts w:ascii="Times New Roman" w:hAnsi="Times New Roman"/>
          <w:color w:val="000000"/>
          <w:sz w:val="20"/>
        </w:rPr>
        <w:t>” shall mean the Securities Act of 1933, as amended from time to time.</w:t>
      </w:r>
    </w:p>
    <w:p>
      <w:pPr>
        <w:pStyle w:val="TextBody"/>
        <w:bidi w:val="0"/>
        <w:spacing w:before="0" w:after="240"/>
        <w:jc w:val="both"/>
        <w:rPr/>
      </w:pPr>
      <w:r>
        <w:rPr>
          <w:color w:val="000000"/>
        </w:rPr>
        <w:t>“</w:t>
      </w:r>
      <w:r>
        <w:rPr>
          <w:rFonts w:ascii="Times New Roman" w:hAnsi="Times New Roman"/>
          <w:color w:val="000000"/>
          <w:sz w:val="20"/>
          <w:u w:val="single"/>
        </w:rPr>
        <w:t>Settlement Date</w:t>
      </w:r>
      <w:r>
        <w:rPr>
          <w:rFonts w:ascii="Times New Roman" w:hAnsi="Times New Roman"/>
          <w:color w:val="000000"/>
          <w:sz w:val="20"/>
        </w:rPr>
        <w:t>” shall mean the first day on which the Company operates as an independent public company after completion of its separation from Corteva Inc.</w:t>
      </w:r>
    </w:p>
    <w:p>
      <w:pPr>
        <w:pStyle w:val="TextBody"/>
        <w:bidi w:val="0"/>
        <w:spacing w:before="0" w:after="240"/>
        <w:jc w:val="both"/>
        <w:rPr/>
      </w:pPr>
      <w:r>
        <w:rPr>
          <w:color w:val="000000"/>
        </w:rPr>
        <w:t>“</w:t>
      </w:r>
      <w:r>
        <w:rPr>
          <w:rFonts w:ascii="Times New Roman" w:hAnsi="Times New Roman"/>
          <w:color w:val="000000"/>
          <w:sz w:val="20"/>
          <w:u w:val="single"/>
        </w:rPr>
        <w:t>Shelf Effectiveness Period</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‎2(c)</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Shelf Registration</w:t>
      </w:r>
      <w:r>
        <w:rPr>
          <w:rFonts w:ascii="Times New Roman" w:hAnsi="Times New Roman"/>
          <w:color w:val="000000"/>
          <w:sz w:val="20"/>
        </w:rPr>
        <w:t xml:space="preserve">” shall mean a registration effected pursuant to </w:t>
      </w:r>
      <w:r>
        <w:rPr>
          <w:rFonts w:ascii="Times New Roman" w:hAnsi="Times New Roman"/>
          <w:color w:val="000000"/>
          <w:sz w:val="20"/>
          <w:u w:val="single"/>
        </w:rPr>
        <w:t>Section ‎2(b)</w:t>
      </w:r>
      <w:r>
        <w:rPr>
          <w:rFonts w:ascii="Times New Roman" w:hAnsi="Times New Roman"/>
          <w:color w:val="000000"/>
          <w:sz w:val="20"/>
        </w:rPr>
        <w:t xml:space="preserve"> 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0"/>
          <w:u w:val="single"/>
        </w:rPr>
        <w:t>Shelf Registration Statement</w:t>
      </w:r>
      <w:r>
        <w:rPr>
          <w:rFonts w:ascii="Times New Roman" w:hAnsi="Times New Roman"/>
          <w:color w:val="000000"/>
          <w:sz w:val="20"/>
        </w:rPr>
        <w:t>” shall mean a “shelf” registration statement of the Company that covers all or a portion of the Registrable Notes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pStyle w:val="TextBody"/>
        <w:bidi w:val="0"/>
        <w:spacing w:before="0" w:after="240"/>
        <w:jc w:val="both"/>
        <w:rPr/>
      </w:pPr>
      <w:r>
        <w:rPr>
          <w:color w:val="000000"/>
        </w:rPr>
        <w:t>“</w:t>
      </w:r>
      <w:r>
        <w:rPr>
          <w:rFonts w:ascii="Times New Roman" w:hAnsi="Times New Roman"/>
          <w:color w:val="000000"/>
          <w:sz w:val="20"/>
          <w:u w:val="single"/>
        </w:rPr>
        <w:t>Shelf Request</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‎2(b)</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Staff</w:t>
      </w:r>
      <w:r>
        <w:rPr>
          <w:rFonts w:ascii="Times New Roman" w:hAnsi="Times New Roman"/>
          <w:color w:val="000000"/>
          <w:sz w:val="20"/>
        </w:rPr>
        <w:t>” shall mean the staff of the SEC.</w:t>
      </w:r>
    </w:p>
    <w:p>
      <w:pPr>
        <w:pStyle w:val="TextBody"/>
        <w:bidi w:val="0"/>
        <w:spacing w:before="0" w:after="240"/>
        <w:jc w:val="both"/>
        <w:rPr/>
      </w:pPr>
      <w:r>
        <w:rPr>
          <w:color w:val="000000"/>
        </w:rPr>
        <w:t>“</w:t>
      </w:r>
      <w:r>
        <w:rPr>
          <w:rFonts w:ascii="Times New Roman" w:hAnsi="Times New Roman"/>
          <w:color w:val="000000"/>
          <w:sz w:val="20"/>
          <w:u w:val="single"/>
        </w:rPr>
        <w:t>Suspension Actions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‎2(e)(vi)</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Target Registration Date</w:t>
      </w:r>
      <w:r>
        <w:rPr>
          <w:rFonts w:ascii="Times New Roman" w:hAnsi="Times New Roman"/>
          <w:color w:val="000000"/>
          <w:sz w:val="20"/>
        </w:rPr>
        <w:t>” shall mean the date that is 366 days from the Settlement Date.</w:t>
      </w:r>
    </w:p>
    <w:p>
      <w:pPr>
        <w:pStyle w:val="TextBody"/>
        <w:bidi w:val="0"/>
        <w:spacing w:before="0" w:after="240"/>
        <w:jc w:val="both"/>
        <w:rPr/>
      </w:pPr>
      <w:r>
        <w:rPr>
          <w:color w:val="000000"/>
        </w:rPr>
        <w:t>“</w:t>
      </w:r>
      <w:r>
        <w:rPr>
          <w:rFonts w:ascii="Times New Roman" w:hAnsi="Times New Roman"/>
          <w:color w:val="000000"/>
          <w:sz w:val="20"/>
          <w:u w:val="single"/>
        </w:rPr>
        <w:t>Trust Indenture Act</w:t>
      </w:r>
      <w:r>
        <w:rPr>
          <w:rFonts w:ascii="Times New Roman" w:hAnsi="Times New Roman"/>
          <w:color w:val="000000"/>
          <w:sz w:val="20"/>
        </w:rPr>
        <w:t>” shall mean the Trust Indenture Act of 1939, as amended from time to time.</w:t>
      </w:r>
    </w:p>
    <w:p>
      <w:pPr>
        <w:pStyle w:val="TextBody"/>
        <w:bidi w:val="0"/>
        <w:spacing w:before="0" w:after="240"/>
        <w:jc w:val="both"/>
        <w:rPr/>
      </w:pPr>
      <w:r>
        <w:rPr>
          <w:color w:val="000000"/>
        </w:rPr>
        <w:t>“</w:t>
      </w:r>
      <w:r>
        <w:rPr>
          <w:rFonts w:ascii="Times New Roman" w:hAnsi="Times New Roman"/>
          <w:color w:val="000000"/>
          <w:sz w:val="20"/>
          <w:u w:val="single"/>
        </w:rPr>
        <w:t>Trustee</w:t>
      </w:r>
      <w:r>
        <w:rPr>
          <w:rFonts w:ascii="Times New Roman" w:hAnsi="Times New Roman"/>
          <w:color w:val="000000"/>
          <w:sz w:val="20"/>
        </w:rPr>
        <w:t>” shall have the meaning set forth in the preamble.</w:t>
      </w:r>
    </w:p>
    <w:p>
      <w:pPr>
        <w:pStyle w:val="TextBody"/>
        <w:bidi w:val="0"/>
        <w:spacing w:before="0" w:after="240"/>
        <w:jc w:val="both"/>
        <w:rPr/>
      </w:pPr>
      <w:r>
        <w:rPr>
          <w:color w:val="000000"/>
        </w:rPr>
        <w:t>“</w:t>
      </w:r>
      <w:r>
        <w:rPr>
          <w:rFonts w:ascii="Times New Roman" w:hAnsi="Times New Roman"/>
          <w:color w:val="000000"/>
          <w:sz w:val="20"/>
          <w:u w:val="single"/>
        </w:rPr>
        <w:t>Underwriter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‎3(e)</w:t>
      </w:r>
      <w:r>
        <w:rPr>
          <w:rFonts w:ascii="Times New Roman" w:hAnsi="Times New Roman"/>
          <w:color w:val="000000"/>
          <w:sz w:val="20"/>
        </w:rPr>
        <w:t xml:space="preserve"> hereof.</w:t>
      </w:r>
    </w:p>
    <w:p>
      <w:pPr>
        <w:pStyle w:val="TextBody"/>
        <w:bidi w:val="0"/>
        <w:spacing w:before="0" w:after="240"/>
        <w:jc w:val="both"/>
        <w:rPr/>
      </w:pPr>
      <w:r>
        <w:rPr>
          <w:color w:val="000000"/>
        </w:rPr>
        <w:t>“</w:t>
      </w:r>
      <w:r>
        <w:rPr>
          <w:rFonts w:ascii="Times New Roman" w:hAnsi="Times New Roman"/>
          <w:color w:val="000000"/>
          <w:sz w:val="20"/>
          <w:u w:val="single"/>
        </w:rPr>
        <w:t>Underwritten Offering</w:t>
      </w:r>
      <w:r>
        <w:rPr>
          <w:rFonts w:ascii="Times New Roman" w:hAnsi="Times New Roman"/>
          <w:color w:val="000000"/>
          <w:sz w:val="20"/>
        </w:rPr>
        <w:t>” shall mean an offering in which Registrable Notes are sold to an Underwriter for reoffering to the public.</w:t>
      </w:r>
    </w:p>
    <w:p>
      <w:pPr>
        <w:pStyle w:val="TextBody"/>
        <w:bidi w:val="0"/>
        <w:spacing w:before="0" w:after="240"/>
        <w:jc w:val="both"/>
        <w:rPr/>
      </w:pPr>
      <w:r>
        <w:rPr>
          <w:color w:val="000000"/>
        </w:rPr>
        <w:t>“</w:t>
      </w:r>
      <w:r>
        <w:rPr>
          <w:rFonts w:ascii="Times New Roman" w:hAnsi="Times New Roman"/>
          <w:color w:val="000000"/>
          <w:sz w:val="20"/>
          <w:u w:val="single"/>
        </w:rPr>
        <w:t>Vylor Notes</w:t>
      </w:r>
      <w:r>
        <w:rPr>
          <w:rFonts w:ascii="Times New Roman" w:hAnsi="Times New Roman"/>
          <w:color w:val="000000"/>
          <w:sz w:val="20"/>
        </w:rPr>
        <w:t>” shall have the meaning set forth in the preamble.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Registration under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To the extent not prohibited by any applicable law or regulation, or applicable interpretations of the SEC or the Staff, the Company shall use its commercially reasonable efforts to (x) file or cause to be filed an Exchange Offer Registration Statement covering an offer to the Holders to exchange each series of outstanding Registrable Notes for the corresponding series of Exchange Notes and (y) keep such Registration Statement effective until 180 days after the Exchange Date for use by one or more Participating Broker-Dealers.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shall commence the Exchange Offer promptly after the Exchange Offer Registration Statement is declared effective by the SEC and use commercially reasonable efforts to complete the Exchange Offer no later than the Target Registration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After the Exchange Offer Registration Statement has become effective, the Company shall commence the Exchange Offer by mailing or making available the related Prospectus and any other accompanying documents to each Holder stating, in addition to such other disclosures as are required by applicable law, substantially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the Exchange Offer is being made pursuant to this Agreement and that all Registrable Notes validly tendered and not validly withdrawn will be accepted for exchange, except to the extent not permitted by law, applicable interpretations of the Staff or as otherwise contemplated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sz w:val="20"/>
        </w:rPr>
      </w:pPr>
      <w:r>
        <w:rPr>
          <w:rFonts w:ascii="Times New Roman" w:hAnsi="Times New Roman"/>
          <w:color w:val="000000"/>
          <w:sz w:val="20"/>
        </w:rPr>
        <w:t>the date of acceptance for exchange of all Registrable Notes so validly tendered and not validly withdrawn, which shall be a date at least 20 Business Days (in accordance with the Exchange Act) after the date such Prospectus is mailed or made available, unless a shorter period is permitted by applicable securities laws (the “</w:t>
      </w:r>
      <w:r>
        <w:rPr>
          <w:rFonts w:ascii="Times New Roman" w:hAnsi="Times New Roman"/>
          <w:color w:val="000000"/>
          <w:sz w:val="20"/>
          <w:u w:val="single"/>
        </w:rPr>
        <w:t>Exchange Date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any Registrable Note not tendered will remain outstanding and continue to accrue interest but will not retain any rights under this Agreement, except as otherwise specified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any Holder electing to have a Registrable Note exchanged pursuant to the Exchange Offer will be required to (x) surrender such Registrable Note to the institution and at the address and in the manner specified in the Prospectus, or (y) effect such exchange otherwise in compliance with the applicable procedures of the depositary for such Registrable Note, in each case prior to the close of business on the Exchange Date;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any Holder will be entitled to withdraw its election, not later than the close of business on the Exchange Date, by effecting such withdrawal in compliance with the applicable procedures of the institution and in compliance with the applicable procedures of the depositary for the Registrable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sz w:val="20"/>
        </w:rPr>
      </w:pPr>
      <w:r>
        <w:rPr>
          <w:rFonts w:ascii="Times New Roman" w:hAnsi="Times New Roman"/>
          <w:color w:val="000000"/>
          <w:sz w:val="20"/>
        </w:rPr>
        <w:t>As a condition to participating in the Exchange Offer, a Holder will be required to represent to the Company that (I) any Exchange Notes to be received by it will be acquired in the ordinary course of its business, (II) at the time of the commencement of the Exchange Offer it is not engaged in, and does not intend to engage in, and it has no arrangement or understanding with any Person to participate in, the distribution (within the meaning of the Securities Act) of the Exchange Notes in violation of the Securities Act, (III) it is not an “affiliate” (as defined in Rule 405 under the Securities Act) of the Company or, if it is such an “affiliate,” such Holder will comply with the prospectus delivery requirements of the Securities Act to the extent applicable in connection with any resale of the Exchange Notes, (IV) if such Holder is a broker-dealer that will receive Exchange Notes for its own account in exchange for Registrable Notes that were acquired as a result of market-making or other trading activities, then such Holder will comply with the prospectus delivery requirements of the Securities Act, to the extent applicable, in connection with any resale of the Exchange Notes, (V) it is not prohibited by any law or policy from participating in the Exchange Offer, and (VI) it shall have made such other representations as may be reasonably requested by the Company, or as may be reasonably necessary under applicable SEC rules, regulations or interpretations to render the use of Form S-4 or other appropriate form under the Securities Act available (collectively, the “</w:t>
      </w:r>
      <w:r>
        <w:rPr>
          <w:rFonts w:ascii="Times New Roman" w:hAnsi="Times New Roman"/>
          <w:color w:val="000000"/>
          <w:sz w:val="20"/>
          <w:u w:val="single"/>
        </w:rPr>
        <w:t>Holder Representations</w:t>
      </w:r>
      <w:r>
        <w:rPr>
          <w:rFonts w:ascii="Times New Roman" w:hAnsi="Times New Roman"/>
          <w:color w:val="000000"/>
          <w:sz w:val="20"/>
        </w:rPr>
        <w:t>”). Each Holder hereby acknowledges and agrees that any broker-dealer and any such Holder using the Exchange Offer to participate in a distribution of the securities to be acquired in the Exchange Offer (1) could not under SEC policy as in effect on the date of this Agreement rely on the position of the SEC enunciated in Morgan Stanley and Co., Inc. (available June 5, 1991) and Exxon Capital Holdings Corporation (available May 13, 1988), as interpreted in the SEC’s letter to Shearman &amp; Sterling dated July 2, 1993, and similar no-action letters,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Item 508, as applicable, of Regulation S-K if the resales are of Exchange Notes obtained by such Holder in exchange for Registrable Notes acquired by such Holder directly from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soon as practicable after the Exchange Date, the Company shall: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cause the Registrable Notes or portions thereof validly tendered and not properly withdrawn pursuant to the Exchange Offer to be accepted for exchange;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cause all Registrable Notes or portions thereof so accepted for exchange to be delivered to the Trustee for cancellation;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issue the applicable series of Exchange Notes equal in principal amount to the principal amount of the corresponding series of Registrable Notes validly tendered by such Holder; </w:t>
      </w:r>
      <w:r>
        <w:rPr>
          <w:rFonts w:ascii="Times New Roman" w:hAnsi="Times New Roman"/>
          <w:color w:val="000000"/>
          <w:sz w:val="20"/>
          <w:u w:val="single"/>
        </w:rPr>
        <w:t>provided</w:t>
      </w:r>
      <w:r>
        <w:rPr>
          <w:rFonts w:ascii="Times New Roman" w:hAnsi="Times New Roman"/>
          <w:color w:val="000000"/>
          <w:sz w:val="20"/>
        </w:rPr>
        <w:t xml:space="preserve"> that if any of the Registrable Notes are in book-entry form, the Company shall, in cooperation with the Trustee, effect the exchange of Registrable Notes in accordance with applicable book-entry procedures;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cause the Trustee to promptly authenticate and deliver to each Holder such Exchange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shall use its commercially reasonable efforts to complete the Exchange Offer as provided above and shall use commercially reasonable efforts to comply with the applicable requirements of the Securities Act, the Exchange Act and other applicable laws and regulations in connection with the Exchange Offer. The Exchange Offer shall not be subject to any conditions, other than that (I) the Exchange Offer does not violate any applicable law, rule, regulation or applicable interpretations of the Staff, (II) the Registrable Notes shall be validly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tendered in accordance with the Exchange Offer, (III) each Holder of Registrable Notes exchanged in the Exchange Offer shall have made the Holder Representations, (IV) no action or proceeding shall have been instituted or threatened in any court or by or before any governmental agency with respect to the Exchange Offer which, in the Company’s judgment, could reasonably be expected to impair the ability of the Company to proceed with the Exchange Offer, (V) the Exchange Offer will be made to all Holders other than to any Holder of the European Economic Area or the United Kingdom to whom the Exchange Offer cannot be made without requiring the publication of a prospectus for the purposes of Regulation (EU) 2017/1129 or the Public Offers and Admissions to Trading Regulations 2024 and any rules made thereunder by the UK Financial Conduct Authority, as applicable, (which may be certified or validated by way of representations from Holders of Registrable Notes) and (VI) other customary conditions relating to the delivery of the Vylor Notes or other actions customarily taken by Holders participating in the Exchange Offer or the execution and delivery of customary documentation relating to the Exchange Offer shall have been satisfied (or validly waived).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the event that (i) the Company determines that any changes in applicable law or applicable interpretations of the Staff or the SEC do not permit the Company to effect the Exchange Offer provided for in </w:t>
      </w:r>
      <w:r>
        <w:rPr>
          <w:rFonts w:ascii="Times New Roman" w:hAnsi="Times New Roman"/>
          <w:color w:val="000000"/>
          <w:sz w:val="20"/>
          <w:u w:val="single"/>
        </w:rPr>
        <w:t>Section ‎2(a)</w:t>
      </w:r>
      <w:r>
        <w:rPr>
          <w:rFonts w:ascii="Times New Roman" w:hAnsi="Times New Roman"/>
          <w:color w:val="000000"/>
          <w:sz w:val="20"/>
        </w:rPr>
        <w:t xml:space="preserve"> hereof, (ii) a Holder participating in the Exchange Offer does not receive Exchange Notes on the date of the exchange that may be sold without restriction under state and U.S. federal securities laws (other than due solely to the status of such Holder as an affiliate of the Company within the meaning of the Securities Act) and notifies (a “</w:t>
      </w:r>
      <w:r>
        <w:rPr>
          <w:rFonts w:ascii="Times New Roman" w:hAnsi="Times New Roman"/>
          <w:color w:val="000000"/>
          <w:sz w:val="20"/>
          <w:u w:val="single"/>
        </w:rPr>
        <w:t>Holder Notice</w:t>
      </w:r>
      <w:r>
        <w:rPr>
          <w:rFonts w:ascii="Times New Roman" w:hAnsi="Times New Roman"/>
          <w:color w:val="000000"/>
          <w:sz w:val="20"/>
        </w:rPr>
        <w:t>”) the Company within 30 days after such Holder first becomes aware of such restrictions, (iii) the Exchange Offer, for any other reason, is not completed by the Target Registration Date, or (iv) the Company receives a written request (a “</w:t>
      </w:r>
      <w:r>
        <w:rPr>
          <w:rFonts w:ascii="Times New Roman" w:hAnsi="Times New Roman"/>
          <w:color w:val="000000"/>
          <w:sz w:val="20"/>
          <w:u w:val="single"/>
        </w:rPr>
        <w:t>Shelf Request</w:t>
      </w:r>
      <w:r>
        <w:rPr>
          <w:rFonts w:ascii="Times New Roman" w:hAnsi="Times New Roman"/>
          <w:color w:val="000000"/>
          <w:sz w:val="20"/>
        </w:rPr>
        <w:t xml:space="preserve">”) from any Holder within 20 Business Days after the consummation of the Exchange Offer representing that they hold Registrable Notes that are or were ineligible to be exchanged in the Exchange Offer, the Company shall use commercially reasonable efforts to file, as promptly as practicable after the date of such determination, Holder Notice or Shelf Request, as the case may be, a Shelf Registration Statement providing for the sale of all Vylor Notes that then constitute Registrable Notes by the Holders thereof and to have such Shelf Registration Statement become effective;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Company shall be under no obligation to file any such Shelf Registration Statement before they are obligated to file an Exchange Offer Registration Statement pursuant to </w:t>
      </w:r>
      <w:r>
        <w:rPr>
          <w:rFonts w:ascii="Times New Roman" w:hAnsi="Times New Roman"/>
          <w:color w:val="000000"/>
          <w:sz w:val="20"/>
          <w:u w:val="single"/>
        </w:rPr>
        <w:t>Section ‎2(a)</w:t>
      </w:r>
      <w:r>
        <w:rPr>
          <w:rFonts w:ascii="Times New Roman" w:hAnsi="Times New Roman"/>
          <w:color w:val="000000"/>
          <w:sz w:val="20"/>
        </w:rPr>
        <w:t xml:space="preserve"> hereof and no Holder shall be entitled to have the Registrable Notes held by it covered by such Shelf Registration Statement unless such Holder agrees in writing to be bound by all of the provisions of this Agreement applicable to such Holder;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with respect to a Shelf Registration Statement required pursuant to this </w:t>
      </w:r>
      <w:r>
        <w:rPr>
          <w:rFonts w:ascii="Times New Roman" w:hAnsi="Times New Roman"/>
          <w:color w:val="000000"/>
          <w:sz w:val="20"/>
          <w:u w:val="single"/>
        </w:rPr>
        <w:t>Section ‎2(b)</w:t>
      </w:r>
      <w:r>
        <w:rPr>
          <w:rFonts w:ascii="Times New Roman" w:hAnsi="Times New Roman"/>
          <w:color w:val="000000"/>
          <w:sz w:val="20"/>
        </w:rPr>
        <w:t xml:space="preserve">, the consummation of the Exchange Offer shall relieve the Company of such obligation to file a Shelf Registration Statement for the scenarios set forth in </w:t>
      </w:r>
      <w:r>
        <w:rPr>
          <w:rFonts w:ascii="Times New Roman" w:hAnsi="Times New Roman"/>
          <w:color w:val="000000"/>
          <w:sz w:val="20"/>
          <w:u w:val="single"/>
        </w:rPr>
        <w:t>Section ‎2(b)(i)</w:t>
      </w:r>
      <w:r>
        <w:rPr>
          <w:rFonts w:ascii="Times New Roman" w:hAnsi="Times New Roman"/>
          <w:color w:val="000000"/>
          <w:sz w:val="20"/>
        </w:rPr>
        <w:t xml:space="preserve"> or </w:t>
      </w:r>
      <w:r>
        <w:rPr>
          <w:rFonts w:ascii="Times New Roman" w:hAnsi="Times New Roman"/>
          <w:color w:val="000000"/>
          <w:sz w:val="20"/>
          <w:u w:val="single"/>
        </w:rPr>
        <w:t>Section ‎2(b)(iii)</w:t>
      </w:r>
      <w:r>
        <w:rPr>
          <w:rFonts w:ascii="Times New Roman" w:hAnsi="Times New Roman"/>
          <w:color w:val="000000"/>
          <w:sz w:val="20"/>
        </w:rPr>
        <w:t xml:space="preserv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 xml:space="preserve">In the event that the Company is required to file a Shelf Registration Statement pursuant to </w:t>
      </w:r>
      <w:r>
        <w:rPr>
          <w:rFonts w:ascii="Times New Roman" w:hAnsi="Times New Roman"/>
          <w:color w:val="000000"/>
          <w:sz w:val="20"/>
          <w:u w:val="single"/>
        </w:rPr>
        <w:t>Section ‎2(b)(ii)</w:t>
      </w:r>
      <w:r>
        <w:rPr>
          <w:color w:val="000000"/>
          <w:sz w:val="20"/>
        </w:rPr>
        <w:t xml:space="preserve"> </w:t>
      </w:r>
      <w:r>
        <w:rPr>
          <w:rFonts w:ascii="Times New Roman" w:hAnsi="Times New Roman"/>
          <w:color w:val="000000"/>
          <w:sz w:val="20"/>
        </w:rPr>
        <w:t xml:space="preserve">or </w:t>
      </w:r>
      <w:r>
        <w:rPr>
          <w:rFonts w:ascii="Times New Roman" w:hAnsi="Times New Roman"/>
          <w:color w:val="000000"/>
          <w:sz w:val="20"/>
          <w:u w:val="single"/>
        </w:rPr>
        <w:t>Section ‎2(b)(iv)</w:t>
      </w:r>
      <w:r>
        <w:rPr>
          <w:color w:val="000000"/>
          <w:sz w:val="20"/>
        </w:rPr>
        <w:t xml:space="preserve"> </w:t>
      </w:r>
      <w:r>
        <w:rPr>
          <w:rFonts w:ascii="Times New Roman" w:hAnsi="Times New Roman"/>
          <w:color w:val="000000"/>
          <w:sz w:val="20"/>
        </w:rPr>
        <w:t xml:space="preserve">hereof, the Company shall use its commercially reasonable efforts to file and to cause to become effective both an Exchange Offer Registration Statement pursuant to </w:t>
      </w:r>
      <w:r>
        <w:rPr>
          <w:rFonts w:ascii="Times New Roman" w:hAnsi="Times New Roman"/>
          <w:color w:val="000000"/>
          <w:sz w:val="20"/>
          <w:u w:val="single"/>
        </w:rPr>
        <w:t>Section ‎2(a)</w:t>
      </w:r>
      <w:r>
        <w:rPr>
          <w:color w:val="000000"/>
          <w:sz w:val="20"/>
        </w:rPr>
        <w:t xml:space="preserve"> </w:t>
      </w:r>
      <w:r>
        <w:rPr>
          <w:rFonts w:ascii="Times New Roman" w:hAnsi="Times New Roman"/>
          <w:color w:val="000000"/>
          <w:sz w:val="20"/>
        </w:rPr>
        <w:t xml:space="preserve">hereof with respect to all Registrable Notes and, with respect to any Registrable Notes to which </w:t>
      </w:r>
      <w:r>
        <w:rPr>
          <w:rFonts w:ascii="Times New Roman" w:hAnsi="Times New Roman"/>
          <w:color w:val="000000"/>
          <w:sz w:val="20"/>
          <w:u w:val="single"/>
        </w:rPr>
        <w:t>Section ‎2(b)(ii)</w:t>
      </w:r>
      <w:r>
        <w:rPr>
          <w:color w:val="000000"/>
          <w:sz w:val="20"/>
        </w:rPr>
        <w:t xml:space="preserve"> </w:t>
      </w:r>
      <w:r>
        <w:rPr>
          <w:rFonts w:ascii="Times New Roman" w:hAnsi="Times New Roman"/>
          <w:color w:val="000000"/>
          <w:sz w:val="20"/>
        </w:rPr>
        <w:t xml:space="preserve">or </w:t>
      </w:r>
      <w:r>
        <w:rPr>
          <w:rFonts w:ascii="Times New Roman" w:hAnsi="Times New Roman"/>
          <w:color w:val="000000"/>
          <w:sz w:val="20"/>
          <w:u w:val="single"/>
        </w:rPr>
        <w:t>Section ‎2(b)(iv)</w:t>
      </w:r>
      <w:r>
        <w:rPr>
          <w:color w:val="000000"/>
          <w:sz w:val="20"/>
        </w:rPr>
        <w:t xml:space="preserve"> </w:t>
      </w:r>
      <w:r>
        <w:rPr>
          <w:rFonts w:ascii="Times New Roman" w:hAnsi="Times New Roman"/>
          <w:color w:val="000000"/>
          <w:sz w:val="20"/>
        </w:rPr>
        <w:t>hereof applies, a Shelf Registration Statement (which may be a combined Registration Statement with the Exchange Offer Registration Statement) with respect to offers and sales of such Registrable Notes held by the Holders, if any, after completion of the Exchange Offer.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The Company agrees to use its commercially reasonable efforts to keep the Shelf Registration Statement continuously effective for a period of one year from the effective date of such Shelf Registration Statement or such shorter period that will terminate when all of the Vylor Notes covered by the Shelf Registration Statement cease to be Registrable Notes (the “</w:t>
      </w:r>
      <w:r>
        <w:rPr>
          <w:rFonts w:ascii="Times New Roman" w:hAnsi="Times New Roman"/>
          <w:color w:val="000000"/>
          <w:sz w:val="20"/>
          <w:u w:val="single"/>
        </w:rPr>
        <w:t>Shelf Effectiveness Period</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further agrees to use its commercially reasonable efforts to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Holder of Registrable Notes with respect to information relating to such Holder, and to use commercially reasonable efforts to cause any such amendment to become effective, if required, and such Shelf Registration Statement, Prospectus or Free Writing Prospectus, as the case may be, to become usable as soon as thereafter practicable.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Unless it has been filed with the SEC or is otherwise publicly available, the Company agrees to furnish to the Holders of Registrable Notes registered on such Shelf Registration Statement copies of any such supplement or amendment promptly after its being used,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Holders will be deemed to have received the documents referred to above upon delivery of such documents to the depository or depositories of the Registrable Notes for distribution to its participants.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 xml:space="preserve">The Company shall pay all Registration Expenses in connection with any registration pursuant to </w:t>
      </w:r>
      <w:r>
        <w:rPr>
          <w:rFonts w:ascii="Times New Roman" w:hAnsi="Times New Roman"/>
          <w:color w:val="000000"/>
          <w:sz w:val="20"/>
          <w:u w:val="single"/>
        </w:rPr>
        <w:t>Section ‎2(a)</w:t>
      </w:r>
      <w:r>
        <w:rPr>
          <w:color w:val="000000"/>
          <w:sz w:val="20"/>
        </w:rPr>
        <w:t xml:space="preserve"> </w:t>
      </w:r>
      <w:r>
        <w:rPr>
          <w:rFonts w:ascii="Times New Roman" w:hAnsi="Times New Roman"/>
          <w:color w:val="000000"/>
          <w:sz w:val="20"/>
        </w:rPr>
        <w:t xml:space="preserve">or </w:t>
      </w:r>
      <w:r>
        <w:rPr>
          <w:rFonts w:ascii="Times New Roman" w:hAnsi="Times New Roman"/>
          <w:color w:val="000000"/>
          <w:sz w:val="20"/>
          <w:u w:val="single"/>
        </w:rPr>
        <w:t>Section ‎2(b)</w:t>
      </w:r>
      <w:r>
        <w:rPr>
          <w:color w:val="000000"/>
          <w:sz w:val="20"/>
        </w:rPr>
        <w:t xml:space="preserve"> </w:t>
      </w:r>
      <w:r>
        <w:rPr>
          <w:rFonts w:ascii="Times New Roman" w:hAnsi="Times New Roman"/>
          <w:color w:val="000000"/>
          <w:sz w:val="20"/>
        </w:rPr>
        <w: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Holder shall pay all underwriting discounts and commissions, brokerage commissions and transfer taxes, and, except as otherwise expressly set forth herein, any other expenses, if any, relating to the underwriting, offering, sale or disposition of such Holder’s Registrable Notes pursuant to any Shelf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 xml:space="preserve">An Exchange Offer Registration Statement pursuant to </w:t>
      </w:r>
      <w:r>
        <w:rPr>
          <w:rFonts w:ascii="Times New Roman" w:hAnsi="Times New Roman"/>
          <w:color w:val="000000"/>
          <w:sz w:val="20"/>
          <w:u w:val="single"/>
        </w:rPr>
        <w:t>Section ‎2(a)</w:t>
      </w:r>
      <w:r>
        <w:rPr>
          <w:color w:val="000000"/>
          <w:sz w:val="20"/>
        </w:rPr>
        <w:t xml:space="preserve"> </w:t>
      </w:r>
      <w:r>
        <w:rPr>
          <w:rFonts w:ascii="Times New Roman" w:hAnsi="Times New Roman"/>
          <w:color w:val="000000"/>
          <w:sz w:val="20"/>
        </w:rPr>
        <w:t>hereof will not be deemed to have become effective unless it has been declared effective by the SEC.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Shelf Registration Statement pursuant to </w:t>
      </w:r>
      <w:r>
        <w:rPr>
          <w:rFonts w:ascii="Times New Roman" w:hAnsi="Times New Roman"/>
          <w:color w:val="000000"/>
          <w:sz w:val="20"/>
          <w:u w:val="single"/>
        </w:rPr>
        <w:t>Section ‎2(b)</w:t>
      </w:r>
      <w:r>
        <w:rPr>
          <w:rFonts w:ascii="Times New Roman" w:hAnsi="Times New Roman"/>
          <w:color w:val="000000"/>
          <w:sz w:val="20"/>
        </w:rPr>
        <w:t xml:space="preserve"> hereof will not be deemed to have become effective unless it has been declared effective by the SEC or is automatically effective upon filing with the SEC as provided by Rule 462 under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sz w:val="20"/>
        </w:rPr>
      </w:pPr>
      <w:r>
        <w:rPr>
          <w:rFonts w:ascii="Times New Roman" w:hAnsi="Times New Roman"/>
          <w:color w:val="000000"/>
          <w:sz w:val="20"/>
        </w:rPr>
        <w:t>If a Registration Default occurs with respect to any Registrable Notes, the interest rate on such Registrable Notes (and only such Registrable Notes) will be increased by 0.25% per annum (such increased interest rate amount, the “</w:t>
      </w:r>
      <w:r>
        <w:rPr>
          <w:rFonts w:ascii="Times New Roman" w:hAnsi="Times New Roman"/>
          <w:color w:val="000000"/>
          <w:sz w:val="20"/>
          <w:u w:val="single"/>
        </w:rPr>
        <w:t>Additional Interest</w:t>
      </w:r>
      <w:r>
        <w:rPr>
          <w:rFonts w:ascii="Times New Roman" w:hAnsi="Times New Roman"/>
          <w:color w:val="000000"/>
          <w:sz w:val="20"/>
        </w:rPr>
        <w:t xml:space="preserve">”) beginning on the day immediately following such Registration Default. A Registration Default ends with respect to any Vylor Notes when such Vylor Notes cease to be Registrable Notes or, if earlier, (A) in the case of a Registration Default under clause (i) of the definition thereof, when the Exchange Offer is completed or when the Shelf Registration Statement covering such Registrable Notes becomes effective or (B) in the case of a Registration Default under clause (ii) of the definition thereof, when the Shelf Registration Statement again becomes effective or the Prospectus again becomes usable. If at any time more than one Registration Default has occurred and is continuing, then, until the next date that there is no Registration Default, the Additional Interest provided for by this paragraph shall apply as if there occurred a single Registration Default that begins on the date that the earliest such Registration Default occurred and ends on the next date that there is no Registration Default. Notwithstanding anything to the contrary in this Agreement, no Additional Interest shall be payable if (A) the Exchange Offer Registration Statement is not filed or declared effective or the Exchange Offer for the applicable series of Registrable Notes is not consummated on account of the reasons set forth in </w:t>
      </w:r>
      <w:r>
        <w:rPr>
          <w:rFonts w:ascii="Times New Roman" w:hAnsi="Times New Roman"/>
          <w:color w:val="000000"/>
          <w:sz w:val="20"/>
          <w:u w:val="single"/>
        </w:rPr>
        <w:t>Section ‎2(b)</w:t>
      </w:r>
      <w:r>
        <w:rPr>
          <w:rFonts w:ascii="Times New Roman" w:hAnsi="Times New Roman"/>
          <w:color w:val="000000"/>
          <w:sz w:val="20"/>
        </w:rPr>
        <w:t xml:space="preserve"> hereof (it being understood, however, that in any such case the Company shall be obligated to file a Shelf Registration Statement and such Additional Interest shall be payable if the Shelf Registration Statement is not declared effective in accordance with </w:t>
      </w:r>
      <w:r>
        <w:rPr>
          <w:rFonts w:ascii="Times New Roman" w:hAnsi="Times New Roman"/>
          <w:color w:val="000000"/>
          <w:sz w:val="20"/>
          <w:u w:val="single"/>
        </w:rPr>
        <w:t>Section ‎2(c)</w:t>
      </w:r>
      <w:r>
        <w:rPr>
          <w:rFonts w:ascii="Times New Roman" w:hAnsi="Times New Roman"/>
          <w:color w:val="000000"/>
          <w:sz w:val="20"/>
        </w:rPr>
        <w:t xml:space="preserve"> hereof), (B) the Shelf Registration Statement is not declared effective as set forth above because the Holder Notice or Shelf Request was not made on a timely basis, (C) at any time during which a Shelf Registration Statement is effective and the related Prospectus is usable or (D) to the extent it would otherwise be payable solely as a result of (x) the filing of a post-effective amendment to a Shelf Registration Statement to incorporate annual audited or, if required by the rules and regulations under the Securities Act, quarterly unaudited financial information with respect to the Company, where such post-effective amendment is not yet effective and is required to permit Holders to use the related Prospectus, or (y) any Suspension Action taken pursuant to </w:t>
      </w:r>
      <w:r>
        <w:rPr>
          <w:rFonts w:ascii="Times New Roman" w:hAnsi="Times New Roman"/>
          <w:color w:val="000000"/>
          <w:sz w:val="20"/>
          <w:u w:val="single"/>
        </w:rPr>
        <w:t>Section ‎2(e)(vi)</w:t>
      </w:r>
      <w:r>
        <w:rPr>
          <w:rFonts w:ascii="Times New Roman" w:hAnsi="Times New Roman"/>
          <w:color w:val="000000"/>
          <w:sz w:val="20"/>
        </w:rPr>
        <w:t xml:space="preserve"> hereof or any suspension of dispositions pursuant to </w:t>
      </w:r>
      <w:r>
        <w:rPr>
          <w:rFonts w:ascii="Times New Roman" w:hAnsi="Times New Roman"/>
          <w:color w:val="000000"/>
          <w:sz w:val="20"/>
          <w:u w:val="single"/>
        </w:rPr>
        <w:t>Section ‎3(d)</w:t>
      </w:r>
      <w:r>
        <w:rPr>
          <w:rFonts w:ascii="Times New Roman" w:hAnsi="Times New Roman"/>
          <w:color w:val="000000"/>
          <w:sz w:val="20"/>
        </w:rPr>
        <w:t xml:space="preserv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to the contrary in this Agreement, if the Exchange Offer is consummated, any Holder who was, at the time the Exchange Offer was pending and consummated, eligible to exchange, and did not validly tender, or withdrew, its Vylor Notes for Exchange Notes in the Exchange Offer will not be entitled to receive any Additional Interest, and such Vylor Notes will no longer constitute Registrable Notes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Additional Interest payable by the Company will be paid on the Interest Payment Dates (as defined in the Indenture) and in the manner specified for the applicable series of Registrable Notes under the Indenture. The amount of Additional Interest will be determined by multiplying the applicable rate of Additional Interest by the principal amount of the applicable Registrable Notes, multiplied by a fraction, the numerator of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is the number of days such rate of Additional Interest was applicable during the relevant period (determined on the basis of a 360-day year comprised of twelve 30-day months), and the denominator of which is 360. Any Additional Interest referenced in this </w:t>
      </w:r>
      <w:r>
        <w:rPr>
          <w:rFonts w:ascii="Times New Roman" w:hAnsi="Times New Roman"/>
          <w:color w:val="000000"/>
          <w:sz w:val="20"/>
          <w:u w:val="single"/>
        </w:rPr>
        <w:t>Section ‎2(e)</w:t>
      </w:r>
      <w:r>
        <w:rPr>
          <w:rFonts w:ascii="Times New Roman" w:hAnsi="Times New Roman"/>
          <w:color w:val="000000"/>
          <w:sz w:val="20"/>
        </w:rPr>
        <w:t xml:space="preserve"> shall constitute liquidated damages and shall be the sole remedy of any Holder (other than a Participating Broker-Dealer) with respect to the Exchange Offer Registration and Shelf Registration and related matters provided for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sz w:val="20"/>
        </w:rPr>
      </w:pPr>
      <w:r>
        <w:rPr>
          <w:rFonts w:ascii="Times New Roman" w:hAnsi="Times New Roman"/>
          <w:color w:val="000000"/>
          <w:sz w:val="20"/>
        </w:rPr>
        <w:t>The Company shall be entitled to suspend its obligation to file any amendment to a Shelf Registration Statement, furnish any supplement or amendment to a Prospectus included in a Shelf Registration Statement or any Free Writing Prospectus, make any other filing with the SEC that would be incorporated by reference into a Shelf Registration Statement, cause a Shelf Registration Statement to remain effective or the Prospectus or any Free Writing Prospectus usable or take any similar action (collectively, “</w:t>
      </w:r>
      <w:r>
        <w:rPr>
          <w:rFonts w:ascii="Times New Roman" w:hAnsi="Times New Roman"/>
          <w:color w:val="000000"/>
          <w:sz w:val="20"/>
          <w:u w:val="single"/>
        </w:rPr>
        <w:t>Suspension Actions</w:t>
      </w:r>
      <w:r>
        <w:rPr>
          <w:rFonts w:ascii="Times New Roman" w:hAnsi="Times New Roman"/>
          <w:color w:val="000000"/>
          <w:sz w:val="20"/>
        </w:rPr>
        <w:t>”) if there is a possible acquisition, disposition or business combination or other transaction, business development or event involving the Company or any of its subsidiaries that may require disclosure in the Shelf Registration Statement or Prospectus and the Company determines that such disclosure is not in the best interest of the Company and its stockholders or obtaining any financial statements relating to any such acquisition or business combination required to be included in the Shelf Registration Statement or Prospectus would be impracticable. Upon the occurrence of any of the conditions described in the foregoing sentence, the Company shall give prompt notice of the delay or suspension (but not the basis thereof) to the Holders. Upon the termination of such condition, the Company shall promptly proceed with all Suspension Actions that were delayed or suspended and, if required, shall give prompt notice to the Holders of the cessation of the delay or suspension (but not the basis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Registration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connection with its obligations pursuant to </w:t>
      </w:r>
      <w:r>
        <w:rPr>
          <w:rFonts w:ascii="Times New Roman" w:hAnsi="Times New Roman"/>
          <w:color w:val="000000"/>
          <w:sz w:val="20"/>
          <w:u w:val="single"/>
        </w:rPr>
        <w:t>Section ‎2(a)</w:t>
      </w:r>
      <w:r>
        <w:rPr>
          <w:rFonts w:ascii="Times New Roman" w:hAnsi="Times New Roman"/>
          <w:color w:val="000000"/>
          <w:sz w:val="20"/>
        </w:rPr>
        <w:t xml:space="preserve"> and </w:t>
      </w:r>
      <w:r>
        <w:rPr>
          <w:rFonts w:ascii="Times New Roman" w:hAnsi="Times New Roman"/>
          <w:color w:val="000000"/>
          <w:sz w:val="20"/>
          <w:u w:val="single"/>
        </w:rPr>
        <w:t>Section ‎2(b)</w:t>
      </w:r>
      <w:r>
        <w:rPr>
          <w:rFonts w:ascii="Times New Roman" w:hAnsi="Times New Roman"/>
          <w:color w:val="000000"/>
          <w:sz w:val="20"/>
        </w:rPr>
        <w:t xml:space="preserve"> hereof, the Company shall use commercially reasonable efforts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prepare and file with the SEC a Registration Statement on the appropriate form under the Securities Act, which form (x) shall be selected by the Company, (y) shall, in the case of a Shelf Registration, be available for the resale of the Registrable Notes by the Holders thereof, and (z) shall comply as to form in all material respects with the requirements of the applicable form and include or incorporate by reference all financial statements required by the SEC to be filed therewith; and use commercially reasonable efforts to cause such Registration Statement to become effective and remain effective for the applicable period in accordance with </w:t>
      </w:r>
      <w:r>
        <w:rPr>
          <w:rFonts w:ascii="Times New Roman" w:hAnsi="Times New Roman"/>
          <w:color w:val="000000"/>
          <w:sz w:val="20"/>
          <w:u w:val="single"/>
        </w:rPr>
        <w:t>Section ‎2</w:t>
      </w:r>
      <w:r>
        <w:rPr>
          <w:rFonts w:ascii="Times New Roman" w:hAnsi="Times New Roman"/>
          <w:color w:val="000000"/>
          <w:sz w:val="20"/>
        </w:rPr>
        <w:t xml:space="preserv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prepare and file with the SEC such amendments and post-effective amendments to each Registration Statement as may be necessary to keep such Registration Statement effective for the applicable period in accordance with </w:t>
      </w:r>
      <w:r>
        <w:rPr>
          <w:rFonts w:ascii="Times New Roman" w:hAnsi="Times New Roman"/>
          <w:color w:val="000000"/>
          <w:sz w:val="20"/>
          <w:u w:val="single"/>
        </w:rPr>
        <w:t>Section ‎2</w:t>
      </w:r>
      <w:r>
        <w:rPr>
          <w:rFonts w:ascii="Times New Roman" w:hAnsi="Times New Roman"/>
          <w:color w:val="000000"/>
          <w:sz w:val="20"/>
        </w:rPr>
        <w:t xml:space="preserve"> hereof and supplement each Prospectus with any required prospectus supplement and, as so supplemented, to file such Prospectus pursuant to Rule 424 under the Securities Act; and (B) keep each Prospectus current during the period described in Section 4(a)(3) of, and Rule 174 under, the Securities Act that is applicable to transactions by brokers or dealers with respect to the Registrable Notes or Exchange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any Free Writing Prospectus is used, file with the SEC any Free Writing Prospectus that is required to be filed by the Company with the SEC in accordance with the Securities Act and the retention of any Free Writing Prospectus not required to be filed to the extent required by SEC rules;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in the case of a Shelf Registration, use commercially reasonable efforts upon written request to furnish to each Holder of Registrable Notes included on such Shelf Registration Statement, to counsel for the Initial Purchasers, to counsel for such Holders and to each Underwriter of an Underwritten Offering of Registrable Notes, if any, without charge, as many copies of each Prospectus, preliminary prospectus or Free Writing Prospectus, and any amendment or supplement thereto (other than any document that amends and supplements any Prospectus, preliminary prospectus or Free Writing Prospectus because it is incorporated by reference therein), as such Holder, counsel or Underwriter may reasonably request in writing in order to facilitate the sale or other disposition of the Registrable Notes thereunder; and, (B) subject to </w:t>
      </w:r>
      <w:r>
        <w:rPr>
          <w:rFonts w:ascii="Times New Roman" w:hAnsi="Times New Roman"/>
          <w:color w:val="000000"/>
          <w:sz w:val="20"/>
          <w:u w:val="single"/>
        </w:rPr>
        <w:t>Section ‎3(c)</w:t>
      </w:r>
      <w:r>
        <w:rPr>
          <w:rFonts w:ascii="Times New Roman" w:hAnsi="Times New Roman"/>
          <w:color w:val="000000"/>
          <w:sz w:val="20"/>
        </w:rPr>
        <w:t xml:space="preserve"> hereof, the Company consents to the use of such Prospectus, preliminary prospectus or such Free Writing Prospectus and any amendment or supplement thereto in accordance with applicable law by each of the Holders of Registrable Notes and any such Underwriters in connection with the offering and sale of the Registrable Notes covered by and in the manner described in such Prospectus, preliminary prospectus or such Free Writing Prospectus or any amendment or supplement thereto in accordance with applicable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in the case of an Exchange Offer Registration Statement, use commercially reasonable efforts to cause the registration and qualification of the Registrable Notes under all applicable state securities or blue sky laws, if and to the extent legally required in order to effect the Exchange Offer, and, in the case of a Shelf Registration Statement and if necessary to permit sales under the Shelf Registration Statement, cooperate with the selling Holders and their counsel to register or qualify the Registrable Notes under the applicable state securities or blue sky laws of such jurisdictions as any Holder of Registrable Notes covered by such Shelf Registration Statement shall reasonably request in writing by the time the applicable Shelf Registration Statement becomes effective; (B) cooperate with such Holders in connection with any filings required to be made with FINRA; and (C) use commercially reasonable efforts to cause any and all other acts and things within the Company’s reasonable control that may be reasonably necessary to enable each Holder to complete the disposition in each such jurisdiction of the Registrable Notes owned by such Holder; </w:t>
      </w:r>
      <w:r>
        <w:rPr>
          <w:rFonts w:ascii="Times New Roman" w:hAnsi="Times New Roman"/>
          <w:color w:val="000000"/>
          <w:sz w:val="20"/>
          <w:u w:val="single"/>
        </w:rPr>
        <w:t>provided</w:t>
      </w:r>
      <w:r>
        <w:rPr>
          <w:rFonts w:ascii="Times New Roman" w:hAnsi="Times New Roman"/>
          <w:color w:val="000000"/>
          <w:sz w:val="20"/>
        </w:rPr>
        <w:t xml:space="preserve"> that the Company shall not be required to (1) qualify as a foreign corporation or other entity or as a dealer in securities in any such jurisdiction where it would not otherwise be required to so qualify, (2) file any general consent to subject itself to service of process in any such jurisdiction, or (3) subject itself to taxation in any such jurisdiction if it is not already so subject;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Notify counsel for the Initial Purchasers and, in the case of a Shelf Registration, notify each Holder of Registrable Notes included on such Shelf Registration Statement and counsel for such Holders promptly and, if requested by any such Holder or counsel, confirm such advice in writing: (1) if not available by EDGAR, when a Registration Statement has become effective, when any post-effective amendment thereto has been filed and becomes effective, when any Free Writing Prospectus has been filed or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resale of Registrable Notes covered thereby, the Company receives any notification with respect to the suspension of the qualification of the Registrable Notes for resale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or any amendment or supplement thereto untrue in any material respect or that requires the making of any changes in such Registration Statement or Prospectus or any Free Writing Prospectus in order to make the statements therein not misleading (in the case of the Prospectus, in light of the circumstances under which they were made); and (6) of any determination by the Company that a post-effective amendment to a Registration Statement or any amendment or supplement to the Prospectus or any Free Writing Prospectus would be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use commercially reasonable efforts to obtain the withdrawal of any order suspending the effectiveness of a Registration Statement, or, in the case of a Shelf Registration, the resolution of any objection of the SEC pursuant to Rule 401(g)(2) under the Securities Act, including by filing an amendment to such Shelf Registration Statement on the proper form, as promptly as reasonably practicable and provide prompt notice to each Holder of the withdrawal of any such order or such resolution;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 Shelf Registration, furnish to each Holder of Registrable Notes included on such Shelf Registration Statement, without charge, upon written request, at least one conformed copy of each Registration Statement and any post-effective amendment thereto (without any documents incorporated therein by reference or exhibits thereto, unless requested in writing), if such documents are not available via EDGAR;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case of a Shelf Registration, reasonably cooperate with the Holders of Registrable Notes included on such Shelf Registration Statement to facilitate the timely preparation and delivery of certificates representing Registrable Notes to be sold and not bearing any restrictive legends and enable such Registrable Notes to be issued in such denominations and, in the case of certificated securities, registered in such names (consistent with the provisions of the Indenture) as such Holders may reasonably request at least three Business Days prior to the closing of any sale of Registrable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upon the occurrence of any event contemplated by </w:t>
      </w:r>
      <w:r>
        <w:rPr>
          <w:rFonts w:ascii="Times New Roman" w:hAnsi="Times New Roman"/>
          <w:color w:val="000000"/>
          <w:sz w:val="20"/>
          <w:u w:val="single"/>
        </w:rPr>
        <w:t>Section ‎3(a)(vi)(5)</w:t>
      </w:r>
      <w:r>
        <w:rPr>
          <w:rFonts w:ascii="Times New Roman" w:hAnsi="Times New Roman"/>
          <w:color w:val="000000"/>
          <w:sz w:val="20"/>
        </w:rPr>
        <w:t xml:space="preserve"> hereof, use commercially reasonable efforts to prepare and file with the SEC a supplement or post-effective amendment to such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Notes,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shall notify the Holders of Registrable Notes and the Initial Purchasers and any Participating Broker-Dealers known to the Company (in the case of an Exchange Offer Registration Statement), as applicable, to suspend use of the Prospectus or any Free Writing Prospectus as promptly as reasonably practicable after the occurrence of such an event, and such Holders, such Participating Broker-Dealers and Initial Purchasers, as applicable, hereby agree to suspend use of the Prospectus or any Free Writing Prospectus, as the case may be, until the Company has amended or supplemented the Prospectus or the Free Writing Prospectus, as the case may be, to correct such misstatement or omission; </w:t>
      </w:r>
      <w:r>
        <w:rPr>
          <w:rFonts w:ascii="Times New Roman" w:hAnsi="Times New Roman"/>
          <w:color w:val="000000"/>
          <w:sz w:val="20"/>
          <w:u w:val="single"/>
        </w:rPr>
        <w:t>provided</w:t>
      </w:r>
      <w:r>
        <w:rPr>
          <w:rFonts w:ascii="Times New Roman" w:hAnsi="Times New Roman"/>
          <w:color w:val="000000"/>
          <w:sz w:val="20"/>
        </w:rPr>
        <w:t xml:space="preserve"> that the Company shall not be required to take any action pursuant to this </w:t>
      </w:r>
      <w:r>
        <w:rPr>
          <w:rFonts w:ascii="Times New Roman" w:hAnsi="Times New Roman"/>
          <w:color w:val="000000"/>
          <w:sz w:val="20"/>
          <w:u w:val="single"/>
        </w:rPr>
        <w:t>Section ‎3(a)(x)</w:t>
      </w:r>
      <w:r>
        <w:rPr>
          <w:rFonts w:ascii="Times New Roman" w:hAnsi="Times New Roman"/>
          <w:color w:val="000000"/>
          <w:sz w:val="20"/>
        </w:rPr>
        <w:t xml:space="preserve"> during any suspension period pursuant to </w:t>
      </w:r>
      <w:r>
        <w:rPr>
          <w:rFonts w:ascii="Times New Roman" w:hAnsi="Times New Roman"/>
          <w:color w:val="000000"/>
          <w:sz w:val="20"/>
          <w:u w:val="single"/>
        </w:rPr>
        <w:t>Section ‎2(e)(vi)</w:t>
      </w:r>
      <w:r>
        <w:rPr>
          <w:rFonts w:ascii="Times New Roman" w:hAnsi="Times New Roman"/>
          <w:color w:val="000000"/>
          <w:sz w:val="20"/>
        </w:rPr>
        <w:t xml:space="preserve"> or </w:t>
      </w:r>
      <w:r>
        <w:rPr>
          <w:rFonts w:ascii="Times New Roman" w:hAnsi="Times New Roman"/>
          <w:color w:val="000000"/>
          <w:sz w:val="20"/>
          <w:u w:val="single"/>
        </w:rPr>
        <w:t>Section ‎3(d)</w:t>
      </w:r>
      <w:r>
        <w:rPr>
          <w:rFonts w:ascii="Times New Roman" w:hAnsi="Times New Roman"/>
          <w:color w:val="000000"/>
          <w:sz w:val="20"/>
        </w:rPr>
        <w:t xml:space="preserv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within a reasonable time prior to the filing of any Registration Statement, any Prospectus, any Free Writing Prospectus, or any amendment of or supplement to a Registration Statement, a Prospectus or a Free Writing Prospectus, in each case, excluding any document that is to be incorporated by reference into such Registration Statement, Prospectus, Free Writing Prospectus or any amendment or supplement thereto, provide copies of such document to the Initial Purchasers and their counsel (and, in the case of a Shelf Registration Statement, to the Holders of Registrable Notes included on such Shelf Registration Statement and their counsel) and make representatives of the Company, as shall be reasonably requested by the Initial Purchasers or their counsel (and, in the case of a Shelf Registration Statement, the Holders of Registrable Notes included on such Shelf Registration Statement or their counsel), available for discussion of such document at reasonable times and upon reasonable notice,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Holders will be deemed to have received the documents referred to above upon delivery of such documents to the depository or depositories of the Registrable Notes for distribution to its participants; and the Company shall not, at any time after initial filing of a Registration Statement, use or file any Prospectus, any Free Writing Prospectus, or any amendment of or supplement to a Registration Statement, a Prospectus or a Free Writing Prospectus, in each case, excluding any document that is to be incorporated by reference into such Registration Statement, Prospectus or Free Writing Prospectus or any amendment or supplement thereto, of which the Initial Purchasers and their counsel (and, in the case of a Shelf Registration Statement, the Holders of Registrable Notes and their counsel) shall not have previously been advised and furnished a copy or to which the Initial Purchasers or their counsel (and, in the case of a Shelf Registration Statement, the Holders of Registrable Notes or their counsel) shall have previously reasonably objected in writing within two Business Days after the receipt thereof, unless the Company in good faith reasonably believes that use or filing of such Registration Statement, Prospectus, Free Writing Prospectus, or any amendment of or supplement to a Registration Statement, a Prospectus or a Free Writing Prospectus is required by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use commercially reasonable efforts to obtain a CUSIP number for all Exchange Notes or Registrable Notes, as the case may be, not later than the initial effective date of a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cause the Indenture to be qualified under the Trust Indenture Act in connection with the registration of the Exchange Notes or Registrable Notes that are registered on a Shelf Registration Statement, as the case may be; reasonably cooperate with the Trustee and the Holders to effect such changes to the Indenture as may be required for the Indenture to be so qualified in accordance with the terms of the Trust Indenture Act; and execute, and use commercially reasonable efforts to cause the Trustee to execute, all documents as may be required to effect such changes and all other forms and documents required to be filed with the SEC to enable the Indenture to be so qualified in a timely manner;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(xiv)</w:t>
      </w:r>
    </w:p>
    <w:p>
      <w:pPr>
        <w:pStyle w:val="TextBody"/>
        <w:bidi w:val="0"/>
        <w:spacing w:before="0" w:after="240"/>
        <w:jc w:val="both"/>
        <w:rPr>
          <w:rFonts w:ascii="Times New Roman" w:hAnsi="Times New Roman"/>
          <w:sz w:val="20"/>
        </w:rPr>
      </w:pPr>
      <w:r>
        <w:rPr>
          <w:rFonts w:ascii="Times New Roman" w:hAnsi="Times New Roman"/>
          <w:color w:val="000000"/>
          <w:sz w:val="20"/>
        </w:rPr>
        <w:t>in the case of a Shelf Registration, make available for inspection, solely for customary due diligence purposes to the extent appropriate, by a representative of the Holders of the Registrable Notes (an “</w:t>
      </w:r>
      <w:r>
        <w:rPr>
          <w:rFonts w:ascii="Times New Roman" w:hAnsi="Times New Roman"/>
          <w:color w:val="000000"/>
          <w:sz w:val="20"/>
          <w:u w:val="single"/>
        </w:rPr>
        <w:t>Inspector</w:t>
      </w:r>
      <w:r>
        <w:rPr>
          <w:rFonts w:ascii="Times New Roman" w:hAnsi="Times New Roman"/>
          <w:color w:val="000000"/>
          <w:sz w:val="20"/>
        </w:rPr>
        <w:t xml:space="preserve">”), any Underwriter participating in any disposition pursuant to such Shelf Registration Statement, one firm of counsel and one firm of accountants designated by a majority in aggregate principal amount of the Holders of Registrable Notes to be included in such Shelf Registration and one firm of attorneys and one firm of accountants designated by such Underwriter, at reasonable times and in a reasonable manner, such financial and other records, pertinent documents and access to properties of the Company and its subsidiaries as such Persons may reasonably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request, and cause the officers, directors and employees of the Company to supply all such information and access reasonably requested by any such Inspector, Underwriter, attorney or accountant in connection with a Shelf Registration Statement; </w:t>
      </w:r>
      <w:r>
        <w:rPr>
          <w:rFonts w:ascii="Times New Roman" w:hAnsi="Times New Roman"/>
          <w:color w:val="000000"/>
          <w:sz w:val="20"/>
          <w:u w:val="single"/>
        </w:rPr>
        <w:t>provided</w:t>
      </w:r>
      <w:r>
        <w:rPr>
          <w:rFonts w:ascii="Times New Roman" w:hAnsi="Times New Roman"/>
          <w:color w:val="000000"/>
          <w:sz w:val="20"/>
        </w:rPr>
        <w:t xml:space="preserve"> that each Person receiving such information shall take such actions as are reasonably necessary to protect the confidentiality of such information (including, without limitation, entering into a confidentiality agreement in customary form if requested by the Company) and shall not disclose such records, documents or information unless (A) the disclosure of such records, documents or information is necessary to avoid or correct a misstatement or omission in a Registration Statement; (B) the release of such records, documents or information is ordered pursuant to a subpoena or other order from a court of competent jurisdiction or as part of the evidentiary procedures of a court of competent jurisdiction; or (C) such records, documents or information have previously been generally made available to the public;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reasonably requested by any Holder of Registrable Notes covered by a Shelf Registration Statement, promptly include or incorporate by reference in a Prospectus supplement or post-effective amendment such information with respect to such Holder as such Holder reasonably concludes is required to be included therein and make all required filings of such Prospectus supplement or such post-effective amendment as soon as reasonably practicable after the Company has received notification of the matters to be so included in such filing;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the case of a Shelf Registration, enter into such customary agreements and take all such other customary and appropriate actions in connection therewith (including those reasonably requested by the Holders of a majority in principal amount of the Registrable Notes covered by the Shelf Registration Statement) in order to expedite or facilitate the disposition of such Registrable Notes including, but not limited to, in an Underwritten Offering and in such connection, (A) </w:t>
      </w:r>
      <w:r>
        <w:rPr>
          <w:rFonts w:ascii="Times New Roman" w:hAnsi="Times New Roman"/>
          <w:color w:val="000000"/>
          <w:sz w:val="20"/>
          <w:u w:val="single"/>
        </w:rPr>
        <w:t>provided</w:t>
      </w:r>
      <w:r>
        <w:rPr>
          <w:rFonts w:ascii="Times New Roman" w:hAnsi="Times New Roman"/>
          <w:color w:val="000000"/>
          <w:sz w:val="20"/>
        </w:rPr>
        <w:t xml:space="preserve"> that the Holders’ representations and warranties are of the substance and scope as are customarily made by selling security holders to underwriters in underwritten offerings, to the extent possible, make such representations and warranties to the Holders and any Underwriters of such Registrable Notes with respect to the business of the Company and its subsidiaries and the Registration Statement, Prospectus, any Free Writing Prospectus and documents incorporated by reference or deemed incorporated by reference, if any, in each case, in form, substance and scope as are customarily made by issuers to underwriters in underwritten offerings and consistent with the applicable representations and warranties in the Purchase Agreement and confirm the same if and when required by or requested by the Holder pursuant to the applicable underwriting agreement, (B) solely with respect to an Underwritten Offering, obtain opinions of counsel to the Company (which counsel and opinions, in form, scope and substance, shall be reasonably satisfactory to the Holders of a majority in principal amount of the Registrable Notes being sold and such Underwriters and their respective counsel) addressed to each selling Holder and Underwriter of such Registrable Notes, in customary form and subject to customary limitations, assumptions and exclusions and covering the matters customarily covered in opinions requested in underwritten offerings, (C) solely with respect to an Underwritten Offering, obtain “comfort” letters from the independent certified public accountants of the Company (and, if necessary, any other certified public accountant of any subsidiary of the Company, or of any business acquired by the Company for which financial statements and financial data are or are required to be included in the Registration Statement) addressed to each selling Holder (to the extent permitted by applicable professional standards) and Underwriter of such Registrable Notes,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(D) deliver such documents and certificates as may be reasonably requested by the Holders of a majority in principal amount of the Registrable Notes being sold or the Underwriters, and which are customarily delivered in underwritten offerings, to evidence the continued validity of the representations and warranties of the Company made pursuant to clause ‎(A) above and to evidence compliance with any customary conditions contained in an underwriting agreement; it being agreed that the representations and warranties, opinions of counsel and comfort letters delivered in connection with the initial offering of the Vylor Notes are customary;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the case of a Shelf Registration Statement, the Company may require, as a condition to include such Holder’s Registrable Notes in such Shelf Registration Statement, each Holder of Registrable Notes to furnish to the Company such information regarding such Holder and the proposed disposition by such Holder of such Registrable Notes and other documentation necessary to effectuate the proposed disposition as the Company may from time to time reasonably request in writing and require such Holder to agree in writing to be bound by all provisions of this Agreement applicable to such Holder; </w:t>
      </w:r>
      <w:r>
        <w:rPr>
          <w:rFonts w:ascii="Times New Roman" w:hAnsi="Times New Roman"/>
          <w:color w:val="000000"/>
          <w:sz w:val="20"/>
          <w:u w:val="single"/>
        </w:rPr>
        <w:t>provided</w:t>
      </w:r>
      <w:r>
        <w:rPr>
          <w:rFonts w:ascii="Times New Roman" w:hAnsi="Times New Roman"/>
          <w:color w:val="000000"/>
          <w:sz w:val="20"/>
        </w:rPr>
        <w:t xml:space="preserve"> that if such Holder fails to provide the requested information within 15 Business Days, including all information required to be disclosed so that the information previously furnished to the Company by such Holder is not materially misleading and does not omit to state any material fact required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stated therein or necessary to make the statements therein not misleading in the light of the circumstances under which they were made, the Company may exclude such Holder’s Registrable Notes from such Shelf Registration Statement until such time as the information is provided.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the case of a Shelf Registration Statement, each Holder of Registrable Notes covered in such Shelf Registration Statement agrees that, upon receipt of any notice from the Company of the happening of any event of the kind described in </w:t>
      </w:r>
      <w:r>
        <w:rPr>
          <w:rFonts w:ascii="Times New Roman" w:hAnsi="Times New Roman"/>
          <w:color w:val="000000"/>
          <w:sz w:val="20"/>
          <w:u w:val="single"/>
        </w:rPr>
        <w:t>Section ‎3(a)(vi)(3)</w:t>
      </w:r>
      <w:r>
        <w:rPr>
          <w:rFonts w:ascii="Times New Roman" w:hAnsi="Times New Roman"/>
          <w:color w:val="000000"/>
          <w:sz w:val="20"/>
        </w:rPr>
        <w:t xml:space="preserve"> or </w:t>
      </w:r>
      <w:r>
        <w:rPr>
          <w:rFonts w:ascii="Times New Roman" w:hAnsi="Times New Roman"/>
          <w:color w:val="000000"/>
          <w:sz w:val="20"/>
          <w:u w:val="single"/>
        </w:rPr>
        <w:t>Section ‎3(a)(vi)(5)</w:t>
      </w:r>
      <w:r>
        <w:rPr>
          <w:rFonts w:ascii="Times New Roman" w:hAnsi="Times New Roman"/>
          <w:color w:val="000000"/>
          <w:sz w:val="20"/>
        </w:rPr>
        <w:t xml:space="preserve"> hereof, such Holder will forthwith discontinue disposition of Registrable Notes pursuant to the Shelf Registration Statement until such Holder’s receipt of the copies of the supplemented or amended Prospectus and any Free Writing Prospectus contemplated by </w:t>
      </w:r>
      <w:r>
        <w:rPr>
          <w:rFonts w:ascii="Times New Roman" w:hAnsi="Times New Roman"/>
          <w:color w:val="000000"/>
          <w:sz w:val="20"/>
          <w:u w:val="single"/>
        </w:rPr>
        <w:t>Section ‎3(a)(x)</w:t>
      </w:r>
      <w:r>
        <w:rPr>
          <w:rFonts w:ascii="Times New Roman" w:hAnsi="Times New Roman"/>
          <w:color w:val="000000"/>
          <w:sz w:val="20"/>
        </w:rPr>
        <w:t xml:space="preserve"> hereof and, if so directed by the Company, such Holder will deliver to the Company (at its expense) all copies in its possession, other than permanent file copies then in such Holder’s possession, of the Prospectus and any Free Writing Prospectus covering such Registrable Notes that is current at the time of receipt of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 xml:space="preserve">If the Company shall give any notice to suspend the disposition of Registrable Notes pursuant to a Registration Statement, the Company shall not be required to maintain the effectiveness during the period of suspension, and the Company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Notes shall have received copies of the supplemented or amended Prospectus or any Free Writing Prospectus necessary to resume such dispositions or notice that such amendment or supplement is not necessary; </w:t>
      </w:r>
      <w:r>
        <w:rPr>
          <w:rFonts w:ascii="Times New Roman" w:hAnsi="Times New Roman"/>
          <w:color w:val="000000"/>
          <w:sz w:val="20"/>
          <w:u w:val="single"/>
        </w:rPr>
        <w:t>provided</w:t>
      </w:r>
      <w:r>
        <w:rPr>
          <w:color w:val="000000"/>
          <w:sz w:val="20"/>
        </w:rPr>
        <w:t xml:space="preserve"> </w:t>
      </w:r>
      <w:r>
        <w:rPr>
          <w:rFonts w:ascii="Times New Roman" w:hAnsi="Times New Roman"/>
          <w:color w:val="000000"/>
          <w:sz w:val="20"/>
        </w:rPr>
        <w:t xml:space="preserve">that no such extension shall be made in the case where such suspension is solely as a result of the Company’s compliance with this </w:t>
      </w:r>
      <w:r>
        <w:rPr>
          <w:rFonts w:ascii="Times New Roman" w:hAnsi="Times New Roman"/>
          <w:color w:val="000000"/>
          <w:sz w:val="20"/>
          <w:u w:val="single"/>
        </w:rPr>
        <w:t>Section ‎3(d)</w:t>
      </w:r>
      <w:r>
        <w:rPr>
          <w:color w:val="000000"/>
          <w:sz w:val="20"/>
        </w:rPr>
        <w:t xml:space="preserve"> </w:t>
      </w:r>
      <w:r>
        <w:rPr>
          <w:rFonts w:ascii="Times New Roman" w:hAnsi="Times New Roman"/>
          <w:color w:val="000000"/>
          <w:sz w:val="20"/>
        </w:rPr>
        <w:t>or any other suspension at the request of a 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give any such notice only twice during any 365-day period, any such suspensions shall not exceed 60 days for each suspension and there shall not be more than two suspensions in effect during any 365-day period (except for the consecutive 60-day period immediately prior to the maturity of the Vylor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The Holders of Registrable Notes covered by a Shelf Registration Statement who desire to do so may sell such Registrable Notes in an Underwritten Offering. In any such Underwritten Offering, the investment bank or investment banks and manager or managers (each an “</w:t>
      </w:r>
      <w:r>
        <w:rPr>
          <w:rFonts w:ascii="Times New Roman" w:hAnsi="Times New Roman"/>
          <w:color w:val="000000"/>
          <w:sz w:val="20"/>
          <w:u w:val="single"/>
        </w:rPr>
        <w:t>Underwriter</w:t>
      </w:r>
      <w:r>
        <w:rPr>
          <w:color w:val="000000"/>
          <w:sz w:val="20"/>
        </w:rPr>
        <w:t>”</w:t>
      </w:r>
      <w:r>
        <w:rPr>
          <w:rFonts w:ascii="Times New Roman" w:hAnsi="Times New Roman"/>
          <w:color w:val="000000"/>
          <w:sz w:val="20"/>
        </w:rPr>
        <w:t>) that will administer the offering will be selected by the Company (</w:t>
      </w:r>
      <w:r>
        <w:rPr>
          <w:rFonts w:ascii="Times New Roman" w:hAnsi="Times New Roman"/>
          <w:color w:val="000000"/>
          <w:sz w:val="20"/>
          <w:u w:val="single"/>
        </w:rPr>
        <w:t>provided</w:t>
      </w:r>
      <w:r>
        <w:rPr>
          <w:color w:val="000000"/>
          <w:sz w:val="20"/>
        </w:rPr>
        <w:t xml:space="preserve"> </w:t>
      </w:r>
      <w:r>
        <w:rPr>
          <w:rFonts w:ascii="Times New Roman" w:hAnsi="Times New Roman"/>
          <w:color w:val="000000"/>
          <w:sz w:val="20"/>
        </w:rPr>
        <w:t>the lead Underwriter shall also be reasonably acceptable to Holders of a majority in principal amount of the Registrable Notes included in such offering). All fees, costs and expenses of the Underwriters, except for Registration Expenses, shall be borne by such 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Holder of Registrable Notes may participate in any Underwritten Offering hereunder unless such Holder (A) agrees to sell such Holder’s Registrable Notes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Underwritten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of an Underwritten Offering, each Holder agrees that, neither such Holder nor any Underwriter participating in any disposition pursuant to any Registration Statement on such Holder’s behalf, will make any offer relating to the Registrable Notes that would constitute an Issuer Free Writing Prospectus (as defined in Rule 433 under the Securities Act) or that would otherwise constitute a “free writing prospectus” (as defined in Rule 405 under the Securities Act) required to be filed by the Company with the SEC or retained by the Company under Rule 433 of the Securities Act, unless it has obtained the prior written consent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Participation of Broker-Dealers in Exchange Offer.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The Company has been advised that the Staff has taken the position that any broker-dealer that receives Exchange Notes for its own account in the Exchange Offer in exchange for the Vylor Notes that were acquired by such broker-dealer as a result of market-making or other trading activities (a “</w:t>
      </w:r>
      <w:r>
        <w:rPr>
          <w:rFonts w:ascii="Times New Roman" w:hAnsi="Times New Roman"/>
          <w:color w:val="000000"/>
          <w:sz w:val="20"/>
          <w:u w:val="single"/>
        </w:rPr>
        <w:t>Participating Broker-Dealer</w:t>
      </w:r>
      <w:r>
        <w:rPr>
          <w:color w:val="000000"/>
          <w:sz w:val="20"/>
        </w:rPr>
        <w:t>”</w:t>
      </w:r>
      <w:r>
        <w:rPr>
          <w:rFonts w:ascii="Times New Roman" w:hAnsi="Times New Roman"/>
          <w:color w:val="000000"/>
          <w:sz w:val="20"/>
        </w:rPr>
        <w:t>) may be deemed to be an “underwriter” within the meaning of the Securities Act and must deliver a prospectus meeting the requirements of the Securities Act in connection with any resale of such Exchange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been advised that it is the Staff’s position that if the Prospectus contained in the Exchange Offer Registration Statement includes a plan of distribution containing a statement to the above effect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the means by which Participating Broker-Dealers may resell the Exchange Notes, without naming the Participating Broker-Dealers or specifying the amount of Exchange Notes owned by them, such Prospectus may be delivered by Participating Broker-Dealers (or, to the extent permitted by law, made available to purchasers) to satisfy their prospectus delivery obligation under the Securities Act in connection with resales of Exchange Notes for their own accounts, so long as the Prospectus otherwise meets the requirements of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 xml:space="preserve">In light of the above, and notwithstanding the other provisions of this Agreement, the Company agrees, if so requested by one or more Holders who is a Participating Broker-Dealer, to use commercially reasonable efforts to amend or supplement the Prospectus contained in the Exchange Offer Registration Statement for a period ending on the earlier of (A) 180 days after the Exchange Date (as such period may be extended pursuant to </w:t>
      </w:r>
      <w:r>
        <w:rPr>
          <w:rFonts w:ascii="Times New Roman" w:hAnsi="Times New Roman"/>
          <w:color w:val="000000"/>
          <w:sz w:val="20"/>
          <w:u w:val="single"/>
        </w:rPr>
        <w:t>Section ‎3(d)</w:t>
      </w:r>
      <w:r>
        <w:rPr>
          <w:color w:val="000000"/>
          <w:sz w:val="20"/>
        </w:rPr>
        <w:t xml:space="preserve"> </w:t>
      </w:r>
      <w:r>
        <w:rPr>
          <w:rFonts w:ascii="Times New Roman" w:hAnsi="Times New Roman"/>
          <w:color w:val="000000"/>
          <w:sz w:val="20"/>
        </w:rPr>
        <w:t>hereof), and (B) the date on which each Participating Broker-Dealer is no longer required to deliver a prospectus in connection with market making or other trading activities, in each case to the extent necessary to ensure that the Exchange Offer Registration Statement is available for resale of the Registrable Notes acquired by the Participating Broker-Dealers.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further consents, subject to </w:t>
      </w:r>
      <w:r>
        <w:rPr>
          <w:rFonts w:ascii="Times New Roman" w:hAnsi="Times New Roman"/>
          <w:color w:val="000000"/>
          <w:sz w:val="20"/>
          <w:u w:val="single"/>
        </w:rPr>
        <w:t>Section ‎3(c)</w:t>
      </w:r>
      <w:r>
        <w:rPr>
          <w:rFonts w:ascii="Times New Roman" w:hAnsi="Times New Roman"/>
          <w:color w:val="000000"/>
          <w:sz w:val="20"/>
        </w:rPr>
        <w:t xml:space="preserve"> hereof, to the delivery of (or, to the extent permitted by law, agree to make available) such Prospectus by Participating Broker-Dealers during such period in connection with the resales contemplated by this </w:t>
      </w:r>
      <w:r>
        <w:rPr>
          <w:rFonts w:ascii="Times New Roman" w:hAnsi="Times New Roman"/>
          <w:color w:val="000000"/>
          <w:sz w:val="20"/>
          <w:u w:val="single"/>
        </w:rPr>
        <w:t>Section ‎4</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Initial Purchasers shall have no liability to the Company or any Holder with respect to any request that a Holder may make pursuant to </w:t>
      </w:r>
      <w:r>
        <w:rPr>
          <w:rFonts w:ascii="Times New Roman" w:hAnsi="Times New Roman"/>
          <w:color w:val="000000"/>
          <w:sz w:val="20"/>
          <w:u w:val="single"/>
        </w:rPr>
        <w:t>Section ‎4(b)</w:t>
      </w:r>
      <w:r>
        <w:rPr>
          <w:rFonts w:ascii="Times New Roman" w:hAnsi="Times New Roman"/>
          <w:color w:val="000000"/>
          <w:sz w:val="20"/>
        </w:rPr>
        <w:t xml:space="preserv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Indemnification and Contribution.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The Company agrees to indemnify and hold harmless each Initial Purchaser, each Holder, their respective directors, officers and employees, each Person, if any, who controls any Initial Purchaser or any Holder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reasonable legal fees and other documented expenses reasonably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or in any amendment thereof or any supplement thereto, any Free Writing Prospectus or any “issuer information” (“</w:t>
      </w:r>
      <w:r>
        <w:rPr>
          <w:rFonts w:ascii="Times New Roman" w:hAnsi="Times New Roman"/>
          <w:color w:val="000000"/>
          <w:sz w:val="20"/>
          <w:u w:val="single"/>
        </w:rPr>
        <w:t>Issuer Information</w:t>
      </w:r>
      <w:r>
        <w:rPr>
          <w:color w:val="000000"/>
          <w:sz w:val="20"/>
        </w:rPr>
        <w:t>”</w:t>
      </w:r>
      <w:r>
        <w:rPr>
          <w:rFonts w:ascii="Times New Roman" w:hAnsi="Times New Roman"/>
          <w:color w:val="000000"/>
          <w:sz w:val="20"/>
        </w:rPr>
        <w:t>) filed or required to be filed pursuant to Rule 433(d) under the Securities Act,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or information relating to any Holder furnished to the Company in writing by or on behalf of such parties expressly for use therein.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connection with any Underwritten Offering permitted by </w:t>
      </w:r>
      <w:r>
        <w:rPr>
          <w:rFonts w:ascii="Times New Roman" w:hAnsi="Times New Roman"/>
          <w:color w:val="000000"/>
          <w:sz w:val="20"/>
          <w:u w:val="single"/>
        </w:rPr>
        <w:t>Section ‎3</w:t>
      </w:r>
      <w:r>
        <w:rPr>
          <w:rFonts w:ascii="Times New Roman" w:hAnsi="Times New Roman"/>
          <w:color w:val="000000"/>
          <w:sz w:val="20"/>
        </w:rPr>
        <w:t xml:space="preserve"> hereof, the Company agrees to also indemnify the Underwriters, if any, their respective affiliates (within the meaning of Rule 405 under the Securities Act) and each Person who controls such Persons (within the meaning of the Securities Act and the Exchange Act) to the same extent as provided above with respect to the indemnification of the Holders, if requested in connection with any Registration Statement, any Prospectus, any Free Writing Prospectus or any Issuer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Each Holder agrees, severally and not jointly, to indemnify and hold harmless the Company, the Initial Purchasers and the other selling Holders, the directors of the Company, each officer of the Company who signed the Registration Statement and each Person, if any, who controls the Company, any Initial Purchaser and any other selling Holder within the meaning of either Section 15 of the Securities Act or Section 20 of the Exchange Act, and each affiliate of any Initial Purchaser within the meaning of Rule 405 under the Securities Act and such Initial Purchaser’s respective directors, officers and employees, to the same extent as the indemnity set forth in </w:t>
      </w:r>
      <w:r>
        <w:rPr>
          <w:rFonts w:ascii="Times New Roman" w:hAnsi="Times New Roman"/>
          <w:color w:val="000000"/>
          <w:sz w:val="20"/>
          <w:u w:val="single"/>
        </w:rPr>
        <w:t>Section ‎5(a)</w:t>
      </w:r>
      <w:r>
        <w:rPr>
          <w:rFonts w:ascii="Times New Roman" w:hAnsi="Times New Roman"/>
          <w:color w:val="000000"/>
          <w:sz w:val="20"/>
        </w:rPr>
        <w:t xml:space="preserve"> hereof, but only with respect to any losses, claims, damages or liabilities (including without limitation, legal fees and other expenses incurred in connection with any suit, action or proceeding or any claim asserted, as such fees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expenses are incurred) that arise out of, or are based upon, any untrue statement or omission or alleged untrue statement or omission made in reliance upon and in conformity with any information relating to such Holder furnished to the Company in writing by or on behalf of such Holder expressly for use in any Registration Statement, any Prospectus or any Free Writing Prospectus.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 xml:space="preserve">If any suit, action, proceeding (including any governmental or regulatory investigation), claim or demand shall be brought or asserted against any Person in respect of which indemnification may be sought pursuant to either </w:t>
      </w:r>
      <w:r>
        <w:rPr>
          <w:rFonts w:ascii="Times New Roman" w:hAnsi="Times New Roman"/>
          <w:color w:val="000000"/>
          <w:sz w:val="20"/>
          <w:u w:val="single"/>
        </w:rPr>
        <w:t>Section ‎5(a)</w:t>
      </w:r>
      <w:r>
        <w:rPr>
          <w:color w:val="000000"/>
          <w:sz w:val="20"/>
        </w:rPr>
        <w:t xml:space="preserve"> </w:t>
      </w:r>
      <w:r>
        <w:rPr>
          <w:rFonts w:ascii="Times New Roman" w:hAnsi="Times New Roman"/>
          <w:color w:val="000000"/>
          <w:sz w:val="20"/>
        </w:rPr>
        <w:t xml:space="preserve">or </w:t>
      </w:r>
      <w:r>
        <w:rPr>
          <w:rFonts w:ascii="Times New Roman" w:hAnsi="Times New Roman"/>
          <w:color w:val="000000"/>
          <w:sz w:val="20"/>
          <w:u w:val="single"/>
        </w:rPr>
        <w:t>Section ‎5(b)</w:t>
      </w:r>
      <w:r>
        <w:rPr>
          <w:color w:val="000000"/>
          <w:sz w:val="20"/>
        </w:rPr>
        <w:t xml:space="preserve"> </w:t>
      </w:r>
      <w:r>
        <w:rPr>
          <w:rFonts w:ascii="Times New Roman" w:hAnsi="Times New Roman"/>
          <w:color w:val="000000"/>
          <w:sz w:val="20"/>
        </w:rPr>
        <w:t>hereof, such Person (the “</w:t>
      </w:r>
      <w:r>
        <w:rPr>
          <w:rFonts w:ascii="Times New Roman" w:hAnsi="Times New Roman"/>
          <w:color w:val="000000"/>
          <w:sz w:val="20"/>
          <w:u w:val="single"/>
        </w:rPr>
        <w:t>Indemnified Person</w:t>
      </w:r>
      <w:r>
        <w:rPr>
          <w:color w:val="000000"/>
          <w:sz w:val="20"/>
        </w:rPr>
        <w:t>”</w:t>
      </w:r>
      <w:r>
        <w:rPr>
          <w:rFonts w:ascii="Times New Roman" w:hAnsi="Times New Roman"/>
          <w:color w:val="000000"/>
          <w:sz w:val="20"/>
        </w:rPr>
        <w:t>) shall promptly notify the Person against whom such indemnification may be sought (the “</w:t>
      </w:r>
      <w:r>
        <w:rPr>
          <w:rFonts w:ascii="Times New Roman" w:hAnsi="Times New Roman"/>
          <w:color w:val="000000"/>
          <w:sz w:val="20"/>
          <w:u w:val="single"/>
        </w:rPr>
        <w:t>Indemnifying Person</w:t>
      </w:r>
      <w:r>
        <w:rPr>
          <w:color w:val="000000"/>
          <w:sz w:val="20"/>
        </w:rPr>
        <w:t>”</w:t>
      </w:r>
      <w:r>
        <w:rPr>
          <w:rFonts w:ascii="Times New Roman" w:hAnsi="Times New Roman"/>
          <w:color w:val="000000"/>
          <w:sz w:val="20"/>
        </w:rPr>
        <w:t xml:space="preserve">) in writing; </w:t>
      </w:r>
      <w:r>
        <w:rPr>
          <w:rFonts w:ascii="Times New Roman" w:hAnsi="Times New Roman"/>
          <w:color w:val="000000"/>
          <w:sz w:val="20"/>
          <w:u w:val="single"/>
        </w:rPr>
        <w:t>provided</w:t>
      </w:r>
      <w:r>
        <w:rPr>
          <w:color w:val="000000"/>
          <w:sz w:val="20"/>
        </w:rPr>
        <w:t xml:space="preserve"> </w:t>
      </w:r>
      <w:r>
        <w:rPr>
          <w:rFonts w:ascii="Times New Roman" w:hAnsi="Times New Roman"/>
          <w:color w:val="000000"/>
          <w:sz w:val="20"/>
        </w:rPr>
        <w:t xml:space="preserve">that the failure to notify the Indemnifying Person shall not relieve it from any liability that it may have under </w:t>
      </w:r>
      <w:r>
        <w:rPr>
          <w:rFonts w:ascii="Times New Roman" w:hAnsi="Times New Roman"/>
          <w:color w:val="000000"/>
          <w:sz w:val="20"/>
          <w:u w:val="single"/>
        </w:rPr>
        <w:t>Section ‎5(a)</w:t>
      </w:r>
      <w:r>
        <w:rPr>
          <w:color w:val="000000"/>
          <w:sz w:val="20"/>
        </w:rPr>
        <w:t xml:space="preserve"> </w:t>
      </w:r>
      <w:r>
        <w:rPr>
          <w:rFonts w:ascii="Times New Roman" w:hAnsi="Times New Roman"/>
          <w:color w:val="000000"/>
          <w:sz w:val="20"/>
        </w:rPr>
        <w:t xml:space="preserve">or </w:t>
      </w:r>
      <w:r>
        <w:rPr>
          <w:rFonts w:ascii="Times New Roman" w:hAnsi="Times New Roman"/>
          <w:color w:val="000000"/>
          <w:sz w:val="20"/>
          <w:u w:val="single"/>
        </w:rPr>
        <w:t>Section ‎5(b)</w:t>
      </w:r>
      <w:r>
        <w:rPr>
          <w:color w:val="000000"/>
          <w:sz w:val="20"/>
        </w:rPr>
        <w:t xml:space="preserve"> </w:t>
      </w:r>
      <w:r>
        <w:rPr>
          <w:rFonts w:ascii="Times New Roman" w:hAnsi="Times New Roman"/>
          <w:color w:val="000000"/>
          <w:sz w:val="20"/>
        </w:rPr>
        <w:t xml:space="preserve">hereof, except to the extent that it has been materially prejudiced (through the forfeiture of substantive rights or defenses) by such failure; and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the failure to notify the Indemnifying Person shall not relieve it from any liability that it may have to an Indemnified Person otherwise than under </w:t>
      </w:r>
      <w:r>
        <w:rPr>
          <w:rFonts w:ascii="Times New Roman" w:hAnsi="Times New Roman"/>
          <w:color w:val="000000"/>
          <w:sz w:val="20"/>
          <w:u w:val="single"/>
        </w:rPr>
        <w:t>Section ‎5(a)</w:t>
      </w:r>
      <w:r>
        <w:rPr>
          <w:color w:val="000000"/>
          <w:sz w:val="20"/>
        </w:rPr>
        <w:t xml:space="preserve"> </w:t>
      </w:r>
      <w:r>
        <w:rPr>
          <w:rFonts w:ascii="Times New Roman" w:hAnsi="Times New Roman"/>
          <w:color w:val="000000"/>
          <w:sz w:val="20"/>
        </w:rPr>
        <w:t xml:space="preserve">or </w:t>
      </w:r>
      <w:r>
        <w:rPr>
          <w:rFonts w:ascii="Times New Roman" w:hAnsi="Times New Roman"/>
          <w:color w:val="000000"/>
          <w:sz w:val="20"/>
          <w:u w:val="single"/>
        </w:rPr>
        <w:t>Section ‎5(b)</w:t>
      </w:r>
      <w:r>
        <w:rPr>
          <w:color w:val="000000"/>
          <w:sz w:val="20"/>
        </w:rPr>
        <w:t xml:space="preserve"> </w:t>
      </w:r>
      <w:r>
        <w:rPr>
          <w:rFonts w:ascii="Times New Roman" w:hAnsi="Times New Roman"/>
          <w:color w:val="000000"/>
          <w:sz w:val="20"/>
        </w:rPr>
        <w: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w:t>
      </w:r>
      <w:r>
        <w:rPr>
          <w:rFonts w:ascii="Times New Roman" w:hAnsi="Times New Roman"/>
          <w:color w:val="000000"/>
          <w:sz w:val="20"/>
          <w:u w:val="single"/>
        </w:rPr>
        <w:t>Section ‎5</w:t>
      </w:r>
      <w:r>
        <w:rPr>
          <w:rFonts w:ascii="Times New Roman" w:hAnsi="Times New Roman"/>
          <w:color w:val="000000"/>
          <w:sz w:val="20"/>
        </w:rPr>
        <w:t xml:space="preserve"> that the Indemnifying Person may designate in such proceeding and shall pay the reasonable fees and expenses of such proceeding and shall pay the reasonable and documented fees and expenses of such counsel related to such proceeding, as incurred.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any such proceeding, any Indemnified Person shall have the right to retain its own counsel, but the fees and expenses of such counsel shall be at the expense of such Indemnified Person unless (A) the Indemnifying Person and the Indemnified Person shall have mutually agreed to the contrary; (B) the Indemnifying Person has failed within a reasonable time to retain counsel reasonably satisfactory to the Indemnified Person; (C) the Indemnified Person shall have reasonably concluded that there may be legal defenses available to it that are different from or in addition to those available to the Indemnifying Person; or (D) the named parties in any such proceeding (including any impleaded parties) include both the Indemnifying Person and the Indemnified Person and representation of both parties by the same counsel would be inappropriate due to actual or potential differing interests between them.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reimbursed as they are incurred.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such separate firm (x) for any Initial Purchaser or its affiliates, directors and officers and any control Persons of such Initial Purchaser shall be designated in writing by such Initial Purchasers, (y) for any Holder, its directors and officers and any control Persons of such Holder shall be designated in writing by the Majority Holders, and (z) in all other cases shall be designated in writing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failure to act by or on behalf of any Indemnified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the indemnification provided for in </w:t>
      </w:r>
      <w:r>
        <w:rPr>
          <w:rFonts w:ascii="Times New Roman" w:hAnsi="Times New Roman"/>
          <w:color w:val="000000"/>
          <w:sz w:val="20"/>
          <w:u w:val="single"/>
        </w:rPr>
        <w:t>Section ‎5(a)</w:t>
      </w:r>
      <w:r>
        <w:rPr>
          <w:rFonts w:ascii="Times New Roman" w:hAnsi="Times New Roman"/>
          <w:color w:val="000000"/>
          <w:sz w:val="20"/>
        </w:rPr>
        <w:t xml:space="preserve"> or </w:t>
      </w:r>
      <w:r>
        <w:rPr>
          <w:rFonts w:ascii="Times New Roman" w:hAnsi="Times New Roman"/>
          <w:color w:val="000000"/>
          <w:sz w:val="20"/>
          <w:u w:val="single"/>
        </w:rPr>
        <w:t>Section ‎5(b)</w:t>
      </w:r>
      <w:r>
        <w:rPr>
          <w:rFonts w:ascii="Times New Roman" w:hAnsi="Times New Roman"/>
          <w:color w:val="000000"/>
          <w:sz w:val="20"/>
        </w:rPr>
        <w:t xml:space="preserve"> hereof is unavailable to an Indemnified Person or insufficient in respect of any losses, claims, damages or liabilities referred to therein, then 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Indemnifying Person under such </w:t>
      </w:r>
      <w:r>
        <w:rPr>
          <w:rFonts w:ascii="Times New Roman" w:hAnsi="Times New Roman"/>
          <w:color w:val="000000"/>
          <w:sz w:val="20"/>
          <w:u w:val="single"/>
        </w:rPr>
        <w:t>Section ‎5(a)</w:t>
      </w:r>
      <w:r>
        <w:rPr>
          <w:rFonts w:ascii="Times New Roman" w:hAnsi="Times New Roman"/>
          <w:color w:val="000000"/>
          <w:sz w:val="20"/>
        </w:rPr>
        <w:t xml:space="preserve"> or </w:t>
      </w:r>
      <w:r>
        <w:rPr>
          <w:rFonts w:ascii="Times New Roman" w:hAnsi="Times New Roman"/>
          <w:color w:val="000000"/>
          <w:sz w:val="20"/>
          <w:u w:val="single"/>
        </w:rPr>
        <w:t>Section ‎5(b)</w:t>
      </w:r>
      <w:r>
        <w:rPr>
          <w:rFonts w:ascii="Times New Roman" w:hAnsi="Times New Roman"/>
          <w:color w:val="000000"/>
          <w:sz w:val="20"/>
        </w:rPr>
        <w:t xml:space="preserve">,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from the offering of the Vylor Notes and the Exchange Notes, on the one hand, and by the Holders from receiving the Vylor Notes or Exchange Notes registered under the Securities Act, on the other hand, or (ii) if the allocation provided by </w:t>
      </w:r>
      <w:r>
        <w:rPr>
          <w:rFonts w:ascii="Times New Roman" w:hAnsi="Times New Roman"/>
          <w:color w:val="000000"/>
          <w:sz w:val="20"/>
          <w:u w:val="single"/>
        </w:rPr>
        <w:t>clause ‎(i)</w:t>
      </w:r>
      <w:r>
        <w:rPr>
          <w:rFonts w:ascii="Times New Roman" w:hAnsi="Times New Roman"/>
          <w:color w:val="000000"/>
          <w:sz w:val="20"/>
        </w:rPr>
        <w:t xml:space="preserve"> is not permitted by applicable law, in such proportion as is appropriate to reflect not only the relative benefits referred to in </w:t>
      </w:r>
      <w:r>
        <w:rPr>
          <w:rFonts w:ascii="Times New Roman" w:hAnsi="Times New Roman"/>
          <w:color w:val="000000"/>
          <w:sz w:val="20"/>
          <w:u w:val="single"/>
        </w:rPr>
        <w:t>clause ‎(i)</w:t>
      </w:r>
      <w:r>
        <w:rPr>
          <w:rFonts w:ascii="Times New Roman" w:hAnsi="Times New Roman"/>
          <w:color w:val="000000"/>
          <w:sz w:val="20"/>
        </w:rPr>
        <w:t xml:space="preserve"> but also the relative fault of the Company, on the one hand, and the Holders, on the other, in connection with the statements or omissions that resulted in such losses, claims, damages or liabilities, as well as any other relevant equitable considerations. The relative fault of the Company, on the one hand, and the Holders, on the other, shall be determined by reference to, among other things, whether the untrue or alleged untrue statement of a material fact or the omission or alleged omission to state a material fact relates to information supplied by the Company or by the Holders, as applicable, and the parties’ relative intent, knowledge, access to information and opportunity to correct or prevent such statement or omission.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sz w:val="20"/>
        </w:rPr>
      </w:pPr>
      <w:r>
        <w:rPr>
          <w:rFonts w:ascii="Times New Roman" w:hAnsi="Times New Roman"/>
          <w:color w:val="000000"/>
          <w:sz w:val="20"/>
        </w:rPr>
        <w:t>(i)</w:t>
      </w:r>
      <w:r>
        <w:rPr>
          <w:color w:val="000000"/>
          <w:sz w:val="20"/>
        </w:rPr>
        <w:t xml:space="preserve"> </w:t>
      </w:r>
      <w:r>
        <w:rPr>
          <w:rFonts w:ascii="Times New Roman" w:hAnsi="Times New Roman"/>
          <w:color w:val="000000"/>
          <w:sz w:val="20"/>
        </w:rPr>
        <w:t xml:space="preserve">The Company and the Holders agree that it would not be just and equitable if contribution pursuant to this </w:t>
      </w:r>
      <w:r>
        <w:rPr>
          <w:rFonts w:ascii="Times New Roman" w:hAnsi="Times New Roman"/>
          <w:color w:val="000000"/>
          <w:sz w:val="20"/>
          <w:u w:val="single"/>
        </w:rPr>
        <w:t>Section ‎5</w:t>
      </w:r>
      <w:r>
        <w:rPr>
          <w:color w:val="000000"/>
          <w:sz w:val="20"/>
        </w:rPr>
        <w:t xml:space="preserve"> </w:t>
      </w:r>
      <w:r>
        <w:rPr>
          <w:rFonts w:ascii="Times New Roman" w:hAnsi="Times New Roman"/>
          <w:color w:val="000000"/>
          <w:sz w:val="20"/>
        </w:rPr>
        <w:t xml:space="preserve">were determined by </w:t>
      </w:r>
      <w:r>
        <w:rPr>
          <w:rFonts w:ascii="Times New Roman" w:hAnsi="Times New Roman"/>
          <w:color w:val="000000"/>
          <w:sz w:val="20"/>
          <w:u w:val="single"/>
        </w:rPr>
        <w:t>pro rata</w:t>
      </w:r>
      <w:r>
        <w:rPr>
          <w:color w:val="000000"/>
          <w:sz w:val="20"/>
        </w:rPr>
        <w:t xml:space="preserve"> </w:t>
      </w:r>
      <w:r>
        <w:rPr>
          <w:rFonts w:ascii="Times New Roman" w:hAnsi="Times New Roman"/>
          <w:color w:val="000000"/>
          <w:sz w:val="20"/>
        </w:rPr>
        <w:t xml:space="preserve">allocation (even if the Holders were treated as one entity for such purpose) or by any other method of allocation that does not take account of the equitable considerations referred to in </w:t>
      </w:r>
      <w:r>
        <w:rPr>
          <w:rFonts w:ascii="Times New Roman" w:hAnsi="Times New Roman"/>
          <w:color w:val="000000"/>
          <w:sz w:val="20"/>
          <w:u w:val="single"/>
        </w:rPr>
        <w:t>Section ‎5(d)</w:t>
      </w:r>
      <w:r>
        <w:rPr>
          <w:color w:val="000000"/>
          <w:sz w:val="20"/>
        </w:rPr>
        <w:t xml:space="preserve"> </w:t>
      </w:r>
      <w:r>
        <w:rPr>
          <w:rFonts w:ascii="Times New Roman" w:hAnsi="Times New Roman"/>
          <w:color w:val="000000"/>
          <w:sz w:val="20"/>
        </w:rPr>
        <w: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amount paid or payable by an Indemnified Person as a result of the losses, claims, damages and liabilities referred to in </w:t>
      </w:r>
      <w:r>
        <w:rPr>
          <w:rFonts w:ascii="Times New Roman" w:hAnsi="Times New Roman"/>
          <w:color w:val="000000"/>
          <w:sz w:val="20"/>
          <w:u w:val="single"/>
        </w:rPr>
        <w:t>Section ‎5(d)</w:t>
      </w:r>
      <w:r>
        <w:rPr>
          <w:rFonts w:ascii="Times New Roman" w:hAnsi="Times New Roman"/>
          <w:color w:val="000000"/>
          <w:sz w:val="20"/>
        </w:rPr>
        <w:t xml:space="preserve"> hereof shall be deemed to include, subject to the limitations set forth above, any legal or other expenses reasonably incurred by such Indemnified Person in connection with any such action or claim.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the provisions of this </w:t>
      </w:r>
      <w:r>
        <w:rPr>
          <w:rFonts w:ascii="Times New Roman" w:hAnsi="Times New Roman"/>
          <w:color w:val="000000"/>
          <w:sz w:val="20"/>
          <w:u w:val="single"/>
        </w:rPr>
        <w:t>Section ‎5</w:t>
      </w:r>
      <w:r>
        <w:rPr>
          <w:rFonts w:ascii="Times New Roman" w:hAnsi="Times New Roman"/>
          <w:color w:val="000000"/>
          <w:sz w:val="20"/>
        </w:rPr>
        <w:t>, in no event shall a Holder be required to contribute any amount in excess of the amount by which the total price at which the applicable series of Vylor Notes or Exchange Notes sold by such Holder exceeds the amount of any damages that such Holder has otherwise been required to pay by reason of such untrue or alleged untrue statement or omission or alleged omission.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Holders’ obligations to contribute pursuant to this </w:t>
      </w:r>
      <w:r>
        <w:rPr>
          <w:rFonts w:ascii="Times New Roman" w:hAnsi="Times New Roman"/>
          <w:color w:val="000000"/>
          <w:sz w:val="20"/>
          <w:u w:val="single"/>
        </w:rPr>
        <w:t>Section ‎5</w:t>
      </w:r>
      <w:r>
        <w:rPr>
          <w:rFonts w:ascii="Times New Roman" w:hAnsi="Times New Roman"/>
          <w:color w:val="000000"/>
          <w:sz w:val="20"/>
        </w:rPr>
        <w:t xml:space="preserve"> are several and not joint.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remedies provided for in this </w:t>
      </w:r>
      <w:r>
        <w:rPr>
          <w:rFonts w:ascii="Times New Roman" w:hAnsi="Times New Roman"/>
          <w:color w:val="000000"/>
          <w:sz w:val="20"/>
          <w:u w:val="single"/>
        </w:rPr>
        <w:t>Section ‎5</w:t>
      </w:r>
      <w:r>
        <w:rPr>
          <w:rFonts w:ascii="Times New Roman" w:hAnsi="Times New Roman"/>
          <w:color w:val="000000"/>
          <w:sz w:val="20"/>
        </w:rPr>
        <w:t xml:space="preserve"> are not exclusive and shall not limit any rights or remedies that may otherwise be available to any Indemnified Person at law or in equity.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indemnity and contribution provisions contained in this </w:t>
      </w:r>
      <w:r>
        <w:rPr>
          <w:rFonts w:ascii="Times New Roman" w:hAnsi="Times New Roman"/>
          <w:color w:val="000000"/>
          <w:sz w:val="20"/>
          <w:u w:val="single"/>
        </w:rPr>
        <w:t>Section ‎5</w:t>
      </w:r>
      <w:r>
        <w:rPr>
          <w:rFonts w:ascii="Times New Roman" w:hAnsi="Times New Roman"/>
          <w:color w:val="000000"/>
          <w:sz w:val="20"/>
        </w:rPr>
        <w:t xml:space="preserve"> shall remain operative and in full force and effect regardless of (i) any termination of this Agreement; (ii) any investigation made by or on behalf of the Initial Purchasers or any Holder or any Person controlling any Initial Purchaser or any Holder, or by or on behalf of the Company or the officers or directors of or any Person controlling the Company; (iii) acceptance of any of the Exchange Notes; and (iv) any sale of Registrable Notes pursuant to a Shelf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General.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No Inconsistent Agreements. </w:t>
      </w:r>
      <w:r>
        <w:rPr>
          <w:rFonts w:ascii="Times New Roman" w:hAnsi="Times New Roman"/>
          <w:color w:val="000000"/>
          <w:sz w:val="20"/>
        </w:rPr>
        <w:t>The Company represents, warrants and agrees that (i) the rights granted to the Holders hereunder do not in any way conflict with the rights granted to the holders of any other outstanding securities issued by the Company under any other agreement, and (ii) the Company has not entered into, and on or after the date of this Agreement, will not enter into, any agreement that conflicts with the rights granted to the Holders of Registrable Notes in this Agreement or otherwise conflicts with the provisions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Amendments and Waivers. </w:t>
      </w:r>
      <w:r>
        <w:rPr>
          <w:rFonts w:ascii="Times New Roman" w:hAnsi="Times New Roman"/>
          <w:color w:val="000000"/>
          <w:sz w:val="20"/>
        </w:rPr>
        <w:t xml:space="preserve">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aggregate principal amount of the outstanding Registrable Notes affected by such amendment, modification, supplement, waiver or consent. Any amendments, modifications, supplements, waivers or consents pursuant to this </w:t>
      </w:r>
      <w:r>
        <w:rPr>
          <w:rFonts w:ascii="Times New Roman" w:hAnsi="Times New Roman"/>
          <w:color w:val="000000"/>
          <w:sz w:val="20"/>
          <w:u w:val="single"/>
        </w:rPr>
        <w:t>Section ‎6(b)</w:t>
      </w:r>
      <w:r>
        <w:rPr>
          <w:rFonts w:ascii="Times New Roman" w:hAnsi="Times New Roman"/>
          <w:color w:val="000000"/>
          <w:sz w:val="20"/>
        </w:rPr>
        <w:t xml:space="preserve"> shall be in writing and signed by the parties hereto. Each Holder of Registrable Notes outstanding at the time of such amendment, modification, supplement, waiver or consent thereafter shall be bound by and any such amendment, modification, supplement, waiver or consent effected pursuant to this </w:t>
      </w:r>
      <w:r>
        <w:rPr>
          <w:rFonts w:ascii="Times New Roman" w:hAnsi="Times New Roman"/>
          <w:color w:val="000000"/>
          <w:sz w:val="20"/>
          <w:u w:val="single"/>
        </w:rPr>
        <w:t>Section ‎6(b)</w:t>
      </w:r>
      <w:r>
        <w:rPr>
          <w:rFonts w:ascii="Times New Roman" w:hAnsi="Times New Roman"/>
          <w:color w:val="000000"/>
          <w:sz w:val="20"/>
        </w:rPr>
        <w:t>, whether or not any notice, writing or marking indicating such amendment, modification, supplement, waiver or consent appears on the Registrable Notes or is delivered to such Holder. Each Holder may waive compliance with respect to any obligation of the Company under this Agreement as it may apply or be enforced by such particular 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Notices. </w:t>
      </w:r>
      <w:r>
        <w:rPr>
          <w:rFonts w:ascii="Times New Roman" w:hAnsi="Times New Roman"/>
          <w:color w:val="000000"/>
          <w:sz w:val="20"/>
        </w:rPr>
        <w:t xml:space="preserve">Except as otherwise specified herein, all notices and other communications provided for or permitted hereunder shall be made in writing by hand-delivery, registered first-class mail, email or any courier guaranteeing overnight delivery (A) if to a Holder, at the most current address given by such Holder to the Company by means of a notice given in accordance with the provisions of this </w:t>
      </w:r>
      <w:r>
        <w:rPr>
          <w:rFonts w:ascii="Times New Roman" w:hAnsi="Times New Roman"/>
          <w:color w:val="000000"/>
          <w:sz w:val="20"/>
          <w:u w:val="single"/>
        </w:rPr>
        <w:t>Section ‎6(c)</w:t>
      </w:r>
      <w:r>
        <w:rPr>
          <w:rFonts w:ascii="Times New Roman" w:hAnsi="Times New Roman"/>
          <w:color w:val="000000"/>
          <w:sz w:val="20"/>
        </w:rPr>
        <w:t xml:space="preserve">, which address initially is, with respect to the Initial Purchasers, the addresses set forth in the Purchase Agreement; (B) if to the Company, initially at the Company’s address set forth in the Purchase Agreement and thereafter at such other address, notice of which is given in accordance with the provisions of this </w:t>
      </w:r>
      <w:r>
        <w:rPr>
          <w:rFonts w:ascii="Times New Roman" w:hAnsi="Times New Roman"/>
          <w:color w:val="000000"/>
          <w:sz w:val="20"/>
          <w:u w:val="single"/>
        </w:rPr>
        <w:t>Section ‎6(c)</w:t>
      </w:r>
      <w:r>
        <w:rPr>
          <w:rFonts w:ascii="Times New Roman" w:hAnsi="Times New Roman"/>
          <w:color w:val="000000"/>
          <w:sz w:val="20"/>
        </w:rPr>
        <w:t xml:space="preserve">; and (C) if to such other persons, at their respective addresses as provided in the Purchase Agreement and thereafter at such other address, notice of which is given in accordance with the provisions of this </w:t>
      </w:r>
      <w:r>
        <w:rPr>
          <w:rFonts w:ascii="Times New Roman" w:hAnsi="Times New Roman"/>
          <w:color w:val="000000"/>
          <w:sz w:val="20"/>
          <w:u w:val="single"/>
        </w:rPr>
        <w:t>Section ‎6(c)</w:t>
      </w:r>
      <w:r>
        <w:rPr>
          <w:rFonts w:ascii="Times New Roman" w:hAnsi="Times New Roman"/>
          <w:color w:val="000000"/>
          <w:sz w:val="20"/>
        </w:rPr>
        <w:t>. All such notices and communications shall be deemed to have been duly given: at the time delivered by hand, if personally delivered; three Business Days after being deposited in the mail, postage prepaid, if mailed; on receipt, if emailed;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Successors and Assigns. </w:t>
      </w:r>
      <w:r>
        <w:rPr>
          <w:rFonts w:ascii="Times New Roman" w:hAnsi="Times New Roman"/>
          <w:color w:val="000000"/>
          <w:sz w:val="20"/>
        </w:rPr>
        <w:t xml:space="preserve">This Agreement shall inure to the benefit of and be binding upon the successors, assigns and transferees of each of the parties, including, without limitation and without the need for an express assignment, subsequent Holders; </w:t>
      </w:r>
      <w:r>
        <w:rPr>
          <w:rFonts w:ascii="Times New Roman" w:hAnsi="Times New Roman"/>
          <w:color w:val="000000"/>
          <w:sz w:val="20"/>
          <w:u w:val="single"/>
        </w:rPr>
        <w:t>provided</w:t>
      </w:r>
      <w:r>
        <w:rPr>
          <w:rFonts w:ascii="Times New Roman" w:hAnsi="Times New Roman"/>
          <w:color w:val="000000"/>
          <w:sz w:val="20"/>
        </w:rPr>
        <w:t xml:space="preserve"> that nothing herein shall be deemed to permit any assignment, transfer or other disposition of Registrable Notes in violation of the terms of the Purchase Agreement or the Indenture. If any transferee of any Holder shall acquire Registrable Notes in any manner, whether by operation of law or otherwise, such Registrable Notes shall be held subject to all the terms of this Agreement, and by taking and holding such Registrable Notes such Person shall be conclusively deemed to have agreed to be bound by and to perform all of the terms and provisions of this Agreement and such Person shall be entitled to receive the benefits hereof. The Initial Purchasers (in their respective capacities as Initial Purchasers) shall have no liability or obligation to the Company with respect to any failure by a Holder to comply with, or any breach by any Holder of, any of the obligations of such Holder under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Third-Party Beneficiaries. </w:t>
      </w:r>
      <w:r>
        <w:rPr>
          <w:rFonts w:ascii="Times New Roman" w:hAnsi="Times New Roman"/>
          <w:color w:val="000000"/>
          <w:sz w:val="20"/>
        </w:rPr>
        <w:t xml:space="preserve">The Trustee and each Holder shall be a third-party beneficiary to the agreements made hereunder between the Company, on the one hand, and the Initial Purchasers, on the other hand, and shall have the right to enforce such agreements directly to the extent it deems such enforcement necessary or advisable to protect its rights or the rights of other Holders hereunder; </w:t>
      </w:r>
      <w:r>
        <w:rPr>
          <w:rFonts w:ascii="Times New Roman" w:hAnsi="Times New Roman"/>
          <w:color w:val="000000"/>
          <w:sz w:val="20"/>
          <w:u w:val="single"/>
        </w:rPr>
        <w:t>provided</w:t>
      </w:r>
      <w:r>
        <w:rPr>
          <w:rFonts w:ascii="Times New Roman" w:hAnsi="Times New Roman"/>
          <w:color w:val="000000"/>
          <w:sz w:val="20"/>
        </w:rPr>
        <w:t xml:space="preserve"> that the remedies of any Holder with respect to any Registration Default and the Exchange Offer Registration, any Shelf Registration and related matters provided for in this Agreement shall be limited to the Additional Interest set forth in </w:t>
      </w:r>
      <w:r>
        <w:rPr>
          <w:rFonts w:ascii="Times New Roman" w:hAnsi="Times New Roman"/>
          <w:color w:val="000000"/>
          <w:sz w:val="20"/>
          <w:u w:val="single"/>
        </w:rPr>
        <w:t>Section ‎2(e)</w:t>
      </w:r>
      <w:r>
        <w:rPr>
          <w:rFonts w:ascii="Times New Roman" w:hAnsi="Times New Roman"/>
          <w:color w:val="000000"/>
          <w:sz w:val="20"/>
        </w:rPr>
        <w:t xml:space="preserve"> hereof, which shall constitute liquidated damages and the sole remedy therefor.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Counterparts. </w:t>
      </w:r>
      <w:r>
        <w:rPr>
          <w:rFonts w:ascii="Times New Roman" w:hAnsi="Times New Roman"/>
          <w:color w:val="000000"/>
          <w:sz w:val="20"/>
        </w:rPr>
        <w:t>This Agreement may be signed in counterparts, each of which shall be an original and all of which together shall constitute one and the same instrument. Counterparts may be delivered via facsimile, electronic mail in “portable document format” (“.pdf”)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Headings. </w:t>
      </w:r>
      <w:r>
        <w:rPr>
          <w:rFonts w:ascii="Times New Roman" w:hAnsi="Times New Roman"/>
          <w:color w:val="000000"/>
          <w:sz w:val="20"/>
        </w:rPr>
        <w:t>The headings herein are included for convenience of reference only and are not intended to be part of, or to affect the meaning or interpretation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Governing Law; Consent to Jurisdiction; Waiver of Jury Trial. </w:t>
      </w:r>
      <w:r>
        <w:rPr>
          <w:rFonts w:ascii="Times New Roman" w:hAnsi="Times New Roman"/>
          <w:color w:val="000000"/>
          <w:sz w:val="20"/>
        </w:rPr>
        <w:t xml:space="preserve">This Agreement will be governed by and construed in accordance with the laws of the State of New York. Each of the parties hereto irrevocably consents and agrees that any legal action, suit or proceeding against it with respect to its obligations, liabilities or any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matter arising out of or based on this Agreement shall be brought in the courts of the State of New York sitting in New York County or of the United States of America for the Southern District of New York. Each of the parties hereto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Entire Agreement; Severability. </w:t>
      </w:r>
      <w:r>
        <w:rPr>
          <w:rFonts w:ascii="Times New Roman" w:hAnsi="Times New Roman"/>
          <w:color w:val="000000"/>
          <w:sz w:val="20"/>
        </w:rPr>
        <w:t>This Agreement contains the entire agreement between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and the Initial Purchasers shall endeavor in good faith negotiations to replace the invalid, void or unenforceable provisions with valid provisions the economic effect of which comes as close as possible to that of such invalid, void or unenforceable provisions.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sz w:val="20"/>
        </w:rPr>
      </w:pPr>
      <w:r>
        <w:rPr>
          <w:rFonts w:ascii="Times New Roman" w:hAnsi="Times New Roman"/>
          <w:i/>
          <w:color w:val="000000"/>
          <w:sz w:val="20"/>
        </w:rPr>
        <w:t>Delegation by the Company</w:t>
      </w:r>
      <w:r>
        <w:rPr>
          <w:rFonts w:ascii="Times New Roman" w:hAnsi="Times New Roman"/>
          <w:color w:val="000000"/>
          <w:sz w:val="20"/>
        </w:rPr>
        <w:t>. All references to obligations of the Company to take or not take any actions shall be satisfied so long as the Company causes such actions to be taken or not taken,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rFonts w:ascii="Times New Roman" w:hAnsi="Times New Roman"/>
          <w:sz w:val="20"/>
        </w:rPr>
      </w:pPr>
      <w:r>
        <w:rPr>
          <w:rFonts w:ascii="Times New Roman" w:hAnsi="Times New Roman"/>
          <w:i/>
          <w:color w:val="000000"/>
          <w:sz w:val="20"/>
        </w:rPr>
        <w:t>Termination</w:t>
      </w:r>
      <w:r>
        <w:rPr>
          <w:rFonts w:ascii="Times New Roman" w:hAnsi="Times New Roman"/>
          <w:color w:val="000000"/>
          <w:sz w:val="20"/>
        </w:rPr>
        <w:t xml:space="preserve">. This Agreement and the obligations of the parties hereunder shall terminate upon the expiration of the Shelf Effectiveness Period, except for any liabilities or obligations under </w:t>
      </w:r>
      <w:r>
        <w:rPr>
          <w:rFonts w:ascii="Times New Roman" w:hAnsi="Times New Roman"/>
          <w:color w:val="000000"/>
          <w:sz w:val="20"/>
          <w:u w:val="single"/>
        </w:rPr>
        <w:t>Section ‎5</w:t>
      </w:r>
      <w:r>
        <w:rPr>
          <w:rFonts w:ascii="Times New Roman" w:hAnsi="Times New Roman"/>
          <w:color w:val="000000"/>
          <w:sz w:val="20"/>
        </w:rPr>
        <w:t xml:space="preserve"> hereof, each of which shall remain in effect in accordance with its terms.</w:t>
      </w:r>
    </w:p>
    <w:p>
      <w:pPr>
        <w:pStyle w:val="TextBody"/>
        <w:bidi w:val="0"/>
        <w:spacing w:before="0" w:after="24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pages to follow</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parties have executed this Agreement as of the date first written above.</w:t>
      </w:r>
    </w:p>
    <w:tbl>
      <w:tblPr>
        <w:tblW w:w="2733" w:type="dxa"/>
        <w:jc w:val="left"/>
        <w:tblInd w:w="0" w:type="dxa"/>
        <w:tblLayout w:type="fixed"/>
        <w:tblCellMar>
          <w:top w:w="28" w:type="dxa"/>
          <w:left w:w="28" w:type="dxa"/>
          <w:bottom w:w="28" w:type="dxa"/>
          <w:right w:w="28" w:type="dxa"/>
        </w:tblCellMar>
      </w:tblPr>
      <w:tblGrid>
        <w:gridCol w:w="421"/>
        <w:gridCol w:w="631"/>
        <w:gridCol w:w="1681"/>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7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VYLOR INC.</w:t>
            </w:r>
          </w:p>
        </w:tc>
      </w:tr>
      <w:tr>
        <w:trPr/>
        <w:tc>
          <w:tcPr>
            <w:tcW w:w="273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Laurie A. Conslato</w:t>
            </w:r>
          </w:p>
        </w:tc>
      </w:tr>
      <w:tr>
        <w:trPr/>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Laurie A. Conslato</w:t>
            </w:r>
          </w:p>
        </w:tc>
      </w:tr>
      <w:tr>
        <w:trPr/>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Treasurer</w:t>
            </w:r>
          </w:p>
        </w:tc>
      </w:tr>
    </w:tbl>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Registration Rights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foregoing Agreement is hereby confirmed and</w:t>
        <w:br/>
        <w:t>accepted as of the date first above written.</w:t>
      </w:r>
    </w:p>
    <w:tbl>
      <w:tblPr>
        <w:tblW w:w="3044" w:type="dxa"/>
        <w:jc w:val="left"/>
        <w:tblInd w:w="0" w:type="dxa"/>
        <w:tblLayout w:type="fixed"/>
        <w:tblCellMar>
          <w:top w:w="28" w:type="dxa"/>
          <w:left w:w="28" w:type="dxa"/>
          <w:bottom w:w="28" w:type="dxa"/>
          <w:right w:w="28" w:type="dxa"/>
        </w:tblCellMar>
      </w:tblPr>
      <w:tblGrid>
        <w:gridCol w:w="540"/>
        <w:gridCol w:w="809"/>
        <w:gridCol w:w="1695"/>
      </w:tblGrid>
      <w:tr>
        <w:trPr/>
        <w:tc>
          <w:tcPr>
            <w:tcW w:w="5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MORGAN STANLEY &amp; CO. LLC</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4"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Yiming Hu</w:t>
            </w:r>
          </w:p>
        </w:tc>
      </w:tr>
      <w:tr>
        <w:trPr/>
        <w:tc>
          <w:tcPr>
            <w:tcW w:w="540" w:type="dxa"/>
            <w:tcBorders/>
            <w:tcMar>
              <w:top w:w="0" w:type="dxa"/>
              <w:left w:w="0" w:type="dxa"/>
              <w:bottom w:w="0" w:type="dxa"/>
              <w:right w:w="0" w:type="dxa"/>
            </w:tcMar>
            <w:vAlign w:val="center"/>
          </w:tcPr>
          <w:p>
            <w:pPr>
              <w:pStyle w:val="TableContents"/>
              <w:bidi w:val="0"/>
              <w:spacing w:before="0" w:after="283"/>
              <w:jc w:val="both"/>
              <w:rPr/>
            </w:pPr>
            <w:r>
              <w:rPr/>
              <w:t> </w:t>
            </w:r>
          </w:p>
        </w:tc>
        <w:tc>
          <w:tcPr>
            <w:tcW w:w="8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6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Yiming Hu</w:t>
            </w:r>
          </w:p>
        </w:tc>
      </w:tr>
      <w:tr>
        <w:trPr/>
        <w:tc>
          <w:tcPr>
            <w:tcW w:w="540" w:type="dxa"/>
            <w:tcBorders/>
            <w:tcMar>
              <w:top w:w="0" w:type="dxa"/>
              <w:left w:w="0" w:type="dxa"/>
              <w:bottom w:w="0" w:type="dxa"/>
              <w:right w:w="0" w:type="dxa"/>
            </w:tcMar>
            <w:vAlign w:val="center"/>
          </w:tcPr>
          <w:p>
            <w:pPr>
              <w:pStyle w:val="TableContents"/>
              <w:bidi w:val="0"/>
              <w:spacing w:before="0" w:after="283"/>
              <w:jc w:val="both"/>
              <w:rPr/>
            </w:pPr>
            <w:r>
              <w:rPr/>
              <w:t> </w:t>
            </w:r>
          </w:p>
        </w:tc>
        <w:tc>
          <w:tcPr>
            <w:tcW w:w="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 President</w:t>
            </w:r>
          </w:p>
        </w:tc>
      </w:tr>
    </w:tbl>
    <w:p>
      <w:pPr>
        <w:pStyle w:val="TextBody"/>
        <w:bidi w:val="0"/>
        <w:spacing w:before="0" w:after="24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Registration Rights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foregoing Agreement is hereby confirmed and</w:t>
        <w:br/>
        <w:t>accepted as of the date first above written.</w:t>
      </w:r>
    </w:p>
    <w:tbl>
      <w:tblPr>
        <w:tblW w:w="3074" w:type="dxa"/>
        <w:jc w:val="left"/>
        <w:tblInd w:w="0" w:type="dxa"/>
        <w:tblLayout w:type="fixed"/>
        <w:tblCellMar>
          <w:top w:w="28" w:type="dxa"/>
          <w:left w:w="28" w:type="dxa"/>
          <w:bottom w:w="28" w:type="dxa"/>
          <w:right w:w="28" w:type="dxa"/>
        </w:tblCellMar>
      </w:tblPr>
      <w:tblGrid>
        <w:gridCol w:w="463"/>
        <w:gridCol w:w="694"/>
        <w:gridCol w:w="1917"/>
      </w:tblGrid>
      <w:tr>
        <w:trPr/>
        <w:tc>
          <w:tcPr>
            <w:tcW w:w="46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J.P. MORGAN SECURITIES LLC</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11"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Som Bhattacharyya</w:t>
            </w:r>
          </w:p>
        </w:tc>
      </w:tr>
      <w:tr>
        <w:trPr/>
        <w:tc>
          <w:tcPr>
            <w:tcW w:w="463" w:type="dxa"/>
            <w:tcBorders/>
            <w:tcMar>
              <w:top w:w="0" w:type="dxa"/>
              <w:left w:w="0" w:type="dxa"/>
              <w:bottom w:w="0" w:type="dxa"/>
              <w:right w:w="0" w:type="dxa"/>
            </w:tcMar>
            <w:vAlign w:val="center"/>
          </w:tcPr>
          <w:p>
            <w:pPr>
              <w:pStyle w:val="TableContents"/>
              <w:bidi w:val="0"/>
              <w:spacing w:before="0" w:after="283"/>
              <w:jc w:val="both"/>
              <w:rPr/>
            </w:pPr>
            <w:r>
              <w:rPr/>
              <w:t> </w:t>
            </w:r>
          </w:p>
        </w:tc>
        <w:tc>
          <w:tcPr>
            <w:tcW w:w="6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9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Som Bhattacharyya</w:t>
            </w:r>
          </w:p>
        </w:tc>
      </w:tr>
      <w:tr>
        <w:trPr/>
        <w:tc>
          <w:tcPr>
            <w:tcW w:w="463" w:type="dxa"/>
            <w:tcBorders/>
            <w:tcMar>
              <w:top w:w="0" w:type="dxa"/>
              <w:left w:w="0" w:type="dxa"/>
              <w:bottom w:w="0" w:type="dxa"/>
              <w:right w:w="0" w:type="dxa"/>
            </w:tcMar>
            <w:vAlign w:val="center"/>
          </w:tcPr>
          <w:p>
            <w:pPr>
              <w:pStyle w:val="TableContents"/>
              <w:bidi w:val="0"/>
              <w:spacing w:before="0" w:after="283"/>
              <w:jc w:val="both"/>
              <w:rPr/>
            </w:pPr>
            <w:r>
              <w:rPr/>
              <w:t> </w:t>
            </w:r>
          </w:p>
        </w:tc>
        <w:tc>
          <w:tcPr>
            <w:tcW w:w="6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Director</w:t>
            </w:r>
          </w:p>
        </w:tc>
      </w:tr>
    </w:tbl>
    <w:p>
      <w:pPr>
        <w:pStyle w:val="TextBody"/>
        <w:bidi w:val="0"/>
        <w:spacing w:before="0" w:after="24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Registration Rights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foregoing Agreement is hereby confirmed and</w:t>
        <w:br/>
        <w:t>accepted as of the date first above written.</w:t>
      </w:r>
    </w:p>
    <w:tbl>
      <w:tblPr>
        <w:tblW w:w="2793" w:type="dxa"/>
        <w:jc w:val="left"/>
        <w:tblInd w:w="0" w:type="dxa"/>
        <w:tblLayout w:type="fixed"/>
        <w:tblCellMar>
          <w:top w:w="28" w:type="dxa"/>
          <w:left w:w="28" w:type="dxa"/>
          <w:bottom w:w="28" w:type="dxa"/>
          <w:right w:w="28" w:type="dxa"/>
        </w:tblCellMar>
      </w:tblPr>
      <w:tblGrid>
        <w:gridCol w:w="421"/>
        <w:gridCol w:w="676"/>
        <w:gridCol w:w="1696"/>
      </w:tblGrid>
      <w:tr>
        <w:trPr/>
        <w:tc>
          <w:tcPr>
            <w:tcW w:w="4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793" w:type="dxa"/>
            <w:gridSpan w:val="3"/>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0"/>
              </w:rPr>
            </w:pPr>
            <w:r>
              <w:rPr>
                <w:rFonts w:ascii="Times New Roman" w:hAnsi="Times New Roman"/>
                <w:b/>
                <w:color w:val="000000"/>
                <w:sz w:val="20"/>
              </w:rPr>
              <w:t>BOFA SECURITIES, INC.</w:t>
            </w:r>
          </w:p>
        </w:tc>
      </w:tr>
      <w:tr>
        <w:trPr/>
        <w:tc>
          <w:tcPr>
            <w:tcW w:w="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372"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Kevin Wehler</w:t>
            </w:r>
          </w:p>
        </w:tc>
      </w:tr>
      <w:tr>
        <w:trPr/>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Name: </w:t>
            </w:r>
          </w:p>
        </w:tc>
        <w:tc>
          <w:tcPr>
            <w:tcW w:w="16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Kevin Wehler</w:t>
            </w:r>
          </w:p>
        </w:tc>
      </w:tr>
      <w:tr>
        <w:trPr/>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6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Managing Director</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the Registration Rights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81024</Words>
  <Characters>415829</Characters>
  <CharactersWithSpaces>495413</CharactersWithSpaces>
  <Paragraphs>3549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