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0402d8k.htm"/>
      <w:bookmarkStart w:id="1" w:name="ksd14040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August 6,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Corteva, Inc. </w:t>
      </w:r>
    </w:p>
    <w:p>
      <w:pPr>
        <w:pStyle w:val="TextBody"/>
        <w:bidi w:val="0"/>
        <w:spacing w:before="0" w:after="0"/>
        <w:jc w:val="center"/>
        <w:rPr>
          <w:rFonts w:ascii="Times New Roman" w:hAnsi="Times New Roman"/>
          <w:b/>
          <w:sz w:val="48"/>
        </w:rPr>
      </w:pPr>
      <w:r>
        <w:rPr>
          <w:rFonts w:ascii="Times New Roman" w:hAnsi="Times New Roman"/>
          <w:b/>
          <w:sz w:val="48"/>
        </w:rPr>
        <w:t xml:space="preserve">EIDP,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938" w:type="dxa"/>
        <w:jc w:val="left"/>
        <w:tblInd w:w="0" w:type="dxa"/>
        <w:tblLayout w:type="fixed"/>
        <w:tblCellMar>
          <w:top w:w="0" w:type="dxa"/>
          <w:left w:w="0" w:type="dxa"/>
          <w:bottom w:w="0" w:type="dxa"/>
          <w:right w:w="0" w:type="dxa"/>
        </w:tblCellMar>
      </w:tblPr>
      <w:tblGrid>
        <w:gridCol w:w="3575"/>
        <w:gridCol w:w="103"/>
        <w:gridCol w:w="1830"/>
        <w:gridCol w:w="60"/>
        <w:gridCol w:w="1370"/>
      </w:tblGrid>
      <w:tr>
        <w:trPr/>
        <w:tc>
          <w:tcPr>
            <w:tcW w:w="3575"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575" w:type="dxa"/>
            <w:tcBorders/>
            <w:vAlign w:val="center"/>
          </w:tcPr>
          <w:p>
            <w:pPr>
              <w:pStyle w:val="TableContents"/>
              <w:bidi w:val="0"/>
              <w:spacing w:before="0" w:after="0"/>
              <w:jc w:val="center"/>
              <w:rPr>
                <w:b/>
                <w:spacing w:val="0"/>
              </w:rPr>
            </w:pPr>
            <w:r>
              <w:rPr>
                <w:b/>
                <w:spacing w:val="0"/>
              </w:rPr>
              <w:t>Delaware</w:t>
            </w:r>
          </w:p>
        </w:tc>
        <w:tc>
          <w:tcPr>
            <w:tcW w:w="103"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0"/>
              <w:jc w:val="center"/>
              <w:rPr>
                <w:b/>
                <w:spacing w:val="0"/>
              </w:rPr>
            </w:pPr>
            <w:r>
              <w:rPr>
                <w:b/>
                <w:spacing w:val="0"/>
              </w:rPr>
              <w:t>001-38710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82-4979096</w:t>
            </w:r>
          </w:p>
        </w:tc>
      </w:tr>
      <w:tr>
        <w:trPr/>
        <w:tc>
          <w:tcPr>
            <w:tcW w:w="3575" w:type="dxa"/>
            <w:tcBorders/>
            <w:vAlign w:val="center"/>
          </w:tcPr>
          <w:p>
            <w:pPr>
              <w:pStyle w:val="TableContents"/>
              <w:bidi w:val="0"/>
              <w:spacing w:before="0" w:after="0"/>
              <w:jc w:val="center"/>
              <w:rPr>
                <w:b/>
                <w:spacing w:val="0"/>
              </w:rPr>
            </w:pPr>
            <w:r>
              <w:rPr>
                <w:b/>
                <w:spacing w:val="0"/>
              </w:rPr>
              <w:t>Delaware</w:t>
            </w:r>
          </w:p>
        </w:tc>
        <w:tc>
          <w:tcPr>
            <w:tcW w:w="103"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0"/>
              <w:jc w:val="center"/>
              <w:rPr>
                <w:b/>
                <w:spacing w:val="0"/>
              </w:rPr>
            </w:pPr>
            <w:r>
              <w:rPr>
                <w:b/>
                <w:spacing w:val="0"/>
              </w:rPr>
              <w:t>001-00815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51-0014090</w:t>
            </w:r>
          </w:p>
        </w:tc>
      </w:tr>
      <w:tr>
        <w:trPr/>
        <w:tc>
          <w:tcPr>
            <w:tcW w:w="357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3"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5508"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5508" w:type="dxa"/>
            <w:gridSpan w:val="3"/>
            <w:tcBorders/>
            <w:vAlign w:val="center"/>
          </w:tcPr>
          <w:p>
            <w:pPr>
              <w:pStyle w:val="TableContents"/>
              <w:bidi w:val="0"/>
              <w:spacing w:before="0" w:after="0"/>
              <w:jc w:val="center"/>
              <w:rPr>
                <w:b/>
                <w:spacing w:val="0"/>
              </w:rPr>
            </w:pPr>
            <w:r>
              <w:rPr>
                <w:b/>
                <w:spacing w:val="0"/>
              </w:rPr>
              <w:t>9330 Zionsville Road, Indianapolis, Indiana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46268</w:t>
            </w:r>
          </w:p>
        </w:tc>
      </w:tr>
      <w:tr>
        <w:trPr/>
        <w:tc>
          <w:tcPr>
            <w:tcW w:w="5508" w:type="dxa"/>
            <w:gridSpan w:val="3"/>
            <w:tcBorders/>
            <w:vAlign w:val="center"/>
          </w:tcPr>
          <w:p>
            <w:pPr>
              <w:pStyle w:val="TableContents"/>
              <w:bidi w:val="0"/>
              <w:spacing w:before="0" w:after="0"/>
              <w:jc w:val="center"/>
              <w:rPr>
                <w:b/>
                <w:spacing w:val="0"/>
              </w:rPr>
            </w:pPr>
            <w:r>
              <w:rPr>
                <w:b/>
                <w:spacing w:val="0"/>
              </w:rPr>
              <w:t>1000 N. West Street, Suite 900, Wilmington, 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19801</w:t>
            </w:r>
          </w:p>
        </w:tc>
      </w:tr>
      <w:tr>
        <w:trPr/>
        <w:tc>
          <w:tcPr>
            <w:tcW w:w="5508" w:type="dxa"/>
            <w:gridSpan w:val="3"/>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(833) 267-8382 </w:t>
      </w:r>
    </w:p>
    <w:p>
      <w:pPr>
        <w:pStyle w:val="TextBody"/>
        <w:bidi w:val="0"/>
        <w:spacing w:before="24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245"/>
        <w:gridCol w:w="3800"/>
      </w:tblGrid>
      <w:tr>
        <w:trPr/>
        <w:tc>
          <w:tcPr>
            <w:tcW w:w="245"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240.14a-12)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245"/>
        <w:gridCol w:w="3935"/>
      </w:tblGrid>
      <w:tr>
        <w:trPr/>
        <w:tc>
          <w:tcPr>
            <w:tcW w:w="245"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240.14d-2(b)) </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8105" w:type="dxa"/>
        <w:jc w:val="left"/>
        <w:tblInd w:w="0" w:type="dxa"/>
        <w:tblLayout w:type="fixed"/>
        <w:tblCellMar>
          <w:top w:w="0" w:type="dxa"/>
          <w:left w:w="0" w:type="dxa"/>
          <w:bottom w:w="0" w:type="dxa"/>
          <w:right w:w="0" w:type="dxa"/>
        </w:tblCellMar>
      </w:tblPr>
      <w:tblGrid>
        <w:gridCol w:w="1265"/>
        <w:gridCol w:w="60"/>
        <w:gridCol w:w="3095"/>
        <w:gridCol w:w="60"/>
        <w:gridCol w:w="905"/>
        <w:gridCol w:w="60"/>
        <w:gridCol w:w="2660"/>
      </w:tblGrid>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Registrant</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265" w:type="dxa"/>
            <w:tcBorders/>
            <w:vAlign w:val="center"/>
          </w:tcPr>
          <w:p>
            <w:pPr>
              <w:pStyle w:val="TableContents"/>
              <w:bidi w:val="0"/>
              <w:spacing w:before="0" w:after="283"/>
              <w:jc w:val="center"/>
              <w:rPr/>
            </w:pPr>
            <w:r>
              <w:rPr/>
              <w:t>Corteva,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CTVA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1265" w:type="dxa"/>
            <w:tcBorders/>
            <w:vAlign w:val="center"/>
          </w:tcPr>
          <w:p>
            <w:pPr>
              <w:pStyle w:val="TableContents"/>
              <w:bidi w:val="0"/>
              <w:spacing w:before="0" w:after="283"/>
              <w:jc w:val="center"/>
              <w:rPr/>
            </w:pPr>
            <w:r>
              <w:rPr/>
              <w:t>EIDP,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$3.50 Series Preferred Stock</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CTAPrA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1265" w:type="dxa"/>
            <w:tcBorders/>
            <w:vAlign w:val="center"/>
          </w:tcPr>
          <w:p>
            <w:pPr>
              <w:pStyle w:val="TableContents"/>
              <w:bidi w:val="0"/>
              <w:spacing w:before="0" w:after="283"/>
              <w:jc w:val="center"/>
              <w:rPr/>
            </w:pPr>
            <w:r>
              <w:rPr/>
              <w:t>EIDP,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$4.50 Series Preferred Stock</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CTAPrB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Exchange Offers and Consent Solicitations described below, Corteva, Inc. (the “Company” or “Corteva”) issued an exchange offer memorandum and consent solicitation statement, dated August 6, 2026 (the “Offering Memorandum”). Certain excerpts from the Offering Memorandum are attached as Exhibit 99.1 hereto and are incorporated by reference herein. The information contained in Exhibit 99.1 is excerpted from the Offering Memorandum that is being made available to the Eligible Holders (as defined below) in connection with the Exchange Offers and Consent Solicitations and includes (i) certain information not previously disclosed by the Company and (ii) the unaudited pro forma financial information of Vylor as described under Item 9.01 of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Item 7.01, including Exhibit 99.1, shall be deemed to be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(the “Securities Act”), or the Exchange Act. The furnishing of the information in this Current Report on Form 8-K is not intended to, and does not, constitute a determination or admission by the Company that the information in this Current Report on Form 8-K is material or complete, or that investors should consider this information before making an investment decision with respect to any security of the Company.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October 1, 2025, Corteva announced that its Board of Directors is pursuing a plan to separate Corteva into two independent, publicly traded companies, one comprising its current crop protection business and the other comprising its current seed business to be owned and conducted, directly or indirectly, by Vylor Inc., a Delaware corporation and a wholly owned subsidiary of the Company (“Vylor”)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2026, the Company announced that Vylor has commenced private offers to exchange (with respect to each series, an “Exchange Offer” and together, the “Exchange Offers”) and related consent solicitations (with respect to the EIDP Base Indenture (as defined below) and the applicable EIDP Supplemental Indenture (as defined below) governing a series of EIDP Notes, a “Consent Solicitation” and together, the “Consent Solicitations”) with respect to any and all of the outstanding 2.300% Senior Notes due 2030, 5.125% Senior Notes due 2032 and 4.800% Senior Notes due 2033, in each case issued by EIDP, Inc., a Delaware corporation and a wholly owned subsidiary of the Company (“EIDP” and such notes, collectively, the “EIDP Notes”), to the extent held by Eligible Holders (as defined below), in exchange for new notes of the corresponding series to be issued by Vylor. The Exchange Offers and Consent Solicitations are being made in connection with the planned Separation and solely pursuant to the Offering Memorandum. Each Exchange Offer and related Consent Solicitation is conditioned upon, among other things, the consummation of the Separation and the receipt, by 5:00 p.m., New York City time, on August 19, 2026, unless extended or earlier terminated with respect to such Exchange Offer and Consent Solicitation, of the Requisite Consents (as defined below) to the Proposed EIDP Base Indenture Amendments (as defined below). Vylor may waive any of the conditions to any Exchange Offer or Consent Solicitation, in whole or in part, at any time, except that the condition relating to the consummation of the Separation may not be waived. The Separation is subject to the satisfaction or waiver of certain customary conditions, and Corteva’s Board of Directors has the discretion to abandon or to alter the terms of the planned Separation. As publicly announced by Corteva on July 30, 2026, the Separation is currently expected to be consummated on or about October 1, 2026, subject to satisfaction or waiver of the conditions thereto. A copy of the press release is attached hereto as Exhibit 99.2 and is incorporated into this Item 8.01 by reference.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Exchange Offers, Vylor, on behalf of EIDP, is conducting the Consent Solicitations to adopt certain proposed amendments to the base indenture (the “EIDP Base Indenture”) and the supplemental indentures thereto (each, an “EIDP Supplemental Indenture”) governing the EIDP Notes. The proposed amendments to the EIDP Base Indenture (the “Proposed EIDP Base Indenture Amendments”) would eliminate substantially all of the restrictive covenants and events of default (other than payment-related and bankruptcy-related events of default) from the EIDP Base Indenture. Approval of the Proposed EIDP Base Indenture Amendments requires consents from the holders of at least a majority of the aggregate principal amount of all the EIDP Notes, voting as a single class (the “Requisite Consents”). The proposed amendments with respect to each EIDP Supplemental Indenture (the “Proposed EIDP Supplemental Indenture Amendments”) would eliminate the offer to repurchase upon change of control provisions from the applicable EIDP Supplemental Indenture. Approval of the Proposed EIDP Supplemental Indenture Amendments requires consents from the holders of at least a majority of the aggregate principal amount of the applicable series of EIDP Notes (the “Majority Consents”). Receipt of the Majority Consents to the Proposed EIDP Supplemental Indenture Amendments is not a condition to the consummation of any of the Exchange Offers and Consent Solicitations.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does not constitute an offer to sell or purchase, or a solicitation of an offer to sell or purchase, or the solicitation of tenders or consents with respect to, any security. No offer, solicitation, purchase or sale will be made in any jurisdiction in which such an offer, solicitation or sale would be unlawful. The Exchange Offers and Consent Solicitations are being made, and the new notes to be issued in the Exchange Offers are being offered, only (i) to “qualified institutional buyers” as defined in Rule 144A under the Securities Act and (ii) outside the United States, to persons other than “U.S. persons” in compliance with Regulation S under the Securities Act (collectively, the “Eligible Holders”). The new notes to be issued in the Exchange Offers have not been registered under the Securities Act or any state securities laws, and may not be offered or sold in the United States absent registration or an applicable exemption from the registration requirements of the Securities Act.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filing contains “forward-looking statements” within the meaning of the U.S. federal securities laws about the Company, Vylor, EIDP, the Exchange Offers and Consent Solicitations and the Separation, including but not limited to all statements about the timing and consummation of the Exchange Offers and Consent Solicitations and the Separation, which are made pursuant to the safe harbor provisions of the Private Securities Litigation Reform Act of 1995. Forward-looking statements are based on current assumptions regarding future business and financial performance and, by their nature, address matters that are uncertain to different degrees. You can identify forward-looking statements by the use of words such as “plans,” “expects,” “will,” “anticipates,” “believes,” “intends,” “projects,” “estimates,” “outlook” or other words of similar meaning. These forward-looking statements are subject to risks and uncertainties that could cause actual results to be materially different from those set forth in such forward-looking statements, including but not limited to, the risk: (i) that general economic and capital markets conditions may adversely affect the Exchange Offers and Consent Solicitations or the Separation; (ii) that the conditions to the Exchange Offers and Consent Solicitations or the Separation, including the receipt of the requisite consents, may not be satisfied or waived; (iii) that any event, change or other circumstance could give rise to the termination of the Exchange Offers and Consent Solicitations and/or the Separation; (iv) of the effects that any termination of the Separation may have on the Company or its subsidiaries; (v) that legal proceedings may be instituted related to the Separation or otherwise; (vi) of unexpected costs, charges or expenses; and (vii) of other risks and uncertainties described in the Company’s and EIDP’s filings with the U.S. Securities and Exchange Commission (the “SEC”), including under the heading “Risk Factors” (Item 1A) in the Company’s most recently filed Annual Report on Form 10-K and in the Company’s subsequent Quarterly Reports on Form 10-Q, and in other documents that the Company or EIDP files or furnishes with the SEC. Neither the Company nor EIDP undertakes any obligation to update or revise any forward-looking statement, except as required by applicable law.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Pro forma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consolidated financial information of Vylor consists of unaudited Pro Forma Consolidated Statements of Operations for the three months ended March 31, 2026 and the year ended December 31, 2025 and an unaudited Pro Forma Consolidated Balance Sheet as of March 31, 2026, which present Vylor’s combined financial position and results of operations after giving effect to the Separation, the Exchange Offers and the other transactions described therein. The unaudited Pro Forma Consolidated Statements of Operations have been prepared to give effect to such transactions as if they had occurred or became effective as of January 1, 2025, the beginning of Vylor’s most recently completed fiscal year, and the unaudited Pro Forma Consolidated Balance Sheet has been prepared to give effect to such transactions as though they had occurred or became effective as of March 31, 2026. The unaudited Pro Forma Consolidated Financial Statements are presented for illustrative purposes only and are not necessarily indicative of the operating results or financial position that would have occurred if the relevant transactions had been consummated on the date indicated, nor are they indicative of future operating results. The unaudited Pro Forma Consolidated Financial Statements are included in Exhibit 99.1 and are incorporated into this Item 9.01 by reference.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Exhibit Index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620"/>
        <w:gridCol w:w="120"/>
        <w:gridCol w:w="762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76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40402dex991.htm">
              <w:r>
                <w:rPr>
                  <w:rStyle w:val="InternetLink"/>
                </w:rPr>
                <w:t xml:space="preserve">Excerpts from the Offering Memorandum dated August 6,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40402dex992.htm">
              <w:r>
                <w:rPr>
                  <w:rStyle w:val="InternetLink"/>
                </w:rPr>
                <w:t xml:space="preserve">Press Release dated August 6,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each registrant has duly caused this report to be signed on its behalf by the undersigned, hereunto duly authorized. </w:t>
      </w:r>
    </w:p>
    <w:p>
      <w:pPr>
        <w:pStyle w:val="TextBody"/>
        <w:bidi w:val="0"/>
        <w:spacing w:before="0" w:after="0"/>
        <w:jc w:val="left"/>
        <w:rPr/>
      </w:pPr>
      <w:r>
        <w:rPr/>
        <w:t> </w:t>
      </w:r>
    </w:p>
    <w:tbl>
      <w:tblPr>
        <w:tblW w:w="7928" w:type="dxa"/>
        <w:jc w:val="left"/>
        <w:tblInd w:w="0" w:type="dxa"/>
        <w:tblLayout w:type="fixed"/>
        <w:tblCellMar>
          <w:top w:w="0" w:type="dxa"/>
          <w:left w:w="0" w:type="dxa"/>
          <w:bottom w:w="0" w:type="dxa"/>
          <w:right w:w="0" w:type="dxa"/>
        </w:tblCellMar>
      </w:tblPr>
      <w:tblGrid>
        <w:gridCol w:w="2075"/>
        <w:gridCol w:w="60"/>
        <w:gridCol w:w="23"/>
        <w:gridCol w:w="60"/>
        <w:gridCol w:w="365"/>
        <w:gridCol w:w="60"/>
        <w:gridCol w:w="528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8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10" w:type="dxa"/>
            <w:gridSpan w:val="3"/>
            <w:tcBorders/>
            <w:vAlign w:val="center"/>
          </w:tcPr>
          <w:p>
            <w:pPr>
              <w:pStyle w:val="TableContents"/>
              <w:bidi w:val="0"/>
              <w:spacing w:before="0" w:after="283"/>
              <w:jc w:val="left"/>
              <w:rPr/>
            </w:pPr>
            <w:r>
              <w:rPr/>
              <w:t>CORTEVA,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34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P. Johnson</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Name: David P. Johnson</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Title: Executive Vice President, Chief Financial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77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10" w:type="dxa"/>
            <w:gridSpan w:val="3"/>
            <w:tcBorders/>
            <w:vAlign w:val="center"/>
          </w:tcPr>
          <w:p>
            <w:pPr>
              <w:pStyle w:val="TableContents"/>
              <w:bidi w:val="0"/>
              <w:spacing w:before="0" w:after="283"/>
              <w:jc w:val="left"/>
              <w:rPr/>
            </w:pPr>
            <w:r>
              <w:rPr/>
              <w:t>EIDP,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34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P. Johnson</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Name: David P. Johnson</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Title: Executive Vice President, Chief Financial Officer</w:t>
            </w:r>
          </w:p>
        </w:tc>
      </w:tr>
    </w:tbl>
    <w:p>
      <w:pPr>
        <w:pStyle w:val="TextBody"/>
        <w:bidi w:val="0"/>
        <w:spacing w:before="0" w:after="0"/>
        <w:jc w:val="right"/>
        <w:rPr>
          <w:rFonts w:ascii="Times New Roman" w:hAnsi="Times New Roman"/>
          <w:b/>
          <w:sz w:val="20"/>
        </w:rPr>
      </w:pPr>
      <w:bookmarkStart w:id="2" w:name="d140402dex991.htm"/>
      <w:bookmarkStart w:id="3" w:name="ksd140402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EXCERPTS FROM THE OFFERING MEMORANDUM DATED AUGUST 6, 2026 </w:t>
      </w:r>
    </w:p>
    <w:p>
      <w:pPr>
        <w:pStyle w:val="TextBody"/>
        <w:bidi w:val="0"/>
        <w:spacing w:before="240" w:after="0"/>
        <w:jc w:val="left"/>
        <w:rPr>
          <w:rFonts w:ascii="Times New Roman" w:hAnsi="Times New Roman"/>
          <w:i/>
          <w:sz w:val="20"/>
        </w:rPr>
      </w:pPr>
      <w:r>
        <w:rPr>
          <w:rFonts w:ascii="Times New Roman" w:hAnsi="Times New Roman"/>
          <w:i/>
          <w:sz w:val="20"/>
        </w:rPr>
        <w:t xml:space="preserve">As used in this Exhibit 99.1, the terms “we,” “our,” “us,” the “Company” or “Vylor” refer to Vylor Inc. and its consolidated subsidiaries, unless the context clearly indicates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SOURCES AND USES OF CAPITAL </w:t>
      </w:r>
    </w:p>
    <w:p>
      <w:pPr>
        <w:pStyle w:val="TextBody"/>
        <w:bidi w:val="0"/>
        <w:spacing w:before="240" w:after="0"/>
        <w:jc w:val="left"/>
        <w:rPr>
          <w:rFonts w:ascii="Times New Roman" w:hAnsi="Times New Roman"/>
          <w:sz w:val="20"/>
        </w:rPr>
      </w:pPr>
      <w:r>
        <w:rPr>
          <w:rFonts w:ascii="Times New Roman" w:hAnsi="Times New Roman"/>
          <w:sz w:val="20"/>
        </w:rPr>
        <w:t xml:space="preserve">We are committed to maintaining liquidity and financial flexibility in order to finance our activities and pursue our strategy.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consummation of the Separation, Vylor will no longer participate in Corteva’s centralized cash management and operational financing program. Our ability to fund our capital needs will be affected by our ongoing ability to generate cash from operations and other sources, including commercial paper, syndicated credit lines, long-term debt markets and bank financing. We consider the borrowing costs and lending terms when selecting the source to fund our operations and working capital needs. Our current cash balance, together with cash we expect to generate from future operations and other sources of liquidity, are expected to be sufficient to finance our short- and long-term capital requirements. See “Description of Material Indebtedness” for further details.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financial strategy, we intend to operate with a capital structure that we expect will allow us to maintain investment-grade credit ratings. We currently expect our debt to EBITDA leverage ratio to be approximately 0.8x to 1.1x at December 31, 2026, and in the longer term we are currently targeting a credit profile with a debt to EBITDA leverage ratio not to exceed 2.5x. However, we cannot assure you what our credit ratings will be following consummation of the Separation or at any time in the future, or that we will be able to maintain our debt leverage ratio below our target maximum leverage ratio in the future. See “Risk Factors––Risks Related to Our Operations––Vylor’s liquidity, business, results of operations and financial condition could be impaired if it is unable to raise capital through the capital markets or short-term debt borrowings” and “Risk Factors – Risks Related to the Spin-Off — We will incur indebtedness in connection with the spin-off and the Vylor cash distribution, and the degree to which we will be leveraged following the spin-off may materially and adversely affect our business, financial condition and results of operations” included in the Information Statement and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consummation of the Separation, in the longer term New Corteva is currently targeting a credit profile with a debt to EBITDA leverage ratio not to exceed 2.0x. </w:t>
      </w:r>
    </w:p>
    <w:p>
      <w:pPr>
        <w:pStyle w:val="TextBody"/>
        <w:bidi w:val="0"/>
        <w:spacing w:before="240" w:after="0"/>
        <w:jc w:val="left"/>
        <w:rPr>
          <w:rFonts w:ascii="Times New Roman" w:hAnsi="Times New Roman"/>
          <w:sz w:val="20"/>
        </w:rPr>
      </w:pPr>
      <w:r>
        <w:rPr>
          <w:rFonts w:ascii="Times New Roman" w:hAnsi="Times New Roman"/>
          <w:sz w:val="20"/>
        </w:rPr>
        <w:t xml:space="preserve">Vylor has meaningful seasonal working capital needs based in part on providing financing to our customers. Working capital is expected to be funded through multiple methods including cash, the Commercial Paper Program (as defined below), the Five-Year Revolving Credit Facility (as defined below), the 364-Day Revolving Credit Facility (as defined below) and factoring. For more information regarding our credit facilities and Commercial Paper Program, see “Description of Material Indebtedness.” </w:t>
      </w:r>
    </w:p>
    <w:p>
      <w:pPr>
        <w:pStyle w:val="TextBody"/>
        <w:bidi w:val="0"/>
        <w:spacing w:before="240" w:after="0"/>
        <w:jc w:val="left"/>
        <w:rPr>
          <w:rFonts w:ascii="Times New Roman" w:hAnsi="Times New Roman"/>
          <w:sz w:val="20"/>
        </w:rPr>
      </w:pPr>
      <w:r>
        <w:rPr>
          <w:rFonts w:ascii="Times New Roman" w:hAnsi="Times New Roman"/>
          <w:sz w:val="20"/>
        </w:rPr>
        <w:t xml:space="preserve">For illustrative purposes, the following table summarizes Vylor’s estimated consolidated cash and cash equivalents and consolidated borrowings (excluding any lease obligations) as of the anticipated closing date of the Separation. The estimated financial information presented in this table has not been prepared in accordance with Article 11 of Regulation S-X. Rather, the figures presented below reflect management’s estimates of expected account balances at the time of the Separation based on current assumptions and are subject to change. For additional financial information, see “Unaudited Pro Forma Consolidated Financial Statements” and certain supplemental historical combined financial and other data for the Seed Business included in this Offering Memorandum, “Management’s Discussion and Analysis of Financial Condition and Results of Operations of Seed Business (Supplemental)” included in the Information Statement and incorporated by reference herein and the historical consolidated financial and other data for Corteva included in the Information Statement and incorporated by reference herein. You should not assume that the information presented in this table is consistent with or derived from the information presented in those sections. </w:t>
      </w:r>
      <w:r>
        <w:br w:type="page"/>
      </w:r>
    </w:p>
    <w:p>
      <w:pPr>
        <w:pStyle w:val="HorizontalLine"/>
        <w:pBdr>
          <w:bottom w:val="double" w:sz="6" w:space="0" w:color="808080"/>
        </w:pBdr>
        <w:bidi w:val="0"/>
        <w:jc w:val="left"/>
        <w:rPr/>
      </w:pPr>
      <w:r>
        <w:rPr/>
      </w:r>
    </w:p>
    <w:tbl>
      <w:tblPr>
        <w:tblW w:w="3400" w:type="pct"/>
        <w:jc w:val="center"/>
        <w:tblInd w:w="0" w:type="dxa"/>
        <w:tblLayout w:type="fixed"/>
        <w:tblCellMar>
          <w:top w:w="0" w:type="dxa"/>
          <w:left w:w="0" w:type="dxa"/>
          <w:bottom w:w="0" w:type="dxa"/>
          <w:right w:w="0" w:type="dxa"/>
        </w:tblCellMar>
      </w:tblPr>
      <w:tblGrid>
        <w:gridCol w:w="4038"/>
        <w:gridCol w:w="698"/>
        <w:gridCol w:w="428"/>
        <w:gridCol w:w="1712"/>
        <w:gridCol w:w="63"/>
      </w:tblGrid>
      <w:tr>
        <w:trPr/>
        <w:tc>
          <w:tcPr>
            <w:tcW w:w="4038" w:type="dxa"/>
            <w:tcBorders/>
            <w:vAlign w:val="center"/>
          </w:tcPr>
          <w:p>
            <w:pPr>
              <w:pStyle w:val="TableContents"/>
              <w:bidi w:val="0"/>
              <w:spacing w:before="0" w:after="283"/>
              <w:jc w:val="left"/>
              <w:rPr>
                <w:sz w:val="4"/>
                <w:szCs w:val="4"/>
              </w:rPr>
            </w:pPr>
            <w:r>
              <w:rPr>
                <w:sz w:val="4"/>
                <w:szCs w:val="4"/>
              </w:rPr>
            </w:r>
          </w:p>
        </w:tc>
        <w:tc>
          <w:tcPr>
            <w:tcW w:w="698" w:type="dxa"/>
            <w:tcBorders/>
            <w:vAlign w:val="bottom"/>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38" w:type="dxa"/>
            <w:tcBorders/>
            <w:vAlign w:val="bottom"/>
          </w:tcPr>
          <w:p>
            <w:pPr>
              <w:pStyle w:val="TableContents"/>
              <w:bidi w:val="0"/>
              <w:spacing w:before="0" w:after="283"/>
              <w:jc w:val="left"/>
              <w:rPr>
                <w:i/>
              </w:rPr>
            </w:pPr>
            <w:r>
              <w:rPr>
                <w:i/>
              </w:rPr>
              <w:t>(In millions)</w:t>
            </w:r>
          </w:p>
        </w:tc>
        <w:tc>
          <w:tcPr>
            <w:tcW w:w="698" w:type="dxa"/>
            <w:tcBorders/>
            <w:vAlign w:val="bottom"/>
          </w:tcPr>
          <w:p>
            <w:pPr>
              <w:pStyle w:val="TableContents"/>
              <w:bidi w:val="0"/>
              <w:spacing w:before="0" w:after="283"/>
              <w:jc w:val="left"/>
              <w:rPr/>
            </w:pPr>
            <w:r>
              <w:rPr/>
              <w:t>  </w:t>
            </w:r>
          </w:p>
        </w:tc>
        <w:tc>
          <w:tcPr>
            <w:tcW w:w="2140" w:type="dxa"/>
            <w:gridSpan w:val="2"/>
            <w:tcBorders>
              <w:bottom w:val="single" w:sz="8" w:space="0" w:color="000000"/>
            </w:tcBorders>
            <w:tcMar>
              <w:bottom w:w="28" w:type="dxa"/>
            </w:tcMar>
            <w:vAlign w:val="bottom"/>
          </w:tcPr>
          <w:p>
            <w:pPr>
              <w:pStyle w:val="TableContents"/>
              <w:bidi w:val="0"/>
              <w:spacing w:before="0" w:after="283"/>
              <w:jc w:val="center"/>
              <w:rPr>
                <w:i/>
              </w:rPr>
            </w:pPr>
            <w:r>
              <w:rPr>
                <w:i/>
              </w:rPr>
              <w:t>As of October 1, 2026</w:t>
            </w:r>
          </w:p>
        </w:tc>
        <w:tc>
          <w:tcPr>
            <w:tcW w:w="63" w:type="dxa"/>
            <w:tcBorders/>
            <w:vAlign w:val="bottom"/>
          </w:tcPr>
          <w:p>
            <w:pPr>
              <w:pStyle w:val="TableContents"/>
              <w:bidi w:val="0"/>
              <w:spacing w:before="0" w:after="283"/>
              <w:jc w:val="left"/>
              <w:rPr/>
            </w:pPr>
            <w:r>
              <w:rPr/>
              <w:t> </w:t>
            </w:r>
          </w:p>
        </w:tc>
      </w:tr>
      <w:tr>
        <w:trPr/>
        <w:tc>
          <w:tcPr>
            <w:tcW w:w="4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equivalents(1)</w:t>
            </w:r>
          </w:p>
        </w:tc>
        <w:tc>
          <w:tcPr>
            <w:tcW w:w="698"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w:t>
            </w:r>
          </w:p>
        </w:tc>
        <w:tc>
          <w:tcPr>
            <w:tcW w:w="1712" w:type="dxa"/>
            <w:tcBorders/>
            <w:shd w:fill="CCEEFF" w:val="clear"/>
            <w:vAlign w:val="bottom"/>
          </w:tcPr>
          <w:p>
            <w:pPr>
              <w:pStyle w:val="TableContents"/>
              <w:bidi w:val="0"/>
              <w:spacing w:before="0" w:after="283"/>
              <w:jc w:val="right"/>
              <w:rPr/>
            </w:pPr>
            <w:r>
              <w:rPr/>
              <w:t>1,100</w:t>
            </w:r>
          </w:p>
        </w:tc>
        <w:tc>
          <w:tcPr>
            <w:tcW w:w="63" w:type="dxa"/>
            <w:tcBorders/>
            <w:shd w:fill="CCEEFF" w:val="clear"/>
            <w:vAlign w:val="bottom"/>
          </w:tcPr>
          <w:p>
            <w:pPr>
              <w:pStyle w:val="TableContents"/>
              <w:bidi w:val="0"/>
              <w:spacing w:before="0" w:after="283"/>
              <w:jc w:val="left"/>
              <w:rPr/>
            </w:pPr>
            <w:r>
              <w:rPr/>
              <w:t> </w:t>
            </w:r>
          </w:p>
        </w:tc>
      </w:tr>
      <w:tr>
        <w:trPr/>
        <w:tc>
          <w:tcPr>
            <w:tcW w:w="4038" w:type="dxa"/>
            <w:tcBorders/>
            <w:vAlign w:val="bottom"/>
          </w:tcPr>
          <w:p>
            <w:pPr>
              <w:pStyle w:val="TableContents"/>
              <w:bidi w:val="0"/>
              <w:spacing w:before="0" w:after="283"/>
              <w:jc w:val="left"/>
              <w:rPr>
                <w:sz w:val="4"/>
                <w:szCs w:val="4"/>
              </w:rPr>
            </w:pPr>
            <w:r>
              <w:rPr>
                <w:sz w:val="4"/>
                <w:szCs w:val="4"/>
              </w:rPr>
            </w:r>
          </w:p>
        </w:tc>
        <w:tc>
          <w:tcPr>
            <w:tcW w:w="698"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double" w:sz="6" w:space="1" w:color="000000"/>
              </w:pBdr>
              <w:bidi w:val="0"/>
              <w:spacing w:before="0" w:after="0"/>
              <w:jc w:val="left"/>
              <w:rPr/>
            </w:pPr>
            <w:r>
              <w:rPr/>
              <w:t> </w:t>
            </w:r>
          </w:p>
        </w:tc>
        <w:tc>
          <w:tcPr>
            <w:tcW w:w="171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38" w:type="dxa"/>
            <w:tcBorders/>
          </w:tcPr>
          <w:p>
            <w:pPr>
              <w:pStyle w:val="TableContents"/>
              <w:bidi w:val="0"/>
              <w:spacing w:before="0" w:after="0"/>
              <w:jc w:val="left"/>
              <w:rPr>
                <w:rFonts w:ascii="Times New Roman" w:hAnsi="Times New Roman"/>
                <w:sz w:val="20"/>
              </w:rPr>
            </w:pPr>
            <w:r>
              <w:rPr>
                <w:rFonts w:ascii="Times New Roman" w:hAnsi="Times New Roman"/>
                <w:sz w:val="20"/>
              </w:rPr>
              <w:t>Borrowings (excluding capital lease obligations):</w:t>
            </w:r>
          </w:p>
        </w:tc>
        <w:tc>
          <w:tcPr>
            <w:tcW w:w="698"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sz w:val="4"/>
                <w:szCs w:val="4"/>
              </w:rPr>
            </w:pPr>
            <w:r>
              <w:rPr>
                <w:sz w:val="4"/>
                <w:szCs w:val="4"/>
              </w:rPr>
            </w:r>
          </w:p>
        </w:tc>
        <w:tc>
          <w:tcPr>
            <w:tcW w:w="171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Short-term(2)</w:t>
            </w:r>
          </w:p>
        </w:tc>
        <w:tc>
          <w:tcPr>
            <w:tcW w:w="698"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w:t>
            </w:r>
          </w:p>
        </w:tc>
        <w:tc>
          <w:tcPr>
            <w:tcW w:w="1712" w:type="dxa"/>
            <w:tcBorders/>
            <w:shd w:fill="CCEEFF" w:val="clear"/>
            <w:vAlign w:val="bottom"/>
          </w:tcPr>
          <w:p>
            <w:pPr>
              <w:pStyle w:val="TableContents"/>
              <w:bidi w:val="0"/>
              <w:spacing w:before="0" w:after="283"/>
              <w:jc w:val="right"/>
              <w:rPr/>
            </w:pPr>
            <w:r>
              <w:rPr/>
              <w:t>3,143</w:t>
            </w:r>
          </w:p>
        </w:tc>
        <w:tc>
          <w:tcPr>
            <w:tcW w:w="63" w:type="dxa"/>
            <w:tcBorders/>
            <w:shd w:fill="CCEEFF" w:val="clear"/>
            <w:vAlign w:val="bottom"/>
          </w:tcPr>
          <w:p>
            <w:pPr>
              <w:pStyle w:val="TableContents"/>
              <w:bidi w:val="0"/>
              <w:spacing w:before="0" w:after="283"/>
              <w:jc w:val="left"/>
              <w:rPr/>
            </w:pPr>
            <w:r>
              <w:rPr/>
              <w:t> </w:t>
            </w:r>
          </w:p>
        </w:tc>
      </w:tr>
      <w:tr>
        <w:trPr/>
        <w:tc>
          <w:tcPr>
            <w:tcW w:w="4038" w:type="dxa"/>
            <w:tcBorders/>
          </w:tcPr>
          <w:p>
            <w:pPr>
              <w:pStyle w:val="TableContents"/>
              <w:bidi w:val="0"/>
              <w:spacing w:before="0" w:after="0"/>
              <w:jc w:val="left"/>
              <w:rPr>
                <w:rFonts w:ascii="Times New Roman" w:hAnsi="Times New Roman"/>
                <w:sz w:val="20"/>
              </w:rPr>
            </w:pPr>
            <w:r>
              <w:rPr>
                <w:rFonts w:ascii="Times New Roman" w:hAnsi="Times New Roman"/>
                <w:sz w:val="20"/>
              </w:rPr>
              <w:t>Long-term(3)</w:t>
            </w:r>
          </w:p>
        </w:tc>
        <w:tc>
          <w:tcPr>
            <w:tcW w:w="698"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712" w:type="dxa"/>
            <w:tcBorders/>
            <w:vAlign w:val="bottom"/>
          </w:tcPr>
          <w:p>
            <w:pPr>
              <w:pStyle w:val="TableContents"/>
              <w:bidi w:val="0"/>
              <w:spacing w:before="0" w:after="283"/>
              <w:jc w:val="right"/>
              <w:rPr/>
            </w:pPr>
            <w:r>
              <w:rPr/>
              <w:t>2,436</w:t>
            </w:r>
          </w:p>
        </w:tc>
        <w:tc>
          <w:tcPr>
            <w:tcW w:w="63" w:type="dxa"/>
            <w:tcBorders/>
            <w:vAlign w:val="bottom"/>
          </w:tcPr>
          <w:p>
            <w:pPr>
              <w:pStyle w:val="TableContents"/>
              <w:bidi w:val="0"/>
              <w:spacing w:before="0" w:after="283"/>
              <w:jc w:val="left"/>
              <w:rPr/>
            </w:pPr>
            <w:r>
              <w:rPr/>
              <w:t> </w:t>
            </w:r>
          </w:p>
        </w:tc>
      </w:tr>
      <w:tr>
        <w:trPr/>
        <w:tc>
          <w:tcPr>
            <w:tcW w:w="4038" w:type="dxa"/>
            <w:tcBorders/>
            <w:vAlign w:val="bottom"/>
          </w:tcPr>
          <w:p>
            <w:pPr>
              <w:pStyle w:val="TableContents"/>
              <w:bidi w:val="0"/>
              <w:spacing w:before="0" w:after="283"/>
              <w:jc w:val="left"/>
              <w:rPr>
                <w:sz w:val="4"/>
                <w:szCs w:val="4"/>
              </w:rPr>
            </w:pPr>
            <w:r>
              <w:rPr>
                <w:sz w:val="4"/>
                <w:szCs w:val="4"/>
              </w:rPr>
            </w:r>
          </w:p>
        </w:tc>
        <w:tc>
          <w:tcPr>
            <w:tcW w:w="698"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single" w:sz="2" w:space="1" w:color="000000"/>
              </w:pBdr>
              <w:bidi w:val="0"/>
              <w:spacing w:before="0" w:after="0"/>
              <w:jc w:val="left"/>
              <w:rPr/>
            </w:pPr>
            <w:r>
              <w:rPr/>
              <w:t> </w:t>
            </w:r>
          </w:p>
        </w:tc>
        <w:tc>
          <w:tcPr>
            <w:tcW w:w="171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borrowings (excluding capital lease obligations)</w:t>
            </w:r>
          </w:p>
        </w:tc>
        <w:tc>
          <w:tcPr>
            <w:tcW w:w="698"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w:t>
            </w:r>
          </w:p>
        </w:tc>
        <w:tc>
          <w:tcPr>
            <w:tcW w:w="1712" w:type="dxa"/>
            <w:tcBorders/>
            <w:shd w:fill="CCEEFF" w:val="clear"/>
            <w:vAlign w:val="bottom"/>
          </w:tcPr>
          <w:p>
            <w:pPr>
              <w:pStyle w:val="TableContents"/>
              <w:bidi w:val="0"/>
              <w:spacing w:before="0" w:after="283"/>
              <w:jc w:val="right"/>
              <w:rPr/>
            </w:pPr>
            <w:r>
              <w:rPr/>
              <w:t>5,579</w:t>
            </w:r>
          </w:p>
        </w:tc>
        <w:tc>
          <w:tcPr>
            <w:tcW w:w="63" w:type="dxa"/>
            <w:tcBorders/>
            <w:shd w:fill="CCEEFF" w:val="clear"/>
            <w:vAlign w:val="bottom"/>
          </w:tcPr>
          <w:p>
            <w:pPr>
              <w:pStyle w:val="TableContents"/>
              <w:bidi w:val="0"/>
              <w:spacing w:before="0" w:after="283"/>
              <w:jc w:val="left"/>
              <w:rPr/>
            </w:pPr>
            <w:r>
              <w:rPr/>
              <w:t> </w:t>
            </w:r>
          </w:p>
        </w:tc>
      </w:tr>
      <w:tr>
        <w:trPr/>
        <w:tc>
          <w:tcPr>
            <w:tcW w:w="4038" w:type="dxa"/>
            <w:tcBorders/>
            <w:vAlign w:val="bottom"/>
          </w:tcPr>
          <w:p>
            <w:pPr>
              <w:pStyle w:val="TableContents"/>
              <w:bidi w:val="0"/>
              <w:spacing w:before="0" w:after="283"/>
              <w:jc w:val="left"/>
              <w:rPr>
                <w:sz w:val="4"/>
                <w:szCs w:val="4"/>
              </w:rPr>
            </w:pPr>
            <w:r>
              <w:rPr>
                <w:sz w:val="4"/>
                <w:szCs w:val="4"/>
              </w:rPr>
            </w:r>
          </w:p>
        </w:tc>
        <w:tc>
          <w:tcPr>
            <w:tcW w:w="698"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single" w:sz="2" w:space="1" w:color="000000"/>
              </w:pBdr>
              <w:bidi w:val="0"/>
              <w:spacing w:before="0" w:after="0"/>
              <w:jc w:val="left"/>
              <w:rPr/>
            </w:pPr>
            <w:r>
              <w:rPr/>
              <w:t> </w:t>
            </w:r>
          </w:p>
        </w:tc>
        <w:tc>
          <w:tcPr>
            <w:tcW w:w="171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and cash equivalents presented without giving effect to debt issuance costs.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short-term borrowings are initially expected to be comprised mostly of our drawings under the PHI Bilateral Facility, which is expected to be drawn prior to the anticipated closing date of the Separation by Pioneer Hi-Bred International, Inc. (“PHI”), our wholly-owned subsidiary following the consummation of the Separation, and which is intended to be used for the repayment of a portion of the outstanding borrowings under EIDP’s commercial paper program (see Note 11 to the Interim Consolidated Financial Statements of Corteva included in the Information Statement and incorporated by reference herein). Upon consummation of the Separation, the PHI Bilateral Facility is intended to be repaid in full with the proceeds from drawings under the Five-Year Revolving Credit Facility and the 364-Day Revolving Credit Facility. See “Description of Material Indebtedness.”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anticipated closing date of the Separation, total anticipated long-term borrowings are expected to be $2,436 million. Our long-term borrowings are expected to comprise (i) $1,280 million aggregate principal amount of Vylor Notes to be issued in connection with the settlement of the Exchange Offers and Consent Solicitations and (ii) $1,156 million of other long-term indebtedness, which may be incurred through the Delayed Draw Term Facility (as defined below) or as Capital Markets Indebtedness (as defined below), in each case, assuming that 80% of the $1,600 million aggregate principal amount of EIDP Notes have been validly tendered and not validly withdrawn in the applicable Exchange Offers and Consent Solicitations prior to the Expiration Date and that the conditions for the completion of the Exchange Offers and Consent Solicitations are satisfied or (to the extent permitted) waived. The Delayed Draw Term Facility is intended to serve as a backstop to the Exchange Offers and potential Capital Markets Indebtedness, with commitments thereunder automatically and permanently reduced by the aggregate principal amount of Vylor Notes issued in the Exchange Offers and by the aggregate principal amount of Capital Markets Indebtedness incurred. For every $10 million aggregate principal amount of additional EIDP Notes validly tendered and not validly withdrawn in the Exchange Offers and Consent Solicitations, the long-term borrowings balance is expected to remain at $2,436 million, but the aggregate principal amount of Vylor Notes will be increased by $10 million and borrowings in the form of Capital Markets Indebtedness or under the Delayed Draw Term Facility will be decreased by $10 million. See “Description of Material Indebtedness.”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DESCRIPTION OF MATERIAL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provisions of the terms of our material indebtedness (excluding the Vylor Notes offered hereby) which we expect to incur in connection with the Separation. The terms of such indebtedness are subject to change prior to or in connection with the Separation. The description below does not purport to be complete and is subject to, and qualified in its entirety by reference to, the underlying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Credit Facilities </w:t>
      </w:r>
    </w:p>
    <w:p>
      <w:pPr>
        <w:pStyle w:val="TextBody"/>
        <w:bidi w:val="0"/>
        <w:spacing w:before="120" w:after="0"/>
        <w:jc w:val="left"/>
        <w:rPr>
          <w:rFonts w:ascii="Times New Roman" w:hAnsi="Times New Roman"/>
          <w:sz w:val="20"/>
        </w:rPr>
      </w:pPr>
      <w:r>
        <w:rPr>
          <w:rFonts w:ascii="Times New Roman" w:hAnsi="Times New Roman"/>
          <w:sz w:val="20"/>
        </w:rPr>
        <w:t xml:space="preserve">On August 6, 2026, Vylor entered into (a) a five-year senior unsecured revolving credit facility in an aggregate principal amount equal to $3,000 million (the “Five-Year Revolving Credit Facility” and the definitive documentation in respect thereof, the “Five-Year Revolving Credit Agreement”), (b) a 364-day senior unsecured revolving credit facility in an aggregate principal amount equal to $1,500 million (the “364-Day Revolving Credit Facility” and, together with the Five-Year Revolving Credit Facility, the “Revolving Credit Facilities”, and the definitive documentation in respect of the 364-Day Revolving Credit Facility, the “364-Day Revolving Credit Agreement” and, together with the Five-Year Revolving Credit Agreement, the “Revolving Credit Agreements”) and (c) a senior unsecured delayed draw term loan facility in an original principal amount equal to $2,750 million (the “Delayed Draw Term Facility” and, together with the Revolving Credit Facilities, the “Credit Facilities”, and the definitive documentation in respect of the Delayed Draw Term Facility, the “Delayed Draw Term Loan Credit Agreement” and, together with the Revolving Credit Agreements, the “Credit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effectiveness of each of the Credit Agreements, and the funding of loans thereunder, are subject to the satisfaction of customary closing and funding conditions, including consummation of the Separation. No assurance can be given that these conditions will be satisfied, or that any facility will become available to Vylor on the terms described herein,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Five-Year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Vylor, along with its subsidiary, PHI, are initially co-borrowers under the Five-Year Revolving Credit Facility. Prior to the Five-Year RCF PHI Release Date (as defined below), each of Vylor and PHI is entitled to request loans under the Five-Year Revolving Credit Facility, in each case subject to the terms and conditions thereof, and each of Vylor and PHI guarantees, on a joint and several basis, obligations of the other co-borrower under the Five-Year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Upon the earlier of (a) December 31, 2026 and (b) the first date on which all obligations of PHI under the Five-Year Revolving Credit Facility are paid in full in cash (such date, the “Five-Year RCF PHI Release Date”), PHI will automatically cease to be a borrower under the Five-Year Revolving Credit Facility and will be automatically released as a guarantor thereunder. From and after the Five-Year RCF PHI Release Date, Vylor will be the sole borrower under the Five-Year Revolving Credit Facility, and immediately thereafter no subsidiaries of Vylor will guarantee such facility. </w:t>
      </w:r>
    </w:p>
    <w:p>
      <w:pPr>
        <w:pStyle w:val="TextBody"/>
        <w:bidi w:val="0"/>
        <w:spacing w:before="240" w:after="0"/>
        <w:jc w:val="left"/>
        <w:rPr>
          <w:rFonts w:ascii="Times New Roman" w:hAnsi="Times New Roman"/>
          <w:sz w:val="20"/>
        </w:rPr>
      </w:pPr>
      <w:r>
        <w:rPr>
          <w:rFonts w:ascii="Times New Roman" w:hAnsi="Times New Roman"/>
          <w:sz w:val="20"/>
        </w:rPr>
        <w:t xml:space="preserve">Upon Separation, the proceeds from the Five-Year Revolving Credit Facility, together with the proceeds from the 364-Day Revolving Credit Facility (described below), are intended to be used to repay the PHI Bilateral Facility (described below). Proceeds of the Five-Year Revolving Credit Facility are otherwise intended to be used for general corporate purposes of Vylor and its subsidiaries. The Five-Year Revolving Credit Facility is also intended to serve as a backstop to the Commercial Paper Program. </w:t>
      </w:r>
    </w:p>
    <w:p>
      <w:pPr>
        <w:pStyle w:val="TextBody"/>
        <w:bidi w:val="0"/>
        <w:spacing w:before="240" w:after="0"/>
        <w:jc w:val="left"/>
        <w:rPr>
          <w:rFonts w:ascii="Times New Roman" w:hAnsi="Times New Roman"/>
          <w:sz w:val="20"/>
        </w:rPr>
      </w:pPr>
      <w:r>
        <w:rPr>
          <w:rFonts w:ascii="Times New Roman" w:hAnsi="Times New Roman"/>
          <w:sz w:val="20"/>
        </w:rPr>
        <w:t xml:space="preserve">The maturity date of the Five-Year Revolving Credit Facility is five years from its closing date. </w:t>
      </w:r>
    </w:p>
    <w:p>
      <w:pPr>
        <w:pStyle w:val="TextBody"/>
        <w:bidi w:val="0"/>
        <w:spacing w:before="240" w:after="0"/>
        <w:jc w:val="left"/>
        <w:rPr>
          <w:rFonts w:ascii="Times New Roman" w:hAnsi="Times New Roman"/>
          <w:sz w:val="20"/>
        </w:rPr>
      </w:pPr>
      <w:r>
        <w:rPr>
          <w:rFonts w:ascii="Times New Roman" w:hAnsi="Times New Roman"/>
          <w:sz w:val="20"/>
        </w:rPr>
        <w:t xml:space="preserve">Amounts borrowed under the Five-Year Revolving Credit Facility are subject to an interest rate per annum equal to Term SOFR plus the applicable margin. </w:t>
      </w:r>
    </w:p>
    <w:p>
      <w:pPr>
        <w:pStyle w:val="TextBody"/>
        <w:bidi w:val="0"/>
        <w:spacing w:before="240" w:after="0"/>
        <w:jc w:val="left"/>
        <w:rPr>
          <w:rFonts w:ascii="Times New Roman" w:hAnsi="Times New Roman"/>
          <w:sz w:val="20"/>
        </w:rPr>
      </w:pPr>
      <w:r>
        <w:rPr>
          <w:rFonts w:ascii="Times New Roman" w:hAnsi="Times New Roman"/>
          <w:sz w:val="20"/>
        </w:rPr>
        <w:t xml:space="preserve">Vylor is permitted to voluntarily prepay loans, and to voluntarily reduce commitments, without a penalty.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Five-Year Revolving Credit Agreement contains customary representations and warranties, affirmative and negative covenants and events of default that are typical for companies with similar credit ratings. Additionally, the Five-Year Revolving Credit Agreement contains a financial covenant requiring that the ratio of total indebtedness to total capitalization for Vylor and its consolidated subsidiaries not exceed 0.60. </w:t>
      </w:r>
    </w:p>
    <w:p>
      <w:pPr>
        <w:pStyle w:val="TextBody"/>
        <w:bidi w:val="0"/>
        <w:spacing w:before="360" w:after="0"/>
        <w:jc w:val="left"/>
        <w:rPr>
          <w:rFonts w:ascii="Times New Roman" w:hAnsi="Times New Roman"/>
          <w:b/>
          <w:i/>
          <w:sz w:val="20"/>
        </w:rPr>
      </w:pPr>
      <w:r>
        <w:rPr>
          <w:rFonts w:ascii="Times New Roman" w:hAnsi="Times New Roman"/>
          <w:b/>
          <w:i/>
          <w:sz w:val="20"/>
        </w:rPr>
        <w:t xml:space="preserve">364-Day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Vylor, along with its subsidiary, PHI, are initially co-borrowers under the 364-Day Revolving Credit Facility. Prior to the 364-Day RCF PHI Release Date (as defined below), each of Vylor and PHI is entitled to request loans under the 364-Day Revolving Credit Facility, in each case subject to the terms and conditions thereof, and each of Vylor and PHI guarantees, on a joint and several basis, obligations of the other co-borrower under the 364-Day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Upon the earlier of (a) December 31, 2026 and (b) the first date on which all obligations of PHI under the 364-Day Revolving Credit Facility are paid in full in cash (such date, the “364-Day RCF PHI Release Date”), PHI will automatically cease to be a borrower under the 364-Day Revolving Credit Facility and to be automatically released as a guarantor thereunder. From and after the 364-Day RCF PHI Release Date, Vylor will be the sole borrower under the 364-Day Revolving Credit Facility, and immediately thereafter no subsidiaries of Vylor will guarantee such facility. </w:t>
      </w:r>
    </w:p>
    <w:p>
      <w:pPr>
        <w:pStyle w:val="TextBody"/>
        <w:bidi w:val="0"/>
        <w:spacing w:before="240" w:after="0"/>
        <w:jc w:val="left"/>
        <w:rPr>
          <w:rFonts w:ascii="Times New Roman" w:hAnsi="Times New Roman"/>
          <w:sz w:val="20"/>
        </w:rPr>
      </w:pPr>
      <w:r>
        <w:rPr>
          <w:rFonts w:ascii="Times New Roman" w:hAnsi="Times New Roman"/>
          <w:sz w:val="20"/>
        </w:rPr>
        <w:t xml:space="preserve">Upon Separation, the proceeds from the 364-Day Revolving Credit Facility, together with the proceeds from the Five-Year Revolving Credit Facility, are intended to be used to repay the PHI Bilateral Facility (described below). Proceeds of the 364-Day Revolving Credit Facility are intended to be used for general corporate purposes of Vylor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maturity date of the 364-Day Revolving Credit Facility is 364 days from its closing date. </w:t>
      </w:r>
    </w:p>
    <w:p>
      <w:pPr>
        <w:pStyle w:val="TextBody"/>
        <w:bidi w:val="0"/>
        <w:spacing w:before="240" w:after="0"/>
        <w:jc w:val="left"/>
        <w:rPr>
          <w:rFonts w:ascii="Times New Roman" w:hAnsi="Times New Roman"/>
          <w:sz w:val="20"/>
        </w:rPr>
      </w:pPr>
      <w:r>
        <w:rPr>
          <w:rFonts w:ascii="Times New Roman" w:hAnsi="Times New Roman"/>
          <w:sz w:val="20"/>
        </w:rPr>
        <w:t xml:space="preserve">Amounts borrowed under the 364-Day Revolving Credit Facility are subject to an interest rate per annum equal to Term SOFR plus the applicable margin. </w:t>
      </w:r>
    </w:p>
    <w:p>
      <w:pPr>
        <w:pStyle w:val="TextBody"/>
        <w:bidi w:val="0"/>
        <w:spacing w:before="240" w:after="0"/>
        <w:jc w:val="left"/>
        <w:rPr>
          <w:rFonts w:ascii="Times New Roman" w:hAnsi="Times New Roman"/>
          <w:sz w:val="20"/>
        </w:rPr>
      </w:pPr>
      <w:r>
        <w:rPr>
          <w:rFonts w:ascii="Times New Roman" w:hAnsi="Times New Roman"/>
          <w:sz w:val="20"/>
        </w:rPr>
        <w:t xml:space="preserve">Vylor is permitted to voluntarily prepay loans, and to voluntarily reduce commitments, without a penalty. </w:t>
      </w:r>
    </w:p>
    <w:p>
      <w:pPr>
        <w:pStyle w:val="TextBody"/>
        <w:bidi w:val="0"/>
        <w:spacing w:before="240" w:after="0"/>
        <w:jc w:val="left"/>
        <w:rPr>
          <w:rFonts w:ascii="Times New Roman" w:hAnsi="Times New Roman"/>
          <w:sz w:val="20"/>
        </w:rPr>
      </w:pPr>
      <w:r>
        <w:rPr>
          <w:rFonts w:ascii="Times New Roman" w:hAnsi="Times New Roman"/>
          <w:sz w:val="20"/>
        </w:rPr>
        <w:t xml:space="preserve">The 364-Day Revolving Credit Agreement includes a provision under which Vylor may convert any advances outstanding prior to the maturity date into term loans having a maturity date up to one year later. The 364-Day Revolving Credit Agreement contains customary representations and warranties, affirmative and negative covenants and events of default that are typical for companies with similar credit ratings. Additionally, the 364-Day Revolving Credit Agreement contains a financial covenant requiring that the ratio of total indebtedness to total capitalization for Vylor and its consolidated subsidiaries not exceed 0.60. </w:t>
      </w:r>
    </w:p>
    <w:p>
      <w:pPr>
        <w:pStyle w:val="TextBody"/>
        <w:bidi w:val="0"/>
        <w:spacing w:before="360" w:after="0"/>
        <w:jc w:val="left"/>
        <w:rPr>
          <w:rFonts w:ascii="Times New Roman" w:hAnsi="Times New Roman"/>
          <w:b/>
          <w:i/>
          <w:sz w:val="20"/>
        </w:rPr>
      </w:pPr>
      <w:r>
        <w:rPr>
          <w:rFonts w:ascii="Times New Roman" w:hAnsi="Times New Roman"/>
          <w:b/>
          <w:i/>
          <w:sz w:val="20"/>
        </w:rPr>
        <w:t xml:space="preserve">PHI Bilateral Facility </w:t>
      </w:r>
    </w:p>
    <w:p>
      <w:pPr>
        <w:pStyle w:val="TextBody"/>
        <w:bidi w:val="0"/>
        <w:spacing w:before="120" w:after="0"/>
        <w:jc w:val="left"/>
        <w:rPr>
          <w:rFonts w:ascii="Times New Roman" w:hAnsi="Times New Roman"/>
          <w:sz w:val="20"/>
        </w:rPr>
      </w:pPr>
      <w:r>
        <w:rPr>
          <w:rFonts w:ascii="Times New Roman" w:hAnsi="Times New Roman"/>
          <w:sz w:val="20"/>
        </w:rPr>
        <w:t xml:space="preserve">PHI expects to enter into a loan facility up to an aggregate principal amount between $3,000 and $3,500 million (the “PHI Bilateral Facility”), which is intended to be used for the repayment of a portion of the outstanding borrowings under EIDP’s commercial paper program (see Note 11 to the Interim Consolidated Financial Statements of Corteva included in the Information Statement and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PHI Bilateral Facility is expected to be effective from September 1, 2026 through October 1, 2026 and is the only Credit Facility expected to be funded prior to consummation of the Separation. The PHI Bilateral Facility is expected to serve as a bridge to the Five-Year Revolving Credit Facility and 364-Day Revolving Credit Facility, each of which is expected to fund upon consummation of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PHI is expected to be the sole borrower under the PHI Bilateral Facility. </w:t>
      </w:r>
    </w:p>
    <w:p>
      <w:pPr>
        <w:pStyle w:val="TextBody"/>
        <w:bidi w:val="0"/>
        <w:spacing w:before="240" w:after="0"/>
        <w:jc w:val="left"/>
        <w:rPr>
          <w:rFonts w:ascii="Times New Roman" w:hAnsi="Times New Roman"/>
          <w:sz w:val="20"/>
        </w:rPr>
      </w:pPr>
      <w:r>
        <w:rPr>
          <w:rFonts w:ascii="Times New Roman" w:hAnsi="Times New Roman"/>
          <w:sz w:val="20"/>
        </w:rPr>
        <w:t xml:space="preserve">Amounts borrowed under the PHI Bilateral Facility are expected to be subject to an interest rate per annum equal to Term SOFR plus the applicable margin.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credit agreement governing the PHI Bilateral Facility is expected to contain covenants and events of default substantially similar in scope and terms to those described above for the Revolving Credit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Delayed Draw Term Facility </w:t>
      </w:r>
    </w:p>
    <w:p>
      <w:pPr>
        <w:pStyle w:val="TextBody"/>
        <w:bidi w:val="0"/>
        <w:spacing w:before="120" w:after="0"/>
        <w:jc w:val="left"/>
        <w:rPr>
          <w:rFonts w:ascii="Times New Roman" w:hAnsi="Times New Roman"/>
          <w:sz w:val="20"/>
        </w:rPr>
      </w:pPr>
      <w:r>
        <w:rPr>
          <w:rFonts w:ascii="Times New Roman" w:hAnsi="Times New Roman"/>
          <w:sz w:val="20"/>
        </w:rPr>
        <w:t xml:space="preserve">Vylor is expected to be the sole borrower under the Delayed Draw Term Facility. </w:t>
      </w:r>
    </w:p>
    <w:p>
      <w:pPr>
        <w:pStyle w:val="TextBody"/>
        <w:bidi w:val="0"/>
        <w:spacing w:before="240" w:after="0"/>
        <w:jc w:val="left"/>
        <w:rPr>
          <w:rFonts w:ascii="Times New Roman" w:hAnsi="Times New Roman"/>
          <w:sz w:val="20"/>
        </w:rPr>
      </w:pPr>
      <w:r>
        <w:rPr>
          <w:rFonts w:ascii="Times New Roman" w:hAnsi="Times New Roman"/>
          <w:sz w:val="20"/>
        </w:rPr>
        <w:t xml:space="preserve">The Delayed Draw Term Facility is intended to serve as a backstop to the Exchange Offers and potential Capital Markets Indebtedness (as defined below). Accordingly, upon Separation, Vylor intends to draw under the Delayed Draw Term Facility up to $2,750 million, less the amount of Vylor Notes issued in the Exchange Offers and less any new Capital Markets Indebtedness that may be issued by Vylor. The commitments under the Delayed Draw Term Facility will be automatically and permanently reduced, on a dollar-for-dollar basis, by an amount equal to the aggregate principal amount of Vylor Notes issued in the Exchange Offers and by the aggregate principal amount of Capital Markets Indebtedness incurred. As of the anticipated closing date of the Separation, total anticipated long-term borrowings are expected to be $2,436 million. For every $10 million aggregate principal amount of additional EIDP Notes validly tendered and not validly withdrawn in the Exchange Offers and Consent Solicitations, the long-term borrowings balance is expected to remain at $2,436 million but will be comprised of an additional $10 million aggregate principal amount of Vylor Notes and $10 million less of borrowings under other long-term indebtedness from the Delayed Draw Term Facility or Capital Markets Indebtedness. See “Sources and Uses of Capital.” </w:t>
      </w:r>
    </w:p>
    <w:p>
      <w:pPr>
        <w:pStyle w:val="TextBody"/>
        <w:bidi w:val="0"/>
        <w:spacing w:before="240" w:after="0"/>
        <w:jc w:val="left"/>
        <w:rPr>
          <w:rFonts w:ascii="Times New Roman" w:hAnsi="Times New Roman"/>
          <w:sz w:val="20"/>
        </w:rPr>
      </w:pPr>
      <w:r>
        <w:rPr>
          <w:rFonts w:ascii="Times New Roman" w:hAnsi="Times New Roman"/>
          <w:sz w:val="20"/>
        </w:rPr>
        <w:t xml:space="preserve">Proceeds of loans under the Delayed Draw Term Facility are intended to be used to finance the Separation and to pay fees, costs and expenses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The maturity date of the Delayed Draw Term Facility is approximately one year from its closing date. </w:t>
      </w:r>
    </w:p>
    <w:p>
      <w:pPr>
        <w:pStyle w:val="TextBody"/>
        <w:bidi w:val="0"/>
        <w:spacing w:before="240" w:after="0"/>
        <w:jc w:val="left"/>
        <w:rPr>
          <w:rFonts w:ascii="Times New Roman" w:hAnsi="Times New Roman"/>
          <w:sz w:val="20"/>
        </w:rPr>
      </w:pPr>
      <w:r>
        <w:rPr>
          <w:rFonts w:ascii="Times New Roman" w:hAnsi="Times New Roman"/>
          <w:sz w:val="20"/>
        </w:rPr>
        <w:t xml:space="preserve">Amounts borrowed under the Delayed Draw Term Facility are subject to an interest rate per annum equal to Term SOFR plus the applicable margin. </w:t>
      </w:r>
    </w:p>
    <w:p>
      <w:pPr>
        <w:pStyle w:val="TextBody"/>
        <w:bidi w:val="0"/>
        <w:spacing w:before="240" w:after="0"/>
        <w:jc w:val="left"/>
        <w:rPr>
          <w:rFonts w:ascii="Times New Roman" w:hAnsi="Times New Roman"/>
          <w:sz w:val="20"/>
        </w:rPr>
      </w:pPr>
      <w:r>
        <w:rPr>
          <w:rFonts w:ascii="Times New Roman" w:hAnsi="Times New Roman"/>
          <w:sz w:val="20"/>
        </w:rPr>
        <w:t xml:space="preserve">The Delayed Draw Term Facility is subject to mandatory prepayment (and, prior to funding, automatic and permanent commitment reduction) requirements from the net cash proceeds of debt and equity issuances by Vylor. Vylor is permitted to voluntarily prepay delayed draw term loans, and to voluntarily reduce undrawn commitments, without a penalty. </w:t>
      </w:r>
    </w:p>
    <w:p>
      <w:pPr>
        <w:pStyle w:val="TextBody"/>
        <w:bidi w:val="0"/>
        <w:spacing w:before="240" w:after="0"/>
        <w:jc w:val="left"/>
        <w:rPr>
          <w:rFonts w:ascii="Times New Roman" w:hAnsi="Times New Roman"/>
          <w:sz w:val="20"/>
        </w:rPr>
      </w:pPr>
      <w:r>
        <w:rPr>
          <w:rFonts w:ascii="Times New Roman" w:hAnsi="Times New Roman"/>
          <w:sz w:val="20"/>
        </w:rPr>
        <w:t xml:space="preserve">The Delayed Draw Term Loan Credit Agreement contains covenants and events of default substantially similar in scope and terms to those described above for the Revolving Credit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 Paper Program </w:t>
      </w:r>
    </w:p>
    <w:p>
      <w:pPr>
        <w:pStyle w:val="TextBody"/>
        <w:bidi w:val="0"/>
        <w:spacing w:before="120" w:after="0"/>
        <w:jc w:val="left"/>
        <w:rPr>
          <w:rFonts w:ascii="Times New Roman" w:hAnsi="Times New Roman"/>
          <w:sz w:val="20"/>
        </w:rPr>
      </w:pPr>
      <w:r>
        <w:rPr>
          <w:rFonts w:ascii="Times New Roman" w:hAnsi="Times New Roman"/>
          <w:sz w:val="20"/>
        </w:rPr>
        <w:t xml:space="preserve">Vylor is expected to establish a commercial paper program (the “Commercial Paper Program”) that authorizes the issuance of unsecured commercial paper notes in an aggregate principal amount of up to $3,500 million at any time outstanding. The Commercial Paper Program is expected to become effective following the completion of the Separation. Vylor expects to utilize the Commercial Paper Program from time to time after the Separation to fund short-term liquidity needs and for general corporate purposes. Vylor does not currently expect to have any borrowings outstanding under the Commercial Paper Program as of the Separation. The Five-Year Revolving Credit Facility is intended to serve as a backstop to the Commercial Paper Program. </w:t>
      </w:r>
    </w:p>
    <w:p>
      <w:pPr>
        <w:pStyle w:val="TextBody"/>
        <w:bidi w:val="0"/>
        <w:spacing w:before="360" w:after="0"/>
        <w:jc w:val="left"/>
        <w:rPr>
          <w:rFonts w:ascii="Times New Roman" w:hAnsi="Times New Roman"/>
          <w:b/>
          <w:sz w:val="20"/>
        </w:rPr>
      </w:pPr>
      <w:r>
        <w:rPr>
          <w:rFonts w:ascii="Times New Roman" w:hAnsi="Times New Roman"/>
          <w:b/>
          <w:sz w:val="20"/>
        </w:rPr>
        <w:t xml:space="preserve">Capital Markets Indebtedness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including prior to the date of the Separation, Vylor may seek to incur capital markets indebtedness, which may include the issuance of bonds, notes or other debt securities (collectively, “Capital Markets Indebtedness”), in order to implement its capital structure in connection with the Separation. See “Sources and Uses of Capital” for further details. Any such issuance would be subject to market conditions and other factors at the time of issuance.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Pre-Separation EIDP Guarantee </w:t>
      </w:r>
    </w:p>
    <w:p>
      <w:pPr>
        <w:pStyle w:val="TextBody"/>
        <w:bidi w:val="0"/>
        <w:spacing w:before="120" w:after="0"/>
        <w:jc w:val="left"/>
        <w:rPr>
          <w:rFonts w:ascii="Times New Roman" w:hAnsi="Times New Roman"/>
          <w:sz w:val="20"/>
        </w:rPr>
      </w:pPr>
      <w:r>
        <w:rPr>
          <w:rFonts w:ascii="Times New Roman" w:hAnsi="Times New Roman"/>
          <w:sz w:val="20"/>
        </w:rPr>
        <w:t xml:space="preserve">Obligations under any Credit Facility or other indebtedness funded prior to the completion of the Separation may benefit from a guarantee provided by EIDP. Any such guarantee, if applicable, will be automatically released upon the completion of the Separation. Following the completion of the Separation, EIDP will have no continuing obligation with respect to any indebtedness of Vylor or its subsidiaries.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2025, Corteva announced its intention to pursue, subject to the approval of the Corteva Board of Directors and any required regulatory approvals, its separation into two independent publicly traded companies—one comprising its current Crop Protection Business and the other comprising its current Seed Business—by distributing all outstanding shares of Vylor (inclusive of the Seed Business) common stock to Corteva stockholders in a transaction that is intended to be a tax-free spin-off for U.S. federal income tax purposes. Immediately following the Separation, Corteva’s stockholders would own 100 percent of the shares of Vylor common stock. Irrespective of the legal form of the spin-off described elsewhere in this Offering Memorandum, for accounting and financial reporting purposes, Corteva’s Crop Protection Business will be presented as being spun off from Corteva. This presentation is in accordance with U.S. GAAP and is primarily a result of, among other factors, Vylor’s relative significance to New Corteva.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Consolidated Financial Statements consist of an unaudited Pro Forma Consolidated Statement of Operations for the three months ended March 31, 2026 and the year ended December 31, 2025 and an unaudited Pro Forma Consolidated Balance Sheet as of March 31, 2026. The unaudited Pro Forma Consolidated Financial Statements should be read in conjunction with the historical supplemental Combined Financial Statements of the Seed Business and the related notes included elsewhere in this Offering Memorandum and the information incorporated by reference in this Offering Memorandum, including the audited Consolidated Financial Statements of Corteva and the related notes and the sections titled “Management’s Discussion and Analysis of Financial Condition and Results of Operations of Corteva” and “Management’s Discussion and Analysis of Financial Condition and Results of Operations of the Seed Business (Supplemental)” included in the Information Statement. The unaudited Pro Forma Consolidated Statements of Operations have been prepared to give effect to the Pro Forma Transactions (as defined below) as if the Pro Forma Transactions had occurred or became effective as of January 1, 2025, the beginning of our most recently completed fiscal year, except that the Pro Forma Consolidated Statements of Income are also presented for the years ended December 31, 2024 and 2023 to reflect the presentation of the Crop Protection Business as discontinued operations. The unaudited Pro Forma Consolidated Balance Sheet has been prepared to give effect to the Pro Forma Transactions as though the Pro Forma Transactions had occurred or became effective as of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Consolidated Financial Statements presented herein do not purport to represent what our financial position and results of operations would have been had the Pro Forma Transactions occurred on the dates indicated and are not necessarily indicative of our future financial position and future results of operations. In addition, the unaudited Pro Forma Consolidated Financial Statements are provided for illustrative and informational purposes only. The Pro Forma Transactions are based on available information and assumptions we believe are reasonable; however, such adjustments are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Consolidated Financial Statements have been adjusted to give effect to the following adjustments (collectively, the “Pro Forma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disposition, for accounting purposes, of Corteva’s Crop Protection Business, which we expect to qualify as discontinued operations and is, therefore, reflected in the unaudited Pro Forma Consolidated Financial Statements in accordance with the guidance in Accounting Standards Codification (“ASC”) 205-20, Presentation of Financial Statements – Discontinued Operations (“ASC 205-20”);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our anticipated capital structure following the Separation, including the incurrence of principal indebtedness of an assumed amount equal to $5,476 million, net of applicable debt issuance costs, and the expected distribution of an aggregate amount equal to $3,536 million of cash to New Corteva, which includes the impact of seasonal working capital at the Separation (see “Sources and Uses of Capital” and “Description of Material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inclusion of approximately $270 million of non-recurring selling, general and administrative costs;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rata distribution of our issued and outstanding common stock by Corteva in connection with the Separation, based on an assumed distribution ratio of one share of Vylor common stock for each share of Corteva common stock (the actual distribution ratio may differ from this assumption);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Separation and Distribution Agreement, Tax Matters Agreement, Employee Matters Agreement, Transition Services Agreements, Commercial Agreements, Intellectual Property Matters Agreement (each as defined in the Information Statement) and other ancillary agreements between Vylor and New Corteva and the provisions contained therein.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included estimated pro forma adjustments within the Other Transaction Accounting Adjustments column that we expect to incur in conjunction with the Separation, as further described in Note 2—Other Transaction Accounting Adjustments, to the unaudited Pro Forma Consolidated Financial Statements. A final determination regarding our anticipated capital structure has not yet been made, and therefore the capital structure presented reflects management’s estimates based on current assumptions, and is subject to change prior to or in connection with the Separation (see “Sources and Uses of Capital” and “Description of Material Indebtedness”), and until the Separation and Distribution Agreement, Tax Matters Agreement, Employee Matters Agreement, Transition Services Agreements, Commercial Agreements, Intellectual Property Matters Agreement and other ancillary agreements are finalized. To the extent the results of the Exchange Offers differ from our estimates and/or any revisions or modifications to the agreements or any new agreements give rise to material changes, additional pro forma adjustments may be necessary to reflect the impact on our capital structure and the final form of those agreements once executed.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Consolidated Financial Statements constitute forward-looking information and are subject to certain risks and uncertainties that could cause actual results to differ materially from those anticipated. See “Cautionary Note Regarding Forward-Looking Statements.”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Consolidated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March 31,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9"/>
        <w:gridCol w:w="120"/>
        <w:gridCol w:w="169"/>
        <w:gridCol w:w="826"/>
        <w:gridCol w:w="155"/>
        <w:gridCol w:w="60"/>
        <w:gridCol w:w="176"/>
        <w:gridCol w:w="954"/>
        <w:gridCol w:w="155"/>
        <w:gridCol w:w="60"/>
        <w:gridCol w:w="225"/>
        <w:gridCol w:w="1025"/>
        <w:gridCol w:w="155"/>
        <w:gridCol w:w="60"/>
        <w:gridCol w:w="859"/>
        <w:gridCol w:w="120"/>
        <w:gridCol w:w="241"/>
        <w:gridCol w:w="1174"/>
        <w:gridCol w:w="162"/>
      </w:tblGrid>
      <w:tr>
        <w:trPr/>
        <w:tc>
          <w:tcPr>
            <w:tcW w:w="350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0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 except share and per share amounts)</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Corteva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Separation</w:t>
              <w:br/>
              <w:t>of Crop</w:t>
              <w:br/>
              <w:t>Protection</w:t>
              <w:b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transaction</w:t>
            </w:r>
            <w:r>
              <w:rPr/>
              <w:br/>
            </w:r>
            <w:r>
              <w:rPr>
                <w:b/>
              </w:rPr>
              <w:t>accounting</w:t>
            </w:r>
            <w:r>
              <w:rPr/>
              <w:br/>
            </w:r>
            <w:r>
              <w:rPr>
                <w:b/>
              </w:rP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 as</w:t>
              <w:br/>
              <w:t>of March 31,</w:t>
              <w:br/>
              <w:t>2026</w:t>
            </w:r>
          </w:p>
        </w:tc>
        <w:tc>
          <w:tcPr>
            <w:tcW w:w="162" w:type="dxa"/>
            <w:tcBorders/>
            <w:vAlign w:val="bottom"/>
          </w:tcPr>
          <w:p>
            <w:pPr>
              <w:pStyle w:val="TableContents"/>
              <w:bidi w:val="0"/>
              <w:spacing w:before="0" w:after="283"/>
              <w:jc w:val="left"/>
              <w:rPr/>
            </w:pPr>
            <w:r>
              <w:rPr/>
              <w:t> </w:t>
            </w:r>
          </w:p>
        </w:tc>
      </w:tr>
      <w:tr>
        <w:trPr/>
        <w:tc>
          <w:tcPr>
            <w:tcW w:w="350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350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1,964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(1,528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025" w:type="dxa"/>
            <w:tcBorders/>
            <w:shd w:fill="CCEEFF" w:val="clear"/>
            <w:vAlign w:val="bottom"/>
          </w:tcPr>
          <w:p>
            <w:pPr>
              <w:pStyle w:val="TableContents"/>
              <w:bidi w:val="0"/>
              <w:spacing w:before="0" w:after="283"/>
              <w:jc w:val="right"/>
              <w:rPr/>
            </w:pPr>
            <w:r>
              <w:rPr/>
              <w:t>664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pPr>
            <w:r>
              <w:rPr/>
              <w:t>(a)</w:t>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1,100</w:t>
            </w:r>
          </w:p>
        </w:tc>
        <w:tc>
          <w:tcPr>
            <w:tcW w:w="162" w:type="dxa"/>
            <w:tcBorders/>
            <w:shd w:fill="CCEEFF" w:val="clear"/>
            <w:vAlign w:val="bottom"/>
          </w:tcPr>
          <w:p>
            <w:pPr>
              <w:pStyle w:val="TableContents"/>
              <w:bidi w:val="0"/>
              <w:spacing w:before="0" w:after="283"/>
              <w:jc w:val="left"/>
              <w:rPr/>
            </w:pPr>
            <w:r>
              <w:rPr/>
              <w:t> </w:t>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w:t>
            </w:r>
          </w:p>
        </w:tc>
        <w:tc>
          <w:tcPr>
            <w:tcW w:w="162" w:type="dxa"/>
            <w:tcBorders/>
            <w:vAlign w:val="bottom"/>
          </w:tcPr>
          <w:p>
            <w:pPr>
              <w:pStyle w:val="TableContents"/>
              <w:bidi w:val="0"/>
              <w:spacing w:before="0" w:after="283"/>
              <w:jc w:val="left"/>
              <w:rPr/>
            </w:pPr>
            <w:r>
              <w:rPr/>
              <w:t> </w:t>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and notes receivable - net</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9,088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(5,501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pPr>
            <w:r>
              <w:rPr/>
              <w:t>(g)</w:t>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3,678</w:t>
            </w:r>
          </w:p>
        </w:tc>
        <w:tc>
          <w:tcPr>
            <w:tcW w:w="162" w:type="dxa"/>
            <w:tcBorders/>
            <w:shd w:fill="CCEEFF" w:val="clear"/>
            <w:vAlign w:val="bottom"/>
          </w:tcPr>
          <w:p>
            <w:pPr>
              <w:pStyle w:val="TableContents"/>
              <w:bidi w:val="0"/>
              <w:spacing w:before="0" w:after="283"/>
              <w:jc w:val="left"/>
              <w:rPr/>
            </w:pPr>
            <w:r>
              <w:rPr/>
              <w:t> </w:t>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5,202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(2,595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pPr>
            <w:r>
              <w:rPr/>
              <w:t>(g)</w:t>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2,626</w:t>
            </w:r>
          </w:p>
        </w:tc>
        <w:tc>
          <w:tcPr>
            <w:tcW w:w="162" w:type="dxa"/>
            <w:tcBorders/>
            <w:vAlign w:val="bottom"/>
          </w:tcPr>
          <w:p>
            <w:pPr>
              <w:pStyle w:val="TableContents"/>
              <w:bidi w:val="0"/>
              <w:spacing w:before="0" w:after="283"/>
              <w:jc w:val="left"/>
              <w:rPr/>
            </w:pPr>
            <w:r>
              <w:rPr/>
              <w:t> </w:t>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1,129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(568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pPr>
            <w:r>
              <w:rPr/>
              <w:t>(b)</w:t>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563</w:t>
            </w:r>
          </w:p>
        </w:tc>
        <w:tc>
          <w:tcPr>
            <w:tcW w:w="162" w:type="dxa"/>
            <w:tcBorders/>
            <w:shd w:fill="CCEEFF" w:val="clear"/>
            <w:vAlign w:val="bottom"/>
          </w:tcPr>
          <w:p>
            <w:pPr>
              <w:pStyle w:val="TableContents"/>
              <w:bidi w:val="0"/>
              <w:spacing w:before="0" w:after="283"/>
              <w:jc w:val="left"/>
              <w:rPr/>
            </w:pPr>
            <w:r>
              <w:rPr/>
              <w:t> </w:t>
            </w:r>
          </w:p>
        </w:tc>
      </w:tr>
      <w:tr>
        <w:trPr/>
        <w:tc>
          <w:tcPr>
            <w:tcW w:w="35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17,385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(10,193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776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7,968</w:t>
            </w:r>
          </w:p>
        </w:tc>
        <w:tc>
          <w:tcPr>
            <w:tcW w:w="162" w:type="dxa"/>
            <w:tcBorders/>
            <w:vAlign w:val="bottom"/>
          </w:tcPr>
          <w:p>
            <w:pPr>
              <w:pStyle w:val="TableContents"/>
              <w:bidi w:val="0"/>
              <w:spacing w:before="0" w:after="283"/>
              <w:jc w:val="left"/>
              <w:rPr/>
            </w:pPr>
            <w:r>
              <w:rPr/>
              <w:t> </w:t>
            </w:r>
          </w:p>
        </w:tc>
      </w:tr>
      <w:tr>
        <w:trPr/>
        <w:tc>
          <w:tcPr>
            <w:tcW w:w="35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in nonconsolidated affiliates</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77</w:t>
            </w:r>
          </w:p>
        </w:tc>
        <w:tc>
          <w:tcPr>
            <w:tcW w:w="162" w:type="dxa"/>
            <w:tcBorders/>
            <w:shd w:fill="CCEEFF" w:val="clear"/>
            <w:vAlign w:val="bottom"/>
          </w:tcPr>
          <w:p>
            <w:pPr>
              <w:pStyle w:val="TableContents"/>
              <w:bidi w:val="0"/>
              <w:spacing w:before="0" w:after="283"/>
              <w:jc w:val="left"/>
              <w:rPr/>
            </w:pPr>
            <w:r>
              <w:rPr/>
              <w:t> </w:t>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9,617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(5,074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4,543</w:t>
            </w:r>
          </w:p>
        </w:tc>
        <w:tc>
          <w:tcPr>
            <w:tcW w:w="162" w:type="dxa"/>
            <w:tcBorders/>
            <w:vAlign w:val="bottom"/>
          </w:tcPr>
          <w:p>
            <w:pPr>
              <w:pStyle w:val="TableContents"/>
              <w:bidi w:val="0"/>
              <w:spacing w:before="0" w:after="283"/>
              <w:jc w:val="left"/>
              <w:rPr/>
            </w:pPr>
            <w:r>
              <w:rPr/>
              <w:t> </w:t>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5,434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(3,334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2,100</w:t>
            </w:r>
          </w:p>
        </w:tc>
        <w:tc>
          <w:tcPr>
            <w:tcW w:w="162" w:type="dxa"/>
            <w:tcBorders/>
            <w:shd w:fill="CCEEFF" w:val="clear"/>
            <w:vAlign w:val="bottom"/>
          </w:tcPr>
          <w:p>
            <w:pPr>
              <w:pStyle w:val="TableContents"/>
              <w:bidi w:val="0"/>
              <w:spacing w:before="0" w:after="283"/>
              <w:jc w:val="left"/>
              <w:rPr/>
            </w:pPr>
            <w:r>
              <w:rPr/>
              <w:t> </w:t>
            </w:r>
          </w:p>
        </w:tc>
      </w:tr>
      <w:tr>
        <w:trPr/>
        <w:tc>
          <w:tcPr>
            <w:tcW w:w="35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Net property, plant and equipment</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4,183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(1,740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2,443</w:t>
            </w:r>
          </w:p>
        </w:tc>
        <w:tc>
          <w:tcPr>
            <w:tcW w:w="162" w:type="dxa"/>
            <w:tcBorders/>
            <w:vAlign w:val="bottom"/>
          </w:tcPr>
          <w:p>
            <w:pPr>
              <w:pStyle w:val="TableContents"/>
              <w:bidi w:val="0"/>
              <w:spacing w:before="0" w:after="283"/>
              <w:jc w:val="left"/>
              <w:rPr/>
            </w:pPr>
            <w:r>
              <w:rPr/>
              <w:t> </w:t>
            </w:r>
          </w:p>
        </w:tc>
      </w:tr>
      <w:tr>
        <w:trPr/>
        <w:tc>
          <w:tcPr>
            <w:tcW w:w="35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10,409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(5,135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5,274</w:t>
            </w:r>
          </w:p>
        </w:tc>
        <w:tc>
          <w:tcPr>
            <w:tcW w:w="162" w:type="dxa"/>
            <w:tcBorders/>
            <w:shd w:fill="CCEEFF" w:val="clear"/>
            <w:vAlign w:val="bottom"/>
          </w:tcPr>
          <w:p>
            <w:pPr>
              <w:pStyle w:val="TableContents"/>
              <w:bidi w:val="0"/>
              <w:spacing w:before="0" w:after="283"/>
              <w:jc w:val="left"/>
              <w:rPr/>
            </w:pPr>
            <w:r>
              <w:rPr/>
              <w:t> </w:t>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Other intangible assets</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8,147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(1,005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7,142</w:t>
            </w:r>
          </w:p>
        </w:tc>
        <w:tc>
          <w:tcPr>
            <w:tcW w:w="162" w:type="dxa"/>
            <w:tcBorders/>
            <w:vAlign w:val="bottom"/>
          </w:tcPr>
          <w:p>
            <w:pPr>
              <w:pStyle w:val="TableContents"/>
              <w:bidi w:val="0"/>
              <w:spacing w:before="0" w:after="283"/>
              <w:jc w:val="left"/>
              <w:rPr/>
            </w:pPr>
            <w:r>
              <w:rPr/>
              <w:t> </w:t>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(312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83</w:t>
            </w:r>
          </w:p>
        </w:tc>
        <w:tc>
          <w:tcPr>
            <w:tcW w:w="162" w:type="dxa"/>
            <w:tcBorders/>
            <w:shd w:fill="CCEEFF" w:val="clear"/>
            <w:vAlign w:val="bottom"/>
          </w:tcPr>
          <w:p>
            <w:pPr>
              <w:pStyle w:val="TableContents"/>
              <w:bidi w:val="0"/>
              <w:spacing w:before="0" w:after="283"/>
              <w:jc w:val="left"/>
              <w:rPr/>
            </w:pPr>
            <w:r>
              <w:rPr/>
              <w:t> </w:t>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2,033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(1,436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pPr>
            <w:r>
              <w:rPr/>
              <w:t>(b),(f)</w:t>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757</w:t>
            </w:r>
          </w:p>
        </w:tc>
        <w:tc>
          <w:tcPr>
            <w:tcW w:w="162" w:type="dxa"/>
            <w:tcBorders/>
            <w:vAlign w:val="bottom"/>
          </w:tcPr>
          <w:p>
            <w:pPr>
              <w:pStyle w:val="TableContents"/>
              <w:bidi w:val="0"/>
              <w:spacing w:before="0" w:after="283"/>
              <w:jc w:val="left"/>
              <w:rPr/>
            </w:pPr>
            <w:r>
              <w:rPr/>
              <w:t> </w:t>
            </w:r>
          </w:p>
        </w:tc>
      </w:tr>
      <w:tr>
        <w:trPr/>
        <w:tc>
          <w:tcPr>
            <w:tcW w:w="35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42,717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(19,909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025" w:type="dxa"/>
            <w:tcBorders/>
            <w:shd w:fill="CCEEFF" w:val="clear"/>
            <w:vAlign w:val="bottom"/>
          </w:tcPr>
          <w:p>
            <w:pPr>
              <w:pStyle w:val="TableContents"/>
              <w:bidi w:val="0"/>
              <w:spacing w:before="0" w:after="283"/>
              <w:jc w:val="right"/>
              <w:rPr/>
            </w:pPr>
            <w:r>
              <w:rPr/>
              <w:t>936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23,744</w:t>
            </w:r>
          </w:p>
        </w:tc>
        <w:tc>
          <w:tcPr>
            <w:tcW w:w="162" w:type="dxa"/>
            <w:tcBorders/>
            <w:shd w:fill="CCEEFF" w:val="clear"/>
            <w:vAlign w:val="bottom"/>
          </w:tcPr>
          <w:p>
            <w:pPr>
              <w:pStyle w:val="TableContents"/>
              <w:bidi w:val="0"/>
              <w:spacing w:before="0" w:after="283"/>
              <w:jc w:val="left"/>
              <w:rPr/>
            </w:pPr>
            <w:r>
              <w:rPr/>
              <w:t> </w:t>
            </w:r>
          </w:p>
        </w:tc>
      </w:tr>
      <w:tr>
        <w:trPr/>
        <w:tc>
          <w:tcPr>
            <w:tcW w:w="35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50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Short-term borrowings</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1,674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954" w:type="dxa"/>
            <w:tcBorders/>
            <w:vAlign w:val="bottom"/>
          </w:tcPr>
          <w:p>
            <w:pPr>
              <w:pStyle w:val="TableContents"/>
              <w:bidi w:val="0"/>
              <w:spacing w:before="0" w:after="283"/>
              <w:jc w:val="right"/>
              <w:rPr/>
            </w:pPr>
            <w:r>
              <w:rPr/>
              <w:t>(1,547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025" w:type="dxa"/>
            <w:tcBorders/>
            <w:vAlign w:val="bottom"/>
          </w:tcPr>
          <w:p>
            <w:pPr>
              <w:pStyle w:val="TableContents"/>
              <w:bidi w:val="0"/>
              <w:spacing w:before="0" w:after="283"/>
              <w:jc w:val="right"/>
              <w:rPr/>
            </w:pPr>
            <w:r>
              <w:rPr/>
              <w:t>3,078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4" w:type="dxa"/>
            <w:tcBorders/>
            <w:vAlign w:val="bottom"/>
          </w:tcPr>
          <w:p>
            <w:pPr>
              <w:pStyle w:val="TableContents"/>
              <w:bidi w:val="0"/>
              <w:spacing w:before="0" w:after="283"/>
              <w:jc w:val="right"/>
              <w:rPr/>
            </w:pPr>
            <w:r>
              <w:rPr/>
              <w:t>3,205</w:t>
            </w:r>
          </w:p>
        </w:tc>
        <w:tc>
          <w:tcPr>
            <w:tcW w:w="162" w:type="dxa"/>
            <w:tcBorders/>
            <w:vAlign w:val="bottom"/>
          </w:tcPr>
          <w:p>
            <w:pPr>
              <w:pStyle w:val="TableContents"/>
              <w:bidi w:val="0"/>
              <w:spacing w:before="0" w:after="283"/>
              <w:jc w:val="left"/>
              <w:rPr/>
            </w:pPr>
            <w:r>
              <w:rPr/>
              <w:t> </w:t>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4,187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(2,485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1,702</w:t>
            </w:r>
          </w:p>
        </w:tc>
        <w:tc>
          <w:tcPr>
            <w:tcW w:w="162" w:type="dxa"/>
            <w:tcBorders/>
            <w:shd w:fill="CCEEFF" w:val="clear"/>
            <w:vAlign w:val="bottom"/>
          </w:tcPr>
          <w:p>
            <w:pPr>
              <w:pStyle w:val="TableContents"/>
              <w:bidi w:val="0"/>
              <w:spacing w:before="0" w:after="283"/>
              <w:jc w:val="left"/>
              <w:rPr/>
            </w:pPr>
            <w:r>
              <w:rPr/>
              <w:t> </w:t>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74</w:t>
            </w:r>
          </w:p>
        </w:tc>
        <w:tc>
          <w:tcPr>
            <w:tcW w:w="162" w:type="dxa"/>
            <w:tcBorders/>
            <w:vAlign w:val="bottom"/>
          </w:tcPr>
          <w:p>
            <w:pPr>
              <w:pStyle w:val="TableContents"/>
              <w:bidi w:val="0"/>
              <w:spacing w:before="0" w:after="283"/>
              <w:jc w:val="left"/>
              <w:rPr/>
            </w:pPr>
            <w:r>
              <w:rPr/>
              <w:t> </w:t>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2,773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(146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2,627</w:t>
            </w:r>
          </w:p>
        </w:tc>
        <w:tc>
          <w:tcPr>
            <w:tcW w:w="162" w:type="dxa"/>
            <w:tcBorders/>
            <w:shd w:fill="CCEEFF" w:val="clear"/>
            <w:vAlign w:val="bottom"/>
          </w:tcPr>
          <w:p>
            <w:pPr>
              <w:pStyle w:val="TableContents"/>
              <w:bidi w:val="0"/>
              <w:spacing w:before="0" w:after="283"/>
              <w:jc w:val="left"/>
              <w:rPr/>
            </w:pPr>
            <w:r>
              <w:rPr/>
              <w:t> </w:t>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Accrued and other current liabilities</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2,991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(1,376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pPr>
            <w:r>
              <w:rPr/>
              <w:t>(e)</w:t>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1,885</w:t>
            </w:r>
          </w:p>
        </w:tc>
        <w:tc>
          <w:tcPr>
            <w:tcW w:w="162" w:type="dxa"/>
            <w:tcBorders/>
            <w:vAlign w:val="bottom"/>
          </w:tcPr>
          <w:p>
            <w:pPr>
              <w:pStyle w:val="TableContents"/>
              <w:bidi w:val="0"/>
              <w:spacing w:before="0" w:after="283"/>
              <w:jc w:val="left"/>
              <w:rPr/>
            </w:pPr>
            <w:r>
              <w:rPr/>
              <w:t> </w:t>
            </w:r>
          </w:p>
        </w:tc>
      </w:tr>
      <w:tr>
        <w:trPr/>
        <w:tc>
          <w:tcPr>
            <w:tcW w:w="35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11,854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(5,709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3,348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9,493</w:t>
            </w:r>
          </w:p>
        </w:tc>
        <w:tc>
          <w:tcPr>
            <w:tcW w:w="162" w:type="dxa"/>
            <w:tcBorders/>
            <w:shd w:fill="CCEEFF" w:val="clear"/>
            <w:vAlign w:val="bottom"/>
          </w:tcPr>
          <w:p>
            <w:pPr>
              <w:pStyle w:val="TableContents"/>
              <w:bidi w:val="0"/>
              <w:spacing w:before="0" w:after="283"/>
              <w:jc w:val="left"/>
              <w:rPr/>
            </w:pPr>
            <w:r>
              <w:rPr/>
              <w:t> </w:t>
            </w:r>
          </w:p>
        </w:tc>
      </w:tr>
      <w:tr>
        <w:trPr/>
        <w:tc>
          <w:tcPr>
            <w:tcW w:w="35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1,682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(1,682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025" w:type="dxa"/>
            <w:tcBorders/>
            <w:vAlign w:val="bottom"/>
          </w:tcPr>
          <w:p>
            <w:pPr>
              <w:pStyle w:val="TableContents"/>
              <w:bidi w:val="0"/>
              <w:spacing w:before="0" w:after="283"/>
              <w:jc w:val="right"/>
              <w:rPr/>
            </w:pPr>
            <w:r>
              <w:rPr/>
              <w:t>2,398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2,398</w:t>
            </w:r>
          </w:p>
        </w:tc>
        <w:tc>
          <w:tcPr>
            <w:tcW w:w="162" w:type="dxa"/>
            <w:tcBorders/>
            <w:vAlign w:val="bottom"/>
          </w:tcPr>
          <w:p>
            <w:pPr>
              <w:pStyle w:val="TableContents"/>
              <w:bidi w:val="0"/>
              <w:spacing w:before="0" w:after="283"/>
              <w:jc w:val="left"/>
              <w:rPr/>
            </w:pPr>
            <w:r>
              <w:rPr/>
              <w:t> </w:t>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liabilities</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623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913</w:t>
            </w:r>
          </w:p>
        </w:tc>
        <w:tc>
          <w:tcPr>
            <w:tcW w:w="162" w:type="dxa"/>
            <w:tcBorders/>
            <w:vAlign w:val="bottom"/>
          </w:tcPr>
          <w:p>
            <w:pPr>
              <w:pStyle w:val="TableContents"/>
              <w:bidi w:val="0"/>
              <w:spacing w:before="0" w:after="283"/>
              <w:jc w:val="left"/>
              <w:rPr/>
            </w:pPr>
            <w:r>
              <w:rPr/>
              <w:t> </w:t>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and other post-employment benefits</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2,388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(2,307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81</w:t>
            </w:r>
          </w:p>
        </w:tc>
        <w:tc>
          <w:tcPr>
            <w:tcW w:w="162" w:type="dxa"/>
            <w:tcBorders/>
            <w:shd w:fill="CCEEFF" w:val="clear"/>
            <w:vAlign w:val="bottom"/>
          </w:tcPr>
          <w:p>
            <w:pPr>
              <w:pStyle w:val="TableContents"/>
              <w:bidi w:val="0"/>
              <w:spacing w:before="0" w:after="283"/>
              <w:jc w:val="left"/>
              <w:rPr/>
            </w:pPr>
            <w:r>
              <w:rPr/>
              <w:t> </w:t>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obligations</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1,898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(1,409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0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489</w:t>
            </w:r>
          </w:p>
        </w:tc>
        <w:tc>
          <w:tcPr>
            <w:tcW w:w="162" w:type="dxa"/>
            <w:tcBorders/>
            <w:vAlign w:val="bottom"/>
          </w:tcPr>
          <w:p>
            <w:pPr>
              <w:pStyle w:val="TableContents"/>
              <w:bidi w:val="0"/>
              <w:spacing w:before="0" w:after="283"/>
              <w:jc w:val="left"/>
              <w:rPr/>
            </w:pPr>
            <w:r>
              <w:rPr/>
              <w:t> </w:t>
            </w:r>
          </w:p>
        </w:tc>
      </w:tr>
      <w:tr>
        <w:trPr/>
        <w:tc>
          <w:tcPr>
            <w:tcW w:w="35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noncurrent liabilities</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6,258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(4,775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2,398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3,881</w:t>
            </w:r>
          </w:p>
        </w:tc>
        <w:tc>
          <w:tcPr>
            <w:tcW w:w="162" w:type="dxa"/>
            <w:tcBorders/>
            <w:shd w:fill="CCEEFF" w:val="clear"/>
            <w:vAlign w:val="bottom"/>
          </w:tcPr>
          <w:p>
            <w:pPr>
              <w:pStyle w:val="TableContents"/>
              <w:bidi w:val="0"/>
              <w:spacing w:before="0" w:after="283"/>
              <w:jc w:val="left"/>
              <w:rPr/>
            </w:pPr>
            <w:r>
              <w:rPr/>
              <w:t> </w:t>
            </w:r>
          </w:p>
        </w:tc>
      </w:tr>
      <w:tr>
        <w:trPr/>
        <w:tc>
          <w:tcPr>
            <w:tcW w:w="35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contingent liabilities</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$0.01 par value; 1,666,667,000 shares authorized; issued at March 31, 2026 - 670,044,000</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7</w:t>
            </w:r>
          </w:p>
        </w:tc>
        <w:tc>
          <w:tcPr>
            <w:tcW w:w="162" w:type="dxa"/>
            <w:tcBorders/>
            <w:vAlign w:val="bottom"/>
          </w:tcPr>
          <w:p>
            <w:pPr>
              <w:pStyle w:val="TableContents"/>
              <w:bidi w:val="0"/>
              <w:spacing w:before="0" w:after="283"/>
              <w:jc w:val="left"/>
              <w:rPr/>
            </w:pPr>
            <w:r>
              <w:rPr/>
              <w:t> </w:t>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26,859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(10,198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(4,810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pPr>
            <w:r>
              <w:rPr/>
              <w:t>(h)</w:t>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11,851</w:t>
            </w:r>
          </w:p>
        </w:tc>
        <w:tc>
          <w:tcPr>
            <w:tcW w:w="162" w:type="dxa"/>
            <w:tcBorders/>
            <w:shd w:fill="CCEEFF" w:val="clear"/>
            <w:vAlign w:val="bottom"/>
          </w:tcPr>
          <w:p>
            <w:pPr>
              <w:pStyle w:val="TableContents"/>
              <w:bidi w:val="0"/>
              <w:spacing w:before="0" w:after="283"/>
              <w:jc w:val="left"/>
              <w:rPr/>
            </w:pPr>
            <w:r>
              <w:rPr/>
              <w:t> </w:t>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 (accumulated deficit)</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436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(436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(2,940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1,447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(1,493</w:t>
            </w:r>
          </w:p>
        </w:tc>
        <w:tc>
          <w:tcPr>
            <w:tcW w:w="162" w:type="dxa"/>
            <w:tcBorders/>
            <w:shd w:fill="CCEEFF" w:val="clear"/>
            <w:vAlign w:val="bottom"/>
          </w:tcPr>
          <w:p>
            <w:pPr>
              <w:pStyle w:val="TableContents"/>
              <w:bidi w:val="0"/>
              <w:spacing w:before="0" w:after="283"/>
              <w:jc w:val="left"/>
              <w:rPr/>
            </w:pPr>
            <w:r>
              <w:rPr/>
              <w:t>) </w:t>
            </w:r>
          </w:p>
        </w:tc>
      </w:tr>
      <w:tr>
        <w:trPr/>
        <w:tc>
          <w:tcPr>
            <w:tcW w:w="35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Total Corteva stockholders’ equity</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24,362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(9,187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(4,810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10,365</w:t>
            </w:r>
          </w:p>
        </w:tc>
        <w:tc>
          <w:tcPr>
            <w:tcW w:w="162" w:type="dxa"/>
            <w:tcBorders/>
            <w:vAlign w:val="bottom"/>
          </w:tcPr>
          <w:p>
            <w:pPr>
              <w:pStyle w:val="TableContents"/>
              <w:bidi w:val="0"/>
              <w:spacing w:before="0" w:after="283"/>
              <w:jc w:val="left"/>
              <w:rPr/>
            </w:pPr>
            <w:r>
              <w:rPr/>
              <w:t> </w:t>
            </w:r>
          </w:p>
        </w:tc>
      </w:tr>
      <w:tr>
        <w:trPr/>
        <w:tc>
          <w:tcPr>
            <w:tcW w:w="35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(238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5</w:t>
            </w:r>
          </w:p>
        </w:tc>
        <w:tc>
          <w:tcPr>
            <w:tcW w:w="162" w:type="dxa"/>
            <w:tcBorders/>
            <w:shd w:fill="CCEEFF" w:val="clear"/>
            <w:vAlign w:val="bottom"/>
          </w:tcPr>
          <w:p>
            <w:pPr>
              <w:pStyle w:val="TableContents"/>
              <w:bidi w:val="0"/>
              <w:spacing w:before="0" w:after="283"/>
              <w:jc w:val="left"/>
              <w:rPr/>
            </w:pPr>
            <w:r>
              <w:rPr/>
              <w:t> </w:t>
            </w:r>
          </w:p>
        </w:tc>
      </w:tr>
      <w:tr>
        <w:trPr/>
        <w:tc>
          <w:tcPr>
            <w:tcW w:w="35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24,605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(9,425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(4,810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10,370</w:t>
            </w:r>
          </w:p>
        </w:tc>
        <w:tc>
          <w:tcPr>
            <w:tcW w:w="162" w:type="dxa"/>
            <w:tcBorders/>
            <w:vAlign w:val="bottom"/>
          </w:tcPr>
          <w:p>
            <w:pPr>
              <w:pStyle w:val="TableContents"/>
              <w:bidi w:val="0"/>
              <w:spacing w:before="0" w:after="283"/>
              <w:jc w:val="left"/>
              <w:rPr/>
            </w:pPr>
            <w:r>
              <w:rPr/>
              <w:t> </w:t>
            </w:r>
          </w:p>
        </w:tc>
      </w:tr>
      <w:tr>
        <w:trPr/>
        <w:tc>
          <w:tcPr>
            <w:tcW w:w="35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42,717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(19,909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025" w:type="dxa"/>
            <w:tcBorders/>
            <w:shd w:fill="CCEEFF" w:val="clear"/>
            <w:vAlign w:val="bottom"/>
          </w:tcPr>
          <w:p>
            <w:pPr>
              <w:pStyle w:val="TableContents"/>
              <w:bidi w:val="0"/>
              <w:spacing w:before="0" w:after="283"/>
              <w:jc w:val="right"/>
              <w:rPr/>
            </w:pPr>
            <w:r>
              <w:rPr/>
              <w:t>936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23,744</w:t>
            </w:r>
          </w:p>
        </w:tc>
        <w:tc>
          <w:tcPr>
            <w:tcW w:w="162" w:type="dxa"/>
            <w:tcBorders/>
            <w:shd w:fill="CCEEFF" w:val="clear"/>
            <w:vAlign w:val="bottom"/>
          </w:tcPr>
          <w:p>
            <w:pPr>
              <w:pStyle w:val="TableContents"/>
              <w:bidi w:val="0"/>
              <w:spacing w:before="0" w:after="283"/>
              <w:jc w:val="left"/>
              <w:rPr/>
            </w:pPr>
            <w:r>
              <w:rPr/>
              <w:t> </w:t>
            </w:r>
          </w:p>
        </w:tc>
      </w:tr>
      <w:tr>
        <w:trPr/>
        <w:tc>
          <w:tcPr>
            <w:tcW w:w="35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Unaudited Pro Forma Consolidated Financial Statements.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Consolidated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Months Ended March 31,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06"/>
        <w:gridCol w:w="129"/>
        <w:gridCol w:w="223"/>
        <w:gridCol w:w="893"/>
        <w:gridCol w:w="155"/>
        <w:gridCol w:w="70"/>
        <w:gridCol w:w="204"/>
        <w:gridCol w:w="927"/>
        <w:gridCol w:w="155"/>
        <w:gridCol w:w="70"/>
        <w:gridCol w:w="368"/>
        <w:gridCol w:w="883"/>
        <w:gridCol w:w="155"/>
        <w:gridCol w:w="70"/>
        <w:gridCol w:w="500"/>
        <w:gridCol w:w="128"/>
        <w:gridCol w:w="229"/>
        <w:gridCol w:w="917"/>
        <w:gridCol w:w="155"/>
        <w:gridCol w:w="70"/>
        <w:gridCol w:w="298"/>
      </w:tblGrid>
      <w:tr>
        <w:trPr/>
        <w:tc>
          <w:tcPr>
            <w:tcW w:w="360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60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 except per share amounts)</w:t>
            </w:r>
          </w:p>
        </w:tc>
        <w:tc>
          <w:tcPr>
            <w:tcW w:w="129"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Corteva</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Separation</w:t>
              <w:br/>
              <w:t>of Crop</w:t>
              <w:br/>
              <w:t>Protection</w:t>
              <w:br/>
              <w:t>business</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transaction</w:t>
            </w:r>
            <w:r>
              <w:rPr/>
              <w:br/>
            </w:r>
            <w:r>
              <w:rPr>
                <w:b/>
              </w:rPr>
              <w:t>accounting</w:t>
            </w:r>
            <w:r>
              <w:rPr/>
              <w:br/>
            </w:r>
            <w:r>
              <w:rPr>
                <w:b/>
              </w:rPr>
              <w:t>adjustments</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128" w:type="dxa"/>
            <w:vMerge w:val="restart"/>
            <w:tcBorders/>
            <w:vAlign w:val="bottom"/>
          </w:tcPr>
          <w:p>
            <w:pPr>
              <w:pStyle w:val="TableContents"/>
              <w:bidi w:val="0"/>
              <w:spacing w:before="0" w:after="283"/>
              <w:jc w:val="left"/>
              <w:rPr/>
            </w:pPr>
            <w:r>
              <w:rPr/>
              <w:t>  </w:t>
            </w:r>
          </w:p>
        </w:tc>
        <w:tc>
          <w:tcPr>
            <w:tcW w:w="1146"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Pro Forma</w:t>
              <w:br/>
              <w:t>Three</w:t>
              <w:br/>
              <w:t>Months</w:t>
              <w:br/>
              <w:t>Ended</w:t>
              <w:br/>
              <w:t>March 31,</w:t>
              <w:br/>
              <w:t>2026</w:t>
            </w:r>
          </w:p>
        </w:tc>
        <w:tc>
          <w:tcPr>
            <w:tcW w:w="155" w:type="dxa"/>
            <w:vMerge w:val="restart"/>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r>
      <w:tr>
        <w:trPr/>
        <w:tc>
          <w:tcPr>
            <w:tcW w:w="360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1 &amp; 3</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1</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128" w:type="dxa"/>
            <w:vMerge w:val="continue"/>
            <w:tcBorders/>
            <w:vAlign w:val="bottom"/>
          </w:tcPr>
          <w:p>
            <w:pPr>
              <w:pStyle w:val="Normal"/>
              <w:bidi w:val="0"/>
              <w:jc w:val="left"/>
              <w:rPr/>
            </w:pPr>
            <w:r>
              <w:rPr/>
            </w:r>
          </w:p>
        </w:tc>
        <w:tc>
          <w:tcPr>
            <w:tcW w:w="1146"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3" w:type="dxa"/>
            <w:tcBorders/>
            <w:shd w:fill="CCEEFF" w:val="clear"/>
            <w:vAlign w:val="bottom"/>
          </w:tcPr>
          <w:p>
            <w:pPr>
              <w:pStyle w:val="TableContents"/>
              <w:bidi w:val="0"/>
              <w:spacing w:before="0" w:after="283"/>
              <w:jc w:val="right"/>
              <w:rPr/>
            </w:pPr>
            <w:r>
              <w:rPr/>
              <w:t>4,905</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927" w:type="dxa"/>
            <w:tcBorders/>
            <w:shd w:fill="CCEEFF" w:val="clear"/>
            <w:vAlign w:val="bottom"/>
          </w:tcPr>
          <w:p>
            <w:pPr>
              <w:pStyle w:val="TableContents"/>
              <w:bidi w:val="0"/>
              <w:spacing w:before="0" w:after="283"/>
              <w:jc w:val="right"/>
              <w:rPr/>
            </w:pPr>
            <w:r>
              <w:rPr/>
              <w:t>(1,882</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w:t>
            </w:r>
          </w:p>
        </w:tc>
        <w:tc>
          <w:tcPr>
            <w:tcW w:w="883"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pPr>
            <w:r>
              <w:rPr/>
              <w:t>(g)</w:t>
            </w:r>
          </w:p>
        </w:tc>
        <w:tc>
          <w:tcPr>
            <w:tcW w:w="12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3,043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w:t>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2,372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(1,064</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(g)</w:t>
            </w:r>
          </w:p>
        </w:tc>
        <w:tc>
          <w:tcPr>
            <w:tcW w:w="12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1,360</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w:t>
            </w:r>
          </w:p>
        </w:tc>
        <w:tc>
          <w:tcPr>
            <w:tcW w:w="12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341</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(102</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239</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877</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(337</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(g)</w:t>
            </w:r>
          </w:p>
        </w:tc>
        <w:tc>
          <w:tcPr>
            <w:tcW w:w="12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542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intangibles</w:t>
            </w:r>
          </w:p>
        </w:tc>
        <w:tc>
          <w:tcPr>
            <w:tcW w:w="12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121</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and asset-related charges - net</w:t>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92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(63</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Separation costs</w:t>
            </w:r>
          </w:p>
        </w:tc>
        <w:tc>
          <w:tcPr>
            <w:tcW w:w="12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52</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 net</w:t>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(g)</w:t>
            </w:r>
          </w:p>
        </w:tc>
        <w:tc>
          <w:tcPr>
            <w:tcW w:w="12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(99</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pPr>
            <w:r>
              <w:rPr/>
              <w:t>(d)</w:t>
            </w:r>
          </w:p>
        </w:tc>
        <w:tc>
          <w:tcPr>
            <w:tcW w:w="12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r>
      <w:tr>
        <w:trPr/>
        <w:tc>
          <w:tcPr>
            <w:tcW w:w="3606"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8"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 before income taxes</w:t>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858</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(227</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569</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606"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8"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 on continuing operations</w:t>
            </w:r>
          </w:p>
        </w:tc>
        <w:tc>
          <w:tcPr>
            <w:tcW w:w="12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133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pPr>
            <w:r>
              <w:rPr/>
              <w:t>(i)</w:t>
            </w:r>
          </w:p>
        </w:tc>
        <w:tc>
          <w:tcPr>
            <w:tcW w:w="12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98</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r>
      <w:tr>
        <w:trPr/>
        <w:tc>
          <w:tcPr>
            <w:tcW w:w="3606"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8"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 after income taxes</w:t>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725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(205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471</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606"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8"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from continuing operations attributable to noncontrolling interests</w:t>
            </w:r>
          </w:p>
        </w:tc>
        <w:tc>
          <w:tcPr>
            <w:tcW w:w="12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r>
      <w:tr>
        <w:trPr/>
        <w:tc>
          <w:tcPr>
            <w:tcW w:w="3606"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8"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from continuing operations attributable to Corteva</w:t>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893" w:type="dxa"/>
            <w:tcBorders/>
            <w:vAlign w:val="bottom"/>
          </w:tcPr>
          <w:p>
            <w:pPr>
              <w:pStyle w:val="TableContents"/>
              <w:bidi w:val="0"/>
              <w:spacing w:before="0" w:after="283"/>
              <w:jc w:val="right"/>
              <w:rPr/>
            </w:pPr>
            <w:r>
              <w:rPr/>
              <w:t>722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927" w:type="dxa"/>
            <w:tcBorders/>
            <w:vAlign w:val="bottom"/>
          </w:tcPr>
          <w:p>
            <w:pPr>
              <w:pStyle w:val="TableContents"/>
              <w:bidi w:val="0"/>
              <w:spacing w:before="0" w:after="283"/>
              <w:jc w:val="right"/>
              <w:rPr/>
            </w:pPr>
            <w:r>
              <w:rPr/>
              <w:t>(203</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w:t>
            </w:r>
          </w:p>
        </w:tc>
        <w:tc>
          <w:tcPr>
            <w:tcW w:w="883"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470</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606"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68"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(loss) per share of common stock:</w:t>
            </w:r>
          </w:p>
        </w:tc>
        <w:tc>
          <w:tcPr>
            <w:tcW w:w="12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8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9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(loss) per share of common stock from continuing operations</w:t>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893"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9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0.70</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(j)</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(loss) per share of common stock from continuing operations</w:t>
            </w:r>
          </w:p>
        </w:tc>
        <w:tc>
          <w:tcPr>
            <w:tcW w:w="12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3" w:type="dxa"/>
            <w:tcBorders/>
            <w:shd w:fill="CCEEFF" w:val="clear"/>
            <w:vAlign w:val="bottom"/>
          </w:tcPr>
          <w:p>
            <w:pPr>
              <w:pStyle w:val="TableContents"/>
              <w:bidi w:val="0"/>
              <w:spacing w:before="0" w:after="283"/>
              <w:jc w:val="right"/>
              <w:rPr/>
            </w:pPr>
            <w:r>
              <w:rPr/>
              <w:t>1.07</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9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0.70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(k)</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number of common shares outstanding:</w:t>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8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9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672.5</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9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672.5</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(j)</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673.6</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9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673.6</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(k)</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Unaudited Pro Forma Consolidated Financial Statements.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Consolidated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06"/>
        <w:gridCol w:w="126"/>
        <w:gridCol w:w="189"/>
        <w:gridCol w:w="926"/>
        <w:gridCol w:w="155"/>
        <w:gridCol w:w="66"/>
        <w:gridCol w:w="250"/>
        <w:gridCol w:w="1141"/>
        <w:gridCol w:w="155"/>
        <w:gridCol w:w="66"/>
        <w:gridCol w:w="294"/>
        <w:gridCol w:w="956"/>
        <w:gridCol w:w="155"/>
        <w:gridCol w:w="66"/>
        <w:gridCol w:w="289"/>
        <w:gridCol w:w="126"/>
        <w:gridCol w:w="241"/>
        <w:gridCol w:w="1179"/>
        <w:gridCol w:w="155"/>
        <w:gridCol w:w="66"/>
        <w:gridCol w:w="298"/>
      </w:tblGrid>
      <w:tr>
        <w:trPr/>
        <w:tc>
          <w:tcPr>
            <w:tcW w:w="330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30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 except per share amounts)</w:t>
            </w:r>
          </w:p>
        </w:tc>
        <w:tc>
          <w:tcPr>
            <w:tcW w:w="126"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Corteva</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Separation of</w:t>
              <w:br/>
              <w:t>Crop</w:t>
              <w:br/>
              <w:t>Protection</w:t>
              <w:br/>
              <w:t>business</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transaction</w:t>
            </w:r>
            <w:r>
              <w:rPr/>
              <w:br/>
            </w:r>
            <w:r>
              <w:rPr>
                <w:b/>
              </w:rPr>
              <w:t>accounting</w:t>
            </w:r>
            <w:r>
              <w:rPr/>
              <w:br/>
            </w:r>
            <w:r>
              <w:rPr>
                <w:b/>
              </w:rPr>
              <w:t>adjustments</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Year Ended</w:t>
              <w:br/>
              <w:t>December 31,</w:t>
              <w:br/>
              <w:t>2025</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r>
      <w:tr>
        <w:trPr/>
        <w:tc>
          <w:tcPr>
            <w:tcW w:w="330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1 &amp; 3</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1</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2</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3</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17,401</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(7,503</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956" w:type="dxa"/>
            <w:tcBorders/>
            <w:shd w:fill="CCEEFF" w:val="clear"/>
            <w:vAlign w:val="bottom"/>
          </w:tcPr>
          <w:p>
            <w:pPr>
              <w:pStyle w:val="TableContents"/>
              <w:bidi w:val="0"/>
              <w:spacing w:before="0" w:after="283"/>
              <w:jc w:val="right"/>
              <w:rPr/>
            </w:pPr>
            <w:r>
              <w:rPr/>
              <w:t>169</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(g)</w:t>
            </w:r>
          </w:p>
        </w:tc>
        <w:tc>
          <w:tcPr>
            <w:tcW w:w="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10,067</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w:t>
            </w:r>
          </w:p>
        </w:tc>
        <w:tc>
          <w:tcPr>
            <w:tcW w:w="12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9,172</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(4,596</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166</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(g)</w:t>
            </w:r>
          </w:p>
        </w:tc>
        <w:tc>
          <w:tcPr>
            <w:tcW w:w="12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4,742</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w:t>
            </w:r>
          </w:p>
        </w:tc>
        <w:tc>
          <w:tcPr>
            <w:tcW w:w="12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1,474</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(495</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c>
          <w:tcPr>
            <w:tcW w:w="9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979</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3,492</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(1,350</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(g)</w:t>
            </w:r>
          </w:p>
        </w:tc>
        <w:tc>
          <w:tcPr>
            <w:tcW w:w="12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2,159</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intangibles</w:t>
            </w:r>
          </w:p>
        </w:tc>
        <w:tc>
          <w:tcPr>
            <w:tcW w:w="12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644</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(155</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c>
          <w:tcPr>
            <w:tcW w:w="9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489</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and asset-related charges - net</w:t>
            </w:r>
          </w:p>
        </w:tc>
        <w:tc>
          <w:tcPr>
            <w:tcW w:w="12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146</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(143</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c>
          <w:tcPr>
            <w:tcW w:w="9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Separation costs</w:t>
            </w:r>
          </w:p>
        </w:tc>
        <w:tc>
          <w:tcPr>
            <w:tcW w:w="12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270</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(e)</w:t>
            </w:r>
          </w:p>
        </w:tc>
        <w:tc>
          <w:tcPr>
            <w:tcW w:w="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305</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 net</w:t>
            </w:r>
          </w:p>
        </w:tc>
        <w:tc>
          <w:tcPr>
            <w:tcW w:w="12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(570</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(g)</w:t>
            </w:r>
          </w:p>
        </w:tc>
        <w:tc>
          <w:tcPr>
            <w:tcW w:w="12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(719</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180</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(175</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164</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(d)</w:t>
            </w:r>
          </w:p>
        </w:tc>
        <w:tc>
          <w:tcPr>
            <w:tcW w:w="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169</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r>
      <w:tr>
        <w:trPr/>
        <w:tc>
          <w:tcPr>
            <w:tcW w:w="3306"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 before income taxes</w:t>
            </w:r>
          </w:p>
        </w:tc>
        <w:tc>
          <w:tcPr>
            <w:tcW w:w="12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1,688</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(748</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(438</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502</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306"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 on continuing operations</w:t>
            </w:r>
          </w:p>
        </w:tc>
        <w:tc>
          <w:tcPr>
            <w:tcW w:w="12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484</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(152</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(i)</w:t>
            </w:r>
          </w:p>
        </w:tc>
        <w:tc>
          <w:tcPr>
            <w:tcW w:w="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259</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r>
      <w:tr>
        <w:trPr/>
        <w:tc>
          <w:tcPr>
            <w:tcW w:w="3306"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 after income taxes</w:t>
            </w:r>
          </w:p>
        </w:tc>
        <w:tc>
          <w:tcPr>
            <w:tcW w:w="12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1,204</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(596</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(365</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243</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306"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from continuing operations attributable to noncontrolling interests</w:t>
            </w:r>
          </w:p>
        </w:tc>
        <w:tc>
          <w:tcPr>
            <w:tcW w:w="12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c>
          <w:tcPr>
            <w:tcW w:w="9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r>
      <w:tr>
        <w:trPr/>
        <w:tc>
          <w:tcPr>
            <w:tcW w:w="3306"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from continuing operations attributable to Corteva</w:t>
            </w:r>
          </w:p>
        </w:tc>
        <w:tc>
          <w:tcPr>
            <w:tcW w:w="12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926" w:type="dxa"/>
            <w:tcBorders/>
            <w:vAlign w:val="bottom"/>
          </w:tcPr>
          <w:p>
            <w:pPr>
              <w:pStyle w:val="TableContents"/>
              <w:bidi w:val="0"/>
              <w:spacing w:before="0" w:after="283"/>
              <w:jc w:val="right"/>
              <w:rPr/>
            </w:pPr>
            <w:r>
              <w:rPr/>
              <w:t>1,193</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(586</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w:t>
            </w:r>
          </w:p>
        </w:tc>
        <w:tc>
          <w:tcPr>
            <w:tcW w:w="956" w:type="dxa"/>
            <w:tcBorders/>
            <w:vAlign w:val="bottom"/>
          </w:tcPr>
          <w:p>
            <w:pPr>
              <w:pStyle w:val="TableContents"/>
              <w:bidi w:val="0"/>
              <w:spacing w:before="0" w:after="283"/>
              <w:jc w:val="right"/>
              <w:rPr/>
            </w:pPr>
            <w:r>
              <w:rPr/>
              <w:t>(365</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9" w:type="dxa"/>
            <w:tcBorders/>
            <w:vAlign w:val="bottom"/>
          </w:tcPr>
          <w:p>
            <w:pPr>
              <w:pStyle w:val="TableContents"/>
              <w:bidi w:val="0"/>
              <w:spacing w:before="0" w:after="283"/>
              <w:jc w:val="right"/>
              <w:rPr/>
            </w:pPr>
            <w:r>
              <w:rPr/>
              <w:t>242</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(loss) per share of common stock:</w:t>
            </w:r>
          </w:p>
        </w:tc>
        <w:tc>
          <w:tcPr>
            <w:tcW w:w="12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1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c>
          <w:tcPr>
            <w:tcW w:w="9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(loss) per share of common stock from continuing operations</w:t>
            </w:r>
          </w:p>
        </w:tc>
        <w:tc>
          <w:tcPr>
            <w:tcW w:w="12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926" w:type="dxa"/>
            <w:tcBorders/>
            <w:vAlign w:val="bottom"/>
          </w:tcPr>
          <w:p>
            <w:pPr>
              <w:pStyle w:val="TableContents"/>
              <w:bidi w:val="0"/>
              <w:spacing w:before="0" w:after="283"/>
              <w:jc w:val="right"/>
              <w:rPr/>
            </w:pPr>
            <w:r>
              <w:rPr/>
              <w:t>1.75</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1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c>
          <w:tcPr>
            <w:tcW w:w="9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0.36</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(j)</w:t>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(loss) per share of common stock from continuing operations</w:t>
            </w:r>
          </w:p>
        </w:tc>
        <w:tc>
          <w:tcPr>
            <w:tcW w:w="12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1.75</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1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c>
          <w:tcPr>
            <w:tcW w:w="9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0.36</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(k)</w:t>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number of common shares outstanding:</w:t>
            </w:r>
          </w:p>
        </w:tc>
        <w:tc>
          <w:tcPr>
            <w:tcW w:w="12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1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c>
          <w:tcPr>
            <w:tcW w:w="9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sz w:val="4"/>
                <w:szCs w:val="4"/>
              </w:rPr>
            </w:pPr>
            <w:r>
              <w:rPr>
                <w:sz w:val="4"/>
                <w:szCs w:val="4"/>
              </w:rPr>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680.0</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1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c>
          <w:tcPr>
            <w:tcW w:w="9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680.0</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(j)</w:t>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681.4</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1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c>
          <w:tcPr>
            <w:tcW w:w="9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681.4</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(k)</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Unaudited Pro Forma Consolidated Financial Statements.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Unaudited Pro Forma Consolidated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 1—BASIS OF PRESENTATION, INCLUDING SEPARATION OF CROP PROTECTION BUSINESS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pro forma consolidated financial information was prepared in accordance with Article 11 of Regulation S-X. </w:t>
      </w:r>
    </w:p>
    <w:p>
      <w:pPr>
        <w:pStyle w:val="TextBody"/>
        <w:bidi w:val="0"/>
        <w:spacing w:before="240" w:after="0"/>
        <w:jc w:val="left"/>
        <w:rPr>
          <w:rFonts w:ascii="Times New Roman" w:hAnsi="Times New Roman"/>
          <w:sz w:val="20"/>
        </w:rPr>
      </w:pPr>
      <w:r>
        <w:rPr>
          <w:rFonts w:ascii="Times New Roman" w:hAnsi="Times New Roman"/>
          <w:sz w:val="20"/>
        </w:rPr>
        <w:t xml:space="preserve">As described elsewhere in this Offering Memorandum, for periods prior to the Separation, our financial statements are represented by the historical financial statements of Corteva. Therefore, historical Corteva in the pro forma financial information above represents Corteva, Inc. and its consolidated subsidiaries (including Vylor and its combined subsidiaries) before giving effect to the planned Separation. The unaudited Pro Forma Consolidated Statements of Operations have been prepared to give effect to the Pro Forma Transactions as if the Pro Forma Transactions had occurred or became effective as of January 1, 2025, the beginning of our most recently completed fiscal year, except that the Pro Forma Consolidated Statements of Income are also presented for the years ended December 31, 2024 and 2023 to reflect the presentation of the Crop Protection Business as discontinued operations. The unaudited Pro Forma Consolidated Balance Sheet has been prepared to give effect to the Pro Forma Transactions as though the Pro Forma Transactions had occurred as of March 31, 2026. Within Note 5—Management Adjustments, to the unaudited Pro Forma Consolidated Financial Statements, further discussion is also provided on expected income statement impacts that will occur only upon the consummation of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As discussed above and elsewhere in this Offering Memorandum, the Separation is being treated as a reverse spin-off for financial accounting and reporting purposes under U.S. GAAP and, as a result, Corteva’s Crop Protection Business is presented as being spun off from Corteva. The Crop Protection Business is a component of Corteva that has operations and cash flows that are clearly distinguished for operational and financial reporting purposes. The Separation will result in the Crop Protection Business becoming a stand-alone, publicly traded company and represents a strategic shift that will have a major effect on our financial results as we are exiting a significant line of business. The Separation is not expected to result in the recognition of a gain or loss and will be effected through a pro rata distribution of all of the outstanding shares of Vylor common stock to holders of Corteva common stock; however, we will incur separation related expenses which are further discussed in Note 2—Other Transaction Accounting Adjustments, to the unaudited Pro Forma Consolidated Financial Statements. While we will be a party to the Separation and Distribution Agreement and other agreements, including the Tax Matters Agreement, Employee Matters Agreement, Transition Services Agreements, Commercial Agreements, Intellectual Property Matters Agreement and other ancillary agreements, we have determined that we will not have significant continuing involvement in the operations of New Corteva after the Separation nor do we expect significant continuing cash flows from New Corteva after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We do not expect to incur material transition services costs or income associated with the Transition Services Agreements into which Vylor intends to enter with New Corteva. As such, no estimates of expenses or income have been presented in the unaudited Pro Forma Consolidated Statements of Operations for the three months ended March 31, 2026 and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Separation of the Crop Protection Business for accounting purposes is presented in accordance with the guidance in ASC 205-20. As a result, the Crop Protection Business is reflected as discontinued operations in the unaudited pro forma consolidated financial information for all periods presented. Furthermore, the unaudited Pro Forma Consolidated Statements of Operations are presented solely on a continuing operations basis and reflect the elimination of the Crop Protection Business for all periods presented. Consistent with the requirements of ASC 205-20, the unaudited Pro Forma Consolidated Statements of Operations also do not allocate any of Corteva’s general corporate overhead expenses to the Crop Protection Business. Refer to Note 4—Discontinued Operations, to the unaudited Pro Forma Consolidated Financial Statements, for discontinued operations information for the years ended December 31, 2024 and 2023 in accordance with Rule 11-02(c)(2)(ii) of Regulation S-X.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NOTE 2—OTHER TRANSACTION ACCOUNTING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and cash equivalents: Reflects the estimated $1,500 million of proceeds from the full draw-down of the 364-Day Revolving Credit Facility, a $1,578 million draw-down under the $3,000 million Five-Year Revolving Credit Facility and $1,156 million of gross proceeds from Capital Markets Indebtedness, net of an estimated $3,536 million expected to be distributed to New Corteva (which includes timing impacts of lower seasonal working capital at March 31, 2026 as compared to at the date of the Separation) and approximately $34 million of debt issuance costs. The calculated distribution to New Corteva represents management’s current estimate, determined by reference to the facts and circumstances expected to exist as of the date of the Separation and giving effect to the Separation as if it had occurred on March 31, 2026. The actual amount distributed may fluctuate based on actual activity through the Separation and changes in the underlying assumptions, including available cash balances at the relevant periods. See notes (b) and (c) below. In accordance with Article 11 of Regulation S-X, the adjustments described in this note give effect to the Separation as if it had occurred on March 31, 2026, the date of the unaudited Pro Forma Consolidated Balance Sheet. By contrast, the table under “Sources and Uses of Capital” presents management’s estimates of expected account balances as at the anticipated closing date of the Separation of October 1, 2026, and has not been prepared in accordance with Article 11 of Regulation S-X. Accordingly, the amounts presented in this note and the amounts presented under “Sources and Uses of Capital” are not directly comparable and will differ, including as a result of seasonal working capital and other changes in cash balances and borrowings between March 31, 2026 and the date of the Separation. You should not assume that the information presented in this note is consistent with or derived from the information presented under “Sources and Uses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Short-term borrowings: In August 2026, Vylor entered into the Credit Facilities in connection with the Separation. See “Description of Material Indebtedness” for a description of the Credit Facilities. Total debt issuance costs associated with the Credit Facilities are approximately $6 million, with $2 million recorded in other current assets and $4 million recorded in other assets, respectively, in the unaudited Pro Forma Consolidated Balance Sheet. A pro forma adjustment has been recorded to interest expense to reflect the impact of the amortization of debt issuance costs associated with the Credit Facilities.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Vylor expects to use the proceeds of borrowings under the Revolving Credit Facilities to repay the PHI Bilateral Facility (as defined herein) in full. See also “Sources and Uses of Capital” and “Description of Material Indebtedness.” </w:t>
      </w:r>
    </w:p>
    <w:p>
      <w:pPr>
        <w:pStyle w:val="TextBody"/>
        <w:bidi w:val="0"/>
        <w:spacing w:before="120" w:after="0"/>
        <w:jc w:val="left"/>
        <w:rPr>
          <w:rFonts w:ascii="Times New Roman" w:hAnsi="Times New Roman"/>
          <w:sz w:val="20"/>
        </w:rPr>
      </w:pPr>
      <w:r>
        <w:rPr>
          <w:rFonts w:ascii="Times New Roman" w:hAnsi="Times New Roman"/>
          <w:sz w:val="20"/>
        </w:rPr>
        <w:t xml:space="preserve">To provide for adequate short-term liquidity following the consummation of the Separation, Vylor also intends to establish the Commercial Paper Program, which authorizes the issuance of unsecured commercial paper notes in an aggregate principal amount of up to $3,500 million at any time outstanding. Vylor does not currently expect to have any borrowings outstanding under the Commercial Paper Program as of the Separation. See “Description of Material Indebtedness.”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Long-term debt: Prior to the consummation of the Separation, Vylor is conducting the Exchange Offers, pursuant to which it is offering to exchange any and all outstanding EIDP Notes held by Eligible Noteholders for the corresponding series of Vylor Notes having the same interest rate, interest payment dates and maturity date as the respective EIDP Notes. There is no certainty that Vylor will be able to consummate the Exchange Offers, or the extent to which Eligible Noteholders will tender their EIDP Notes. For illustrative purposes, Vylor has assumed for purposes of the unaudited Pro Forma Consolidated Financial Statements that Eligible Noteholders of 80% of the aggregate principal amount of each series of EIDP Notes will validly tender such EIDP Notes in the Exchange Offers. Any EIDP Notes not accepted for exchange in the Exchange Offers will remain outstanding obligations of EIDP, which will be a subsidiary of New Corteva following the Separation.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the Exchange Offers, we estimate that Vylor would issue $1,280 million aggregate principal amount of Vylor Notes, comprising $400 million aggregate principal amount of Vylor 2030 Notes, $400 million aggregate principal amount of Vylor 2032 Notes and $480 million aggregate principal amount of Vylor 2033 Notes, in each case reflecting the assumed tender of 80% of the aggregate principal amount of the corresponding series of EIDP Notes described above, with a weighted-average interest rate of 4.12 percent. We estimate total fees for the transfer of debt to be $16 million, to be amortized to interest expense over the terms of the respective series of Vylor Notes and reflected as a reduction to long-term debt. Prior deferred financing costs of $10 million continue to be amortized over the term of the related debt.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Additionally, prior to the date of the Separation, Vylor expects to incur $1,156 million of other long-term indebtedness, which it currently expects to incur as Capital Markets Indebtedness comprising two series of senior unsecured notes with an assumed weighted average interest rate of 5.23 percent, before deductions for debt issuance costs of $12 million. Should the aggregate principal amount of EIDP Notes ultimately tendered for exchange pursuant to the Exchange Offers differ from the assumptions set forth above in this note (c), we expect to adjust the amount of Capital Markets Indebtedness we incur, such that our aggregate long-term borrowings balance will be approximately $2,398 million. Debt issuance costs will be amortized to interest expense over the terms of the respective series of notes. To the extent such Capital Markets Indebtedness is not incurred, Vylor expects to draw a corresponding amount under the Delayed Draw Term Facility, which serves as a backstop to the Exchange Offers and any Capital Markets Indebtedness. See “Description of Material Indebtedness.”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expense: The adjustment of $31 million and $164 million is to record estimated interest expense for the three months ended March 31, 2026 and the year ended December 31, 2025, respectively, which assumes debt related to the Separation is incurred beginning on January 1, 2025 and the associated debt was outstanding through March 31, 2026. These adjustments represent approximately $31 million and $164 million of interest expense based on a weighted-average interest rate of approximately 4.66 percent for the three months ended March 31, 2026 and the year ended December 31, 2025, respectively. The interest rate is expected to be fixed for the Capital Markets Indebtedness and based on Term SOFR plus the applicable margin for borrowings under the Credit Facilities.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Calculations for pro forma interest expense by respective debt instrument for the three months ended March 31, 2026 and the year ended December 31, 2025 are set forth in the table below. Variations from the assumptions described herein, including our assumed participation rate in the Exchange Offers, would result in adjustments to pro forma interest expense. A 1/8 percent variance in the estimated weighted-average interest rate would change the interest expense by approximately $1 million for the three months ended March 31, 2026 and $4 million for the year ended December 31,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43"/>
        <w:gridCol w:w="254"/>
        <w:gridCol w:w="481"/>
        <w:gridCol w:w="1317"/>
        <w:gridCol w:w="60"/>
        <w:gridCol w:w="254"/>
        <w:gridCol w:w="540"/>
        <w:gridCol w:w="1456"/>
        <w:gridCol w:w="60"/>
        <w:gridCol w:w="254"/>
        <w:gridCol w:w="214"/>
        <w:gridCol w:w="856"/>
        <w:gridCol w:w="60"/>
        <w:gridCol w:w="254"/>
        <w:gridCol w:w="96"/>
        <w:gridCol w:w="707"/>
        <w:gridCol w:w="282"/>
      </w:tblGrid>
      <w:tr>
        <w:trPr/>
        <w:tc>
          <w:tcPr>
            <w:tcW w:w="2243"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2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Summary of Debt</w:t>
            </w:r>
          </w:p>
        </w:tc>
        <w:tc>
          <w:tcPr>
            <w:tcW w:w="254" w:type="dxa"/>
            <w:tcBorders/>
            <w:vAlign w:val="bottom"/>
          </w:tcPr>
          <w:p>
            <w:pPr>
              <w:pStyle w:val="TableContents"/>
              <w:bidi w:val="0"/>
              <w:spacing w:before="0" w:after="283"/>
              <w:jc w:val="left"/>
              <w:rPr/>
            </w:pPr>
            <w:r>
              <w:rPr/>
              <w:t>  </w:t>
            </w:r>
          </w:p>
        </w:tc>
        <w:tc>
          <w:tcPr>
            <w:tcW w:w="1798" w:type="dxa"/>
            <w:gridSpan w:val="2"/>
            <w:tcBorders>
              <w:bottom w:val="single" w:sz="8" w:space="0" w:color="000000"/>
            </w:tcBorders>
            <w:tcMar>
              <w:bottom w:w="28" w:type="dxa"/>
            </w:tcMar>
            <w:vAlign w:val="bottom"/>
          </w:tcPr>
          <w:p>
            <w:pPr>
              <w:pStyle w:val="TableContents"/>
              <w:bidi w:val="0"/>
              <w:spacing w:before="0" w:after="283"/>
              <w:jc w:val="center"/>
              <w:rPr/>
            </w:pPr>
            <w:r>
              <w:rPr>
                <w:b/>
              </w:rPr>
              <w:t>Pro Forma</w:t>
              <w:br/>
              <w:t>Interest Expense</w:t>
              <w:br/>
              <w:t>for the Year</w:t>
              <w:br/>
              <w:t>Ended December</w:t>
            </w:r>
            <w:r>
              <w:rPr/>
              <w:br/>
            </w:r>
            <w:r>
              <w:rPr>
                <w:b/>
              </w:rPr>
              <w:t>31, 2025</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 Interest</w:t>
              <w:br/>
              <w:t>Expense for the</w:t>
              <w:br/>
              <w:t>Three Months</w:t>
              <w:br/>
              <w:t>Ended March 31,</w:t>
              <w:br/>
              <w:t>2026</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Principal</w:t>
              <w:br/>
              <w:t>Amount</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w:t>
              <w:br/>
              <w:t>Rate</w:t>
            </w:r>
          </w:p>
        </w:tc>
        <w:tc>
          <w:tcPr>
            <w:tcW w:w="282" w:type="dxa"/>
            <w:tcBorders/>
            <w:vAlign w:val="bottom"/>
          </w:tcPr>
          <w:p>
            <w:pPr>
              <w:pStyle w:val="TableContents"/>
              <w:bidi w:val="0"/>
              <w:spacing w:before="0" w:after="283"/>
              <w:jc w:val="left"/>
              <w:rPr/>
            </w:pPr>
            <w:r>
              <w:rPr/>
              <w:t> </w:t>
            </w:r>
          </w:p>
        </w:tc>
      </w:tr>
      <w:tr>
        <w:trPr/>
        <w:tc>
          <w:tcPr>
            <w:tcW w:w="2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Vylor 2030 Notes</w:t>
            </w:r>
          </w:p>
        </w:tc>
        <w:tc>
          <w:tcPr>
            <w:tcW w:w="254"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w:t>
            </w:r>
          </w:p>
        </w:tc>
        <w:tc>
          <w:tcPr>
            <w:tcW w:w="1317"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pPr>
            <w:r>
              <w:rPr/>
              <w:t>$</w:t>
            </w:r>
          </w:p>
        </w:tc>
        <w:tc>
          <w:tcPr>
            <w:tcW w:w="1456"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400</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2.30</w:t>
            </w:r>
          </w:p>
        </w:tc>
        <w:tc>
          <w:tcPr>
            <w:tcW w:w="282" w:type="dxa"/>
            <w:tcBorders/>
            <w:shd w:fill="CCEEFF" w:val="clear"/>
            <w:vAlign w:val="bottom"/>
          </w:tcPr>
          <w:p>
            <w:pPr>
              <w:pStyle w:val="TableContents"/>
              <w:bidi w:val="0"/>
              <w:spacing w:before="0" w:after="283"/>
              <w:jc w:val="left"/>
              <w:rPr/>
            </w:pPr>
            <w:r>
              <w:rPr/>
              <w:t>% </w:t>
            </w:r>
          </w:p>
        </w:tc>
      </w:tr>
      <w:tr>
        <w:trPr/>
        <w:tc>
          <w:tcPr>
            <w:tcW w:w="2243" w:type="dxa"/>
            <w:tcBorders/>
          </w:tcPr>
          <w:p>
            <w:pPr>
              <w:pStyle w:val="TableContents"/>
              <w:bidi w:val="0"/>
              <w:spacing w:before="0" w:after="0"/>
              <w:jc w:val="left"/>
              <w:rPr>
                <w:rFonts w:ascii="Times New Roman" w:hAnsi="Times New Roman"/>
                <w:sz w:val="20"/>
              </w:rPr>
            </w:pPr>
            <w:r>
              <w:rPr>
                <w:rFonts w:ascii="Times New Roman" w:hAnsi="Times New Roman"/>
                <w:sz w:val="20"/>
              </w:rPr>
              <w:t>Vylor 2032 Notes</w:t>
            </w:r>
          </w:p>
        </w:tc>
        <w:tc>
          <w:tcPr>
            <w:tcW w:w="254"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5.13</w:t>
            </w:r>
          </w:p>
        </w:tc>
        <w:tc>
          <w:tcPr>
            <w:tcW w:w="282" w:type="dxa"/>
            <w:tcBorders/>
            <w:vAlign w:val="bottom"/>
          </w:tcPr>
          <w:p>
            <w:pPr>
              <w:pStyle w:val="TableContents"/>
              <w:bidi w:val="0"/>
              <w:spacing w:before="0" w:after="283"/>
              <w:jc w:val="left"/>
              <w:rPr/>
            </w:pPr>
            <w:r>
              <w:rPr/>
              <w:t>% </w:t>
            </w:r>
          </w:p>
        </w:tc>
      </w:tr>
      <w:tr>
        <w:trPr/>
        <w:tc>
          <w:tcPr>
            <w:tcW w:w="2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Vylor 2033 Notes</w:t>
            </w:r>
          </w:p>
        </w:tc>
        <w:tc>
          <w:tcPr>
            <w:tcW w:w="254"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480</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4.80</w:t>
            </w:r>
          </w:p>
        </w:tc>
        <w:tc>
          <w:tcPr>
            <w:tcW w:w="282" w:type="dxa"/>
            <w:tcBorders/>
            <w:shd w:fill="CCEEFF" w:val="clear"/>
            <w:vAlign w:val="bottom"/>
          </w:tcPr>
          <w:p>
            <w:pPr>
              <w:pStyle w:val="TableContents"/>
              <w:bidi w:val="0"/>
              <w:spacing w:before="0" w:after="283"/>
              <w:jc w:val="left"/>
              <w:rPr/>
            </w:pPr>
            <w:r>
              <w:rPr/>
              <w:t>% </w:t>
            </w:r>
          </w:p>
        </w:tc>
      </w:tr>
      <w:tr>
        <w:trPr/>
        <w:tc>
          <w:tcPr>
            <w:tcW w:w="2243" w:type="dxa"/>
            <w:tcBorders/>
          </w:tcPr>
          <w:p>
            <w:pPr>
              <w:pStyle w:val="TableContents"/>
              <w:bidi w:val="0"/>
              <w:spacing w:before="0" w:after="0"/>
              <w:jc w:val="left"/>
              <w:rPr>
                <w:rFonts w:ascii="Times New Roman" w:hAnsi="Times New Roman"/>
                <w:sz w:val="20"/>
              </w:rPr>
            </w:pPr>
            <w:r>
              <w:rPr>
                <w:rFonts w:ascii="Times New Roman" w:hAnsi="Times New Roman"/>
                <w:sz w:val="20"/>
              </w:rPr>
              <w:t>Capital Markets Indebtedness</w:t>
            </w:r>
          </w:p>
        </w:tc>
        <w:tc>
          <w:tcPr>
            <w:tcW w:w="254"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1,156</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5.23</w:t>
            </w:r>
          </w:p>
        </w:tc>
        <w:tc>
          <w:tcPr>
            <w:tcW w:w="282" w:type="dxa"/>
            <w:tcBorders/>
            <w:vAlign w:val="bottom"/>
          </w:tcPr>
          <w:p>
            <w:pPr>
              <w:pStyle w:val="TableContents"/>
              <w:bidi w:val="0"/>
              <w:spacing w:before="0" w:after="283"/>
              <w:jc w:val="left"/>
              <w:rPr/>
            </w:pPr>
            <w:r>
              <w:rPr/>
              <w:t>% </w:t>
            </w:r>
          </w:p>
        </w:tc>
      </w:tr>
      <w:tr>
        <w:trPr/>
        <w:tc>
          <w:tcPr>
            <w:tcW w:w="2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Credit Facilities</w:t>
            </w:r>
          </w:p>
        </w:tc>
        <w:tc>
          <w:tcPr>
            <w:tcW w:w="254"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3,078</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4.67</w:t>
            </w:r>
          </w:p>
        </w:tc>
        <w:tc>
          <w:tcPr>
            <w:tcW w:w="282" w:type="dxa"/>
            <w:tcBorders/>
            <w:shd w:fill="CCEEFF" w:val="clear"/>
            <w:vAlign w:val="bottom"/>
          </w:tcPr>
          <w:p>
            <w:pPr>
              <w:pStyle w:val="TableContents"/>
              <w:bidi w:val="0"/>
              <w:spacing w:before="0" w:after="283"/>
              <w:jc w:val="left"/>
              <w:rPr/>
            </w:pPr>
            <w:r>
              <w:rPr/>
              <w:t>% </w:t>
            </w:r>
          </w:p>
        </w:tc>
      </w:tr>
      <w:tr>
        <w:trPr/>
        <w:tc>
          <w:tcPr>
            <w:tcW w:w="22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481"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540" w:type="dxa"/>
            <w:tcBorders/>
            <w:vAlign w:val="bottom"/>
          </w:tcPr>
          <w:p>
            <w:pPr>
              <w:pStyle w:val="TableContents"/>
              <w:pBdr>
                <w:top w:val="single" w:sz="2" w:space="1" w:color="000000"/>
              </w:pBdr>
              <w:bidi w:val="0"/>
              <w:spacing w:before="0" w:after="0"/>
              <w:jc w:val="left"/>
              <w:rPr/>
            </w:pPr>
            <w:r>
              <w:rPr/>
              <w:t> </w:t>
            </w:r>
          </w:p>
        </w:tc>
        <w:tc>
          <w:tcPr>
            <w:tcW w:w="14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70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224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54"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w:t>
            </w:r>
          </w:p>
        </w:tc>
        <w:tc>
          <w:tcPr>
            <w:tcW w:w="1317" w:type="dxa"/>
            <w:tcBorders/>
            <w:vAlign w:val="bottom"/>
          </w:tcPr>
          <w:p>
            <w:pPr>
              <w:pStyle w:val="TableContents"/>
              <w:bidi w:val="0"/>
              <w:spacing w:before="0" w:after="283"/>
              <w:jc w:val="right"/>
              <w:rPr/>
            </w:pPr>
            <w:r>
              <w:rPr/>
              <w:t>164</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pPr>
            <w:r>
              <w:rPr/>
              <w:t>$</w:t>
            </w:r>
          </w:p>
        </w:tc>
        <w:tc>
          <w:tcPr>
            <w:tcW w:w="1456"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5,514</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70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22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481"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540" w:type="dxa"/>
            <w:tcBorders/>
            <w:vAlign w:val="bottom"/>
          </w:tcPr>
          <w:p>
            <w:pPr>
              <w:pStyle w:val="TableContents"/>
              <w:pBdr>
                <w:top w:val="single" w:sz="2" w:space="1" w:color="000000"/>
              </w:pBdr>
              <w:bidi w:val="0"/>
              <w:spacing w:before="0" w:after="0"/>
              <w:jc w:val="left"/>
              <w:rPr/>
            </w:pPr>
            <w:r>
              <w:rPr/>
              <w:t> </w:t>
            </w:r>
          </w:p>
        </w:tc>
        <w:tc>
          <w:tcPr>
            <w:tcW w:w="14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70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the Separation, we expect to incur approximately $270 million of selling, general and administrative separation-related expenses which have not yet been recognized as of the period presented in the unaudited pro forma consolidated financial information above, primarily related to external third-party advisors, external counsel, bank success fees and tax costs associated with the legal entity separation. For pro forma purposes, these estimates of expenses, which management believes are reasonable, have been presented in the unaudited Pro Forma Consolidated Statement of Operations for the year ended December 31, 2025, assuming the Separation occurred as of January 1, 2025, and have been included within accrued and other current liabilities on the unaudited Pro Forma Consolidated Balance Sheet as of March 31, 2026. Separation-related expenses of $52 million and $35 million for the three months ended March 31, 2026 and the year ended December 31, 2025, respectively, are included in the historical Corteva results above.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Matters Agreement requires certain payments between Vylor and New Corteva for pre-Separation tax liabilities and receivables. Accordingly, increases to assets of approximately $156 million, net, have been recorded within other current assets on the unaudited Pro Forma Consolidated Balance Sheet. These adjustments are based on current estimates of pre-Separation tax liabilities and receivables and may vary from our current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expect to enter into certain long-term commercial agreements with New Corteva including certain revenue and commission sharing arrangements. Included in the unaudited Pro Forma Consolidated Statement of Operations for the three months ended March 31, 2026 are adjustments to net sales of $20 million, cost of goods sold of $52 million, selling, general and administrative expenses of $2 million, and other income (expense)—net of $3 million. Included in the unaudited Pro Forma Consolidated Statement of Operations for the year ended December 31, 2025 are adjustments to net sales of $169 million, cost of goods sold of $166 million, selling, general and administrative expenses of $17 million, and other income (expense)—net of $10 million. Included in the unaudited Pro Forma Consolidated Balance Sheet as of March 31, 2026 are adjustments of $91 million to accounts and notes receivable – net and $19 million to inventories.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(h)</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paid-in capital: Represents the additional paid-in capital impact of the unaudited Pro Forma Consolidated Balance Sheet adjustments included in notes (a), (b), (c), (e), (f) and (g).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Income tax expense: Reflects $13 million and $73 million for the three months ended March 31, 2026 and the year ended December 31, 2025, respectively, of preliminary income tax pro forma adjustments. This adjustment was determined by applying the respective statutory tax rates to pre-tax pro forma adjustments in the applicable jurisdictions and is subject to change if the pro forma adjustments change.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NOTE 3—EARNINGS PER SHARE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(j)</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basic earnings per share and pro forma weighted-average basic shares outstanding for the three months ended March 31, 2026 and the year ended December 31, 2025 reflect the number of shares of Vylor common stock which are expected to be outstanding upon consummation of the Separation. We have assumed the number of outstanding shares of common stock based on the number of shares of Corteva common stock outstanding at March 31, 2026 and December 31, 2025, and an assumed pro rata distribution ratio of one share of Vylor common stock for each share of Corteva common stock. The actual number of shares of Vylor common stock outstanding may differ from this estimated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(k)</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diluted earnings per share and pro forma weighted-average diluted shares outstanding reflect the estimated number of shares of Vylor common stock that are expected to be outstanding upon consummation of the Separation and reflect the potential issuance of shares of Vylor common stock under our equity plans, based on the distribution ratio of one share of Vylor common stock for each share of Corteva common stock. The actual number of shares of Vylor common stock outstanding may differ from this estimated amount.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NOTE 4—DISCONTINUED OPERATIONS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the disposition of Corteva’s Crop Protection Business is expected to qualify as discontinued operations and thus requires retrospective presentation in accordance with ASC 205-20. Unaudited Pro Forma Consolidated Statements of Operations have been included for the years ended December 31, 2024 and 2023. Pro forma earnings per share and weighted-average shares outstanding for the years ended December 31, 2024 and 2023 reflect the estimated number of shares of Vylor common stock that are expected to be outstanding upon consummation of the Separation and reflect the potential issuance of shares of Vylor common stock under our equity plans, based on the distribution ratio of one share of Vylor common stock for each share of Corteva common stock for basic and diluted, respectively.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93"/>
        <w:gridCol w:w="214"/>
        <w:gridCol w:w="169"/>
        <w:gridCol w:w="829"/>
        <w:gridCol w:w="155"/>
        <w:gridCol w:w="197"/>
        <w:gridCol w:w="250"/>
        <w:gridCol w:w="1137"/>
        <w:gridCol w:w="155"/>
        <w:gridCol w:w="197"/>
        <w:gridCol w:w="283"/>
        <w:gridCol w:w="1134"/>
        <w:gridCol w:w="159"/>
      </w:tblGrid>
      <w:tr>
        <w:trPr/>
        <w:tc>
          <w:tcPr>
            <w:tcW w:w="3693"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 except per share amounts)</w:t>
            </w:r>
          </w:p>
        </w:tc>
        <w:tc>
          <w:tcPr>
            <w:tcW w:w="21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Corteva</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Separation of</w:t>
              <w:br/>
              <w:t>Crop</w:t>
              <w:br/>
              <w:t>Protection</w:t>
              <w:br/>
              <w:t>business</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Year Ended</w:t>
              <w:br/>
              <w:t>December 31,</w:t>
              <w:br/>
              <w:t>2024</w:t>
            </w:r>
          </w:p>
        </w:tc>
        <w:tc>
          <w:tcPr>
            <w:tcW w:w="159" w:type="dxa"/>
            <w:tcBorders/>
            <w:vAlign w:val="bottom"/>
          </w:tcPr>
          <w:p>
            <w:pPr>
              <w:pStyle w:val="TableContents"/>
              <w:bidi w:val="0"/>
              <w:spacing w:before="0" w:after="283"/>
              <w:jc w:val="left"/>
              <w:rPr/>
            </w:pPr>
            <w:r>
              <w:rPr/>
              <w:t> </w:t>
            </w:r>
          </w:p>
        </w:tc>
      </w:tr>
      <w:tr>
        <w:trPr/>
        <w:tc>
          <w:tcPr>
            <w:tcW w:w="369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1</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1</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17"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16,908</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(7,363</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9,545</w:t>
            </w:r>
          </w:p>
        </w:tc>
        <w:tc>
          <w:tcPr>
            <w:tcW w:w="159" w:type="dxa"/>
            <w:tcBorders/>
            <w:shd w:fill="CCEEFF" w:val="clear"/>
            <w:vAlign w:val="bottom"/>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9,529</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(4,648</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4,881</w:t>
            </w:r>
          </w:p>
        </w:tc>
        <w:tc>
          <w:tcPr>
            <w:tcW w:w="159" w:type="dxa"/>
            <w:tcBorders/>
            <w:vAlign w:val="bottom"/>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1,402</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(500</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902</w:t>
            </w:r>
          </w:p>
        </w:tc>
        <w:tc>
          <w:tcPr>
            <w:tcW w:w="159" w:type="dxa"/>
            <w:tcBorders/>
            <w:shd w:fill="CCEEFF" w:val="clear"/>
            <w:vAlign w:val="bottom"/>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3,196</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(1,226</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1,970</w:t>
            </w:r>
          </w:p>
        </w:tc>
        <w:tc>
          <w:tcPr>
            <w:tcW w:w="159" w:type="dxa"/>
            <w:tcBorders/>
            <w:vAlign w:val="bottom"/>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intangibles</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685</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525</w:t>
            </w:r>
          </w:p>
        </w:tc>
        <w:tc>
          <w:tcPr>
            <w:tcW w:w="159" w:type="dxa"/>
            <w:tcBorders/>
            <w:shd w:fill="CCEEFF" w:val="clear"/>
            <w:vAlign w:val="bottom"/>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and asset-related charges—net</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288</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(218</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70</w:t>
            </w:r>
          </w:p>
        </w:tc>
        <w:tc>
          <w:tcPr>
            <w:tcW w:w="159" w:type="dxa"/>
            <w:tcBorders/>
            <w:vAlign w:val="bottom"/>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(expense)—net</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(300</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209</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(91</w:t>
            </w:r>
          </w:p>
        </w:tc>
        <w:tc>
          <w:tcPr>
            <w:tcW w:w="159" w:type="dxa"/>
            <w:tcBorders/>
            <w:shd w:fill="CCEEFF" w:val="clear"/>
            <w:vAlign w:val="bottom"/>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233</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(231</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w:t>
            </w:r>
          </w:p>
        </w:tc>
        <w:tc>
          <w:tcPr>
            <w:tcW w:w="159" w:type="dxa"/>
            <w:tcBorders/>
            <w:vAlign w:val="bottom"/>
          </w:tcPr>
          <w:p>
            <w:pPr>
              <w:pStyle w:val="TableContents"/>
              <w:bidi w:val="0"/>
              <w:spacing w:before="0" w:after="283"/>
              <w:jc w:val="left"/>
              <w:rPr/>
            </w:pPr>
            <w:r>
              <w:rPr/>
              <w:t> </w:t>
            </w:r>
          </w:p>
        </w:tc>
      </w:tr>
      <w:tr>
        <w:trPr/>
        <w:tc>
          <w:tcPr>
            <w:tcW w:w="369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 before income taxes</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1,275</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(171</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1,104</w:t>
            </w:r>
          </w:p>
        </w:tc>
        <w:tc>
          <w:tcPr>
            <w:tcW w:w="159" w:type="dxa"/>
            <w:tcBorders/>
            <w:shd w:fill="CCEEFF" w:val="clear"/>
            <w:vAlign w:val="bottom"/>
          </w:tcPr>
          <w:p>
            <w:pPr>
              <w:pStyle w:val="TableContents"/>
              <w:bidi w:val="0"/>
              <w:spacing w:before="0" w:after="283"/>
              <w:jc w:val="left"/>
              <w:rPr/>
            </w:pPr>
            <w:r>
              <w:rPr/>
              <w:t> </w:t>
            </w:r>
          </w:p>
        </w:tc>
      </w:tr>
      <w:tr>
        <w:trPr/>
        <w:tc>
          <w:tcPr>
            <w:tcW w:w="369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 on continuing operations</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412</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335</w:t>
            </w:r>
          </w:p>
        </w:tc>
        <w:tc>
          <w:tcPr>
            <w:tcW w:w="159" w:type="dxa"/>
            <w:tcBorders/>
            <w:vAlign w:val="bottom"/>
          </w:tcPr>
          <w:p>
            <w:pPr>
              <w:pStyle w:val="TableContents"/>
              <w:bidi w:val="0"/>
              <w:spacing w:before="0" w:after="283"/>
              <w:jc w:val="left"/>
              <w:rPr/>
            </w:pPr>
            <w:r>
              <w:rPr/>
              <w:t> </w:t>
            </w:r>
          </w:p>
        </w:tc>
      </w:tr>
      <w:tr>
        <w:trPr/>
        <w:tc>
          <w:tcPr>
            <w:tcW w:w="369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 after income taxes</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863</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(94</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769</w:t>
            </w:r>
          </w:p>
        </w:tc>
        <w:tc>
          <w:tcPr>
            <w:tcW w:w="159" w:type="dxa"/>
            <w:tcBorders/>
            <w:shd w:fill="CCEEFF" w:val="clear"/>
            <w:vAlign w:val="bottom"/>
          </w:tcPr>
          <w:p>
            <w:pPr>
              <w:pStyle w:val="TableContents"/>
              <w:bidi w:val="0"/>
              <w:spacing w:before="0" w:after="283"/>
              <w:jc w:val="left"/>
              <w:rPr/>
            </w:pPr>
            <w:r>
              <w:rPr/>
              <w:t> </w:t>
            </w:r>
          </w:p>
        </w:tc>
      </w:tr>
      <w:tr>
        <w:trPr/>
        <w:tc>
          <w:tcPr>
            <w:tcW w:w="369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from continuing operations attributable to noncontrolling interests</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w:t>
            </w:r>
          </w:p>
        </w:tc>
        <w:tc>
          <w:tcPr>
            <w:tcW w:w="159" w:type="dxa"/>
            <w:tcBorders/>
            <w:vAlign w:val="bottom"/>
          </w:tcPr>
          <w:p>
            <w:pPr>
              <w:pStyle w:val="TableContents"/>
              <w:bidi w:val="0"/>
              <w:spacing w:before="0" w:after="283"/>
              <w:jc w:val="left"/>
              <w:rPr/>
            </w:pPr>
            <w:r>
              <w:rPr/>
              <w:t> </w:t>
            </w:r>
          </w:p>
        </w:tc>
      </w:tr>
      <w:tr>
        <w:trPr/>
        <w:tc>
          <w:tcPr>
            <w:tcW w:w="369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from continuing operations attributable to Corteva</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851</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(84</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767</w:t>
            </w:r>
          </w:p>
        </w:tc>
        <w:tc>
          <w:tcPr>
            <w:tcW w:w="159" w:type="dxa"/>
            <w:tcBorders/>
            <w:shd w:fill="CCEEFF" w:val="clear"/>
            <w:vAlign w:val="bottom"/>
          </w:tcPr>
          <w:p>
            <w:pPr>
              <w:pStyle w:val="TableContents"/>
              <w:bidi w:val="0"/>
              <w:spacing w:before="0" w:after="283"/>
              <w:jc w:val="left"/>
              <w:rPr/>
            </w:pPr>
            <w:r>
              <w:rPr/>
              <w:t> </w:t>
            </w:r>
          </w:p>
        </w:tc>
      </w:tr>
      <w:tr>
        <w:trPr/>
        <w:tc>
          <w:tcPr>
            <w:tcW w:w="369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Earnings (loss) per share of common stock:</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(loss) per share of common stock from continuing operations</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1.11</w:t>
            </w:r>
          </w:p>
        </w:tc>
        <w:tc>
          <w:tcPr>
            <w:tcW w:w="159" w:type="dxa"/>
            <w:tcBorders/>
            <w:shd w:fill="CCEEFF" w:val="clear"/>
            <w:vAlign w:val="bottom"/>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(loss) per share of common stock from continuing operations</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29" w:type="dxa"/>
            <w:tcBorders/>
            <w:vAlign w:val="bottom"/>
          </w:tcPr>
          <w:p>
            <w:pPr>
              <w:pStyle w:val="TableContents"/>
              <w:bidi w:val="0"/>
              <w:spacing w:before="0" w:after="283"/>
              <w:jc w:val="right"/>
              <w:rPr/>
            </w:pPr>
            <w:r>
              <w:rPr/>
              <w:t>1.22</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1.10</w:t>
            </w:r>
          </w:p>
        </w:tc>
        <w:tc>
          <w:tcPr>
            <w:tcW w:w="159" w:type="dxa"/>
            <w:tcBorders/>
            <w:vAlign w:val="bottom"/>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common shares outstanding:</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693.7</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693.7</w:t>
            </w:r>
          </w:p>
        </w:tc>
        <w:tc>
          <w:tcPr>
            <w:tcW w:w="159" w:type="dxa"/>
            <w:tcBorders/>
            <w:vAlign w:val="bottom"/>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696.0</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696.0</w:t>
            </w:r>
          </w:p>
        </w:tc>
        <w:tc>
          <w:tcPr>
            <w:tcW w:w="159"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4200" w:type="pct"/>
        <w:jc w:val="center"/>
        <w:tblInd w:w="0" w:type="dxa"/>
        <w:tblLayout w:type="fixed"/>
        <w:tblCellMar>
          <w:top w:w="0" w:type="dxa"/>
          <w:left w:w="0" w:type="dxa"/>
          <w:bottom w:w="0" w:type="dxa"/>
          <w:right w:w="0" w:type="dxa"/>
        </w:tblCellMar>
      </w:tblPr>
      <w:tblGrid>
        <w:gridCol w:w="3693"/>
        <w:gridCol w:w="214"/>
        <w:gridCol w:w="169"/>
        <w:gridCol w:w="829"/>
        <w:gridCol w:w="155"/>
        <w:gridCol w:w="197"/>
        <w:gridCol w:w="250"/>
        <w:gridCol w:w="1137"/>
        <w:gridCol w:w="155"/>
        <w:gridCol w:w="197"/>
        <w:gridCol w:w="283"/>
        <w:gridCol w:w="1134"/>
        <w:gridCol w:w="159"/>
      </w:tblGrid>
      <w:tr>
        <w:trPr/>
        <w:tc>
          <w:tcPr>
            <w:tcW w:w="3693"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 except per share amounts)</w:t>
            </w:r>
          </w:p>
        </w:tc>
        <w:tc>
          <w:tcPr>
            <w:tcW w:w="21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Corteva</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Separation of</w:t>
              <w:br/>
              <w:t>Crop</w:t>
              <w:br/>
              <w:t>Protection</w:t>
              <w:br/>
              <w:t>business</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Year Ended</w:t>
              <w:br/>
              <w:t>December 31,</w:t>
              <w:br/>
              <w:t>2023</w:t>
            </w:r>
          </w:p>
        </w:tc>
        <w:tc>
          <w:tcPr>
            <w:tcW w:w="159" w:type="dxa"/>
            <w:tcBorders/>
            <w:vAlign w:val="bottom"/>
          </w:tcPr>
          <w:p>
            <w:pPr>
              <w:pStyle w:val="TableContents"/>
              <w:bidi w:val="0"/>
              <w:spacing w:before="0" w:after="283"/>
              <w:jc w:val="left"/>
              <w:rPr/>
            </w:pPr>
            <w:r>
              <w:rPr/>
              <w:t> </w:t>
            </w:r>
          </w:p>
        </w:tc>
      </w:tr>
      <w:tr>
        <w:trPr/>
        <w:tc>
          <w:tcPr>
            <w:tcW w:w="369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1</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1</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17"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17,226</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(7,754</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9,472</w:t>
            </w:r>
          </w:p>
        </w:tc>
        <w:tc>
          <w:tcPr>
            <w:tcW w:w="159" w:type="dxa"/>
            <w:tcBorders/>
            <w:shd w:fill="CCEEFF" w:val="clear"/>
            <w:vAlign w:val="bottom"/>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9,920</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(4,934</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4,986</w:t>
            </w:r>
          </w:p>
        </w:tc>
        <w:tc>
          <w:tcPr>
            <w:tcW w:w="159" w:type="dxa"/>
            <w:tcBorders/>
            <w:vAlign w:val="bottom"/>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1,337</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(501</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836</w:t>
            </w:r>
          </w:p>
        </w:tc>
        <w:tc>
          <w:tcPr>
            <w:tcW w:w="159" w:type="dxa"/>
            <w:tcBorders/>
            <w:shd w:fill="CCEEFF" w:val="clear"/>
            <w:vAlign w:val="bottom"/>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3,176</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(1,240</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1,936</w:t>
            </w:r>
          </w:p>
        </w:tc>
        <w:tc>
          <w:tcPr>
            <w:tcW w:w="159" w:type="dxa"/>
            <w:tcBorders/>
            <w:vAlign w:val="bottom"/>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intangibles</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683</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(145</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538</w:t>
            </w:r>
          </w:p>
        </w:tc>
        <w:tc>
          <w:tcPr>
            <w:tcW w:w="159" w:type="dxa"/>
            <w:tcBorders/>
            <w:shd w:fill="CCEEFF" w:val="clear"/>
            <w:vAlign w:val="bottom"/>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and asset-related charges—net</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336</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(237</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99</w:t>
            </w:r>
          </w:p>
        </w:tc>
        <w:tc>
          <w:tcPr>
            <w:tcW w:w="159" w:type="dxa"/>
            <w:tcBorders/>
            <w:vAlign w:val="bottom"/>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 net</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(448</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324</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(124</w:t>
            </w:r>
          </w:p>
        </w:tc>
        <w:tc>
          <w:tcPr>
            <w:tcW w:w="159" w:type="dxa"/>
            <w:tcBorders/>
            <w:shd w:fill="CCEEFF" w:val="clear"/>
            <w:vAlign w:val="bottom"/>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233</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(232</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369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 before income taxes</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1,093</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952</w:t>
            </w:r>
          </w:p>
        </w:tc>
        <w:tc>
          <w:tcPr>
            <w:tcW w:w="159" w:type="dxa"/>
            <w:tcBorders/>
            <w:shd w:fill="CCEEFF" w:val="clear"/>
            <w:vAlign w:val="bottom"/>
          </w:tcPr>
          <w:p>
            <w:pPr>
              <w:pStyle w:val="TableContents"/>
              <w:bidi w:val="0"/>
              <w:spacing w:before="0" w:after="283"/>
              <w:jc w:val="left"/>
              <w:rPr/>
            </w:pPr>
            <w:r>
              <w:rPr/>
              <w:t> </w:t>
            </w:r>
          </w:p>
        </w:tc>
      </w:tr>
      <w:tr>
        <w:trPr/>
        <w:tc>
          <w:tcPr>
            <w:tcW w:w="369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 on continuing operations</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152</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84</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236</w:t>
            </w:r>
          </w:p>
        </w:tc>
        <w:tc>
          <w:tcPr>
            <w:tcW w:w="159" w:type="dxa"/>
            <w:tcBorders/>
            <w:vAlign w:val="bottom"/>
          </w:tcPr>
          <w:p>
            <w:pPr>
              <w:pStyle w:val="TableContents"/>
              <w:bidi w:val="0"/>
              <w:spacing w:before="0" w:after="283"/>
              <w:jc w:val="left"/>
              <w:rPr/>
            </w:pPr>
            <w:r>
              <w:rPr/>
              <w:t> </w:t>
            </w:r>
          </w:p>
        </w:tc>
      </w:tr>
      <w:tr>
        <w:trPr/>
        <w:tc>
          <w:tcPr>
            <w:tcW w:w="369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 after income taxes</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941</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(225</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716</w:t>
            </w:r>
          </w:p>
        </w:tc>
        <w:tc>
          <w:tcPr>
            <w:tcW w:w="159" w:type="dxa"/>
            <w:tcBorders/>
            <w:shd w:fill="CCEEFF" w:val="clear"/>
            <w:vAlign w:val="bottom"/>
          </w:tcPr>
          <w:p>
            <w:pPr>
              <w:pStyle w:val="TableContents"/>
              <w:bidi w:val="0"/>
              <w:spacing w:before="0" w:after="283"/>
              <w:jc w:val="left"/>
              <w:rPr/>
            </w:pPr>
            <w:r>
              <w:rPr/>
              <w:t> </w:t>
            </w:r>
          </w:p>
        </w:tc>
      </w:tr>
      <w:tr>
        <w:trPr/>
        <w:tc>
          <w:tcPr>
            <w:tcW w:w="369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from continuing operations attributable to noncontrolling interests</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w:t>
            </w:r>
          </w:p>
        </w:tc>
        <w:tc>
          <w:tcPr>
            <w:tcW w:w="159" w:type="dxa"/>
            <w:tcBorders/>
            <w:vAlign w:val="bottom"/>
          </w:tcPr>
          <w:p>
            <w:pPr>
              <w:pStyle w:val="TableContents"/>
              <w:bidi w:val="0"/>
              <w:spacing w:before="0" w:after="283"/>
              <w:jc w:val="left"/>
              <w:rPr/>
            </w:pPr>
            <w:r>
              <w:rPr/>
              <w:t> </w:t>
            </w:r>
          </w:p>
        </w:tc>
      </w:tr>
      <w:tr>
        <w:trPr/>
        <w:tc>
          <w:tcPr>
            <w:tcW w:w="369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from continuing operations attributable to Corteva</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929</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714</w:t>
            </w:r>
          </w:p>
        </w:tc>
        <w:tc>
          <w:tcPr>
            <w:tcW w:w="159" w:type="dxa"/>
            <w:tcBorders/>
            <w:shd w:fill="CCEEFF" w:val="clear"/>
            <w:vAlign w:val="bottom"/>
          </w:tcPr>
          <w:p>
            <w:pPr>
              <w:pStyle w:val="TableContents"/>
              <w:bidi w:val="0"/>
              <w:spacing w:before="0" w:after="283"/>
              <w:jc w:val="left"/>
              <w:rPr/>
            </w:pPr>
            <w:r>
              <w:rPr/>
              <w:t> </w:t>
            </w:r>
          </w:p>
        </w:tc>
      </w:tr>
      <w:tr>
        <w:trPr/>
        <w:tc>
          <w:tcPr>
            <w:tcW w:w="369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Earnings (loss) per share of common stock:</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(loss) per share of common stock from continuing operations</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1.31</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1.01</w:t>
            </w:r>
          </w:p>
        </w:tc>
        <w:tc>
          <w:tcPr>
            <w:tcW w:w="159" w:type="dxa"/>
            <w:tcBorders/>
            <w:shd w:fill="CCEEFF" w:val="clear"/>
            <w:vAlign w:val="bottom"/>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(loss) per share of common stock from continuing operations</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29" w:type="dxa"/>
            <w:tcBorders/>
            <w:vAlign w:val="bottom"/>
          </w:tcPr>
          <w:p>
            <w:pPr>
              <w:pStyle w:val="TableContents"/>
              <w:bidi w:val="0"/>
              <w:spacing w:before="0" w:after="283"/>
              <w:jc w:val="right"/>
              <w:rPr/>
            </w:pPr>
            <w:r>
              <w:rPr/>
              <w:t>1.30</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1.00</w:t>
            </w:r>
          </w:p>
        </w:tc>
        <w:tc>
          <w:tcPr>
            <w:tcW w:w="159" w:type="dxa"/>
            <w:tcBorders/>
            <w:vAlign w:val="bottom"/>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common shares outstanding:</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709.0</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709.0</w:t>
            </w:r>
          </w:p>
        </w:tc>
        <w:tc>
          <w:tcPr>
            <w:tcW w:w="159" w:type="dxa"/>
            <w:tcBorders/>
            <w:vAlign w:val="bottom"/>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711.9</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711.9</w:t>
            </w:r>
          </w:p>
        </w:tc>
        <w:tc>
          <w:tcPr>
            <w:tcW w:w="159"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NOTE 5—MANAGEMENT ADJUSTMENTS </w:t>
      </w:r>
    </w:p>
    <w:p>
      <w:pPr>
        <w:pStyle w:val="TextBody"/>
        <w:bidi w:val="0"/>
        <w:spacing w:before="120" w:after="0"/>
        <w:jc w:val="left"/>
        <w:rPr>
          <w:rFonts w:ascii="Times New Roman" w:hAnsi="Times New Roman"/>
          <w:sz w:val="20"/>
        </w:rPr>
      </w:pPr>
      <w:r>
        <w:rPr>
          <w:rFonts w:ascii="Times New Roman" w:hAnsi="Times New Roman"/>
          <w:sz w:val="20"/>
        </w:rPr>
        <w:t xml:space="preserve">Vylor anticipates a reduction to certain general corporate overhead costs, including costs associated with labor and benefits for shared resources transferred to New Corteva that Vylor does not intend to backfill after the Separation as well as non-personnel third-party support costs. These costs were excluded from discontinued operations in Note 1 above as they represent general corporate overhead costs that were historically allocated to New Corteva and do not meet the requirements to be presented as discontinued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cost reductions that Vylor plans to realize are based on the expected organizational and cost structure after the Separation. In developing these estimates, a detailed assessment was prepared of the resources and associated costs required to support the business after the Separation. Estimated non-personnel third-party support costs were determined by estimating third-party spend in each function, and include the costs associated with outside services supporting executive management, finance, legal, information technology, employee benefits administration, treasury, risk management and procurement. From a timeframe standpoint, these cost reductions will begin to materialize upon the consummation of the Separation. Management believes the costs which were used as the basis for the management adjustments below are reasonable and representative of the cost reductions Vylor will realize after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One-time and non-recurring expenses associated with the Separation have also been estimated. These non-recurring costs primarily include costs to establish stand-alone information technology systems and will be incurred subsequent to the date of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Management believes the presentation of these adjustments is necessary to enhance an understanding of the pro forma effects of the Separation. The pro forma financial information below reflects all adjustments that are, in the opinion of management, necessary to provide a fair statement of the pro forma financial information, aligned with the assessment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These management adjustments include forward-looking information. The tax effect has been determined by applying the relevant statutory tax rates to the aforementioned adjustments. See “Cautionary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includes the management adjustments: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15"/>
        <w:gridCol w:w="451"/>
        <w:gridCol w:w="442"/>
        <w:gridCol w:w="1773"/>
        <w:gridCol w:w="158"/>
      </w:tblGrid>
      <w:tr>
        <w:trPr/>
        <w:tc>
          <w:tcPr>
            <w:tcW w:w="4115"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 except per share amounts)</w:t>
            </w:r>
          </w:p>
        </w:tc>
        <w:tc>
          <w:tcPr>
            <w:tcW w:w="451" w:type="dxa"/>
            <w:tcBorders/>
            <w:vAlign w:val="bottom"/>
          </w:tcPr>
          <w:p>
            <w:pPr>
              <w:pStyle w:val="TableContents"/>
              <w:bidi w:val="0"/>
              <w:spacing w:before="0" w:after="283"/>
              <w:jc w:val="left"/>
              <w:rPr/>
            </w:pPr>
            <w:r>
              <w:rPr/>
              <w:t>  </w:t>
            </w:r>
          </w:p>
        </w:tc>
        <w:tc>
          <w:tcPr>
            <w:tcW w:w="2215"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March 31, 2026</w:t>
            </w:r>
          </w:p>
        </w:tc>
        <w:tc>
          <w:tcPr>
            <w:tcW w:w="158" w:type="dxa"/>
            <w:tcBorders/>
            <w:vAlign w:val="bottom"/>
          </w:tcPr>
          <w:p>
            <w:pPr>
              <w:pStyle w:val="TableContents"/>
              <w:bidi w:val="0"/>
              <w:spacing w:before="0" w:after="283"/>
              <w:jc w:val="left"/>
              <w:rPr/>
            </w:pPr>
            <w:r>
              <w:rPr/>
              <w:t> </w:t>
            </w:r>
          </w:p>
        </w:tc>
      </w:tr>
      <w:tr>
        <w:trPr/>
        <w:tc>
          <w:tcPr>
            <w:tcW w:w="4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income from continuing operations attributable to Corteva*</w:t>
            </w:r>
          </w:p>
        </w:tc>
        <w:tc>
          <w:tcPr>
            <w:tcW w:w="451"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w:t>
            </w:r>
          </w:p>
        </w:tc>
        <w:tc>
          <w:tcPr>
            <w:tcW w:w="1773" w:type="dxa"/>
            <w:tcBorders/>
            <w:shd w:fill="CCEEFF" w:val="clear"/>
            <w:vAlign w:val="bottom"/>
          </w:tcPr>
          <w:p>
            <w:pPr>
              <w:pStyle w:val="TableContents"/>
              <w:bidi w:val="0"/>
              <w:spacing w:before="0" w:after="283"/>
              <w:jc w:val="right"/>
              <w:rPr/>
            </w:pPr>
            <w:r>
              <w:rPr/>
              <w:t>470</w:t>
            </w:r>
          </w:p>
        </w:tc>
        <w:tc>
          <w:tcPr>
            <w:tcW w:w="158" w:type="dxa"/>
            <w:tcBorders/>
            <w:shd w:fill="CCEEFF" w:val="clear"/>
            <w:vAlign w:val="bottom"/>
          </w:tcPr>
          <w:p>
            <w:pPr>
              <w:pStyle w:val="TableContents"/>
              <w:bidi w:val="0"/>
              <w:spacing w:before="0" w:after="283"/>
              <w:jc w:val="left"/>
              <w:rPr/>
            </w:pPr>
            <w:r>
              <w:rPr/>
              <w:t> </w:t>
            </w:r>
          </w:p>
        </w:tc>
      </w:tr>
      <w:tr>
        <w:trPr/>
        <w:tc>
          <w:tcPr>
            <w:tcW w:w="4115" w:type="dxa"/>
            <w:tcBorders/>
          </w:tcPr>
          <w:p>
            <w:pPr>
              <w:pStyle w:val="TableContents"/>
              <w:bidi w:val="0"/>
              <w:spacing w:before="0" w:after="0"/>
              <w:jc w:val="left"/>
              <w:rPr>
                <w:rFonts w:ascii="Times New Roman" w:hAnsi="Times New Roman"/>
                <w:sz w:val="20"/>
              </w:rPr>
            </w:pPr>
            <w:r>
              <w:rPr>
                <w:rFonts w:ascii="Times New Roman" w:hAnsi="Times New Roman"/>
                <w:sz w:val="20"/>
              </w:rPr>
              <w:t>Management adjustments</w:t>
            </w:r>
          </w:p>
        </w:tc>
        <w:tc>
          <w:tcPr>
            <w:tcW w:w="451"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sz w:val="4"/>
                <w:szCs w:val="4"/>
              </w:rPr>
            </w:pPr>
            <w:r>
              <w:rPr>
                <w:sz w:val="4"/>
                <w:szCs w:val="4"/>
              </w:rPr>
            </w:r>
          </w:p>
        </w:tc>
        <w:tc>
          <w:tcPr>
            <w:tcW w:w="177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support functions labor-based reductions</w:t>
            </w:r>
          </w:p>
        </w:tc>
        <w:tc>
          <w:tcPr>
            <w:tcW w:w="451"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13</w:t>
            </w:r>
          </w:p>
        </w:tc>
        <w:tc>
          <w:tcPr>
            <w:tcW w:w="158" w:type="dxa"/>
            <w:tcBorders/>
            <w:shd w:fill="CCEEFF" w:val="clear"/>
            <w:vAlign w:val="bottom"/>
          </w:tcPr>
          <w:p>
            <w:pPr>
              <w:pStyle w:val="TableContents"/>
              <w:bidi w:val="0"/>
              <w:spacing w:before="0" w:after="283"/>
              <w:jc w:val="left"/>
              <w:rPr/>
            </w:pPr>
            <w:r>
              <w:rPr/>
              <w:t> </w:t>
            </w:r>
          </w:p>
        </w:tc>
      </w:tr>
      <w:tr>
        <w:trPr/>
        <w:tc>
          <w:tcPr>
            <w:tcW w:w="4115" w:type="dxa"/>
            <w:tcBorders/>
          </w:tcPr>
          <w:p>
            <w:pPr>
              <w:pStyle w:val="TableContents"/>
              <w:bidi w:val="0"/>
              <w:spacing w:before="0" w:after="0"/>
              <w:jc w:val="left"/>
              <w:rPr>
                <w:rFonts w:ascii="Times New Roman" w:hAnsi="Times New Roman"/>
                <w:sz w:val="20"/>
              </w:rPr>
            </w:pPr>
            <w:r>
              <w:rPr>
                <w:rFonts w:ascii="Times New Roman" w:hAnsi="Times New Roman"/>
                <w:sz w:val="20"/>
              </w:rPr>
              <w:t>One-time and non-recurring expenses associated with the spin-off</w:t>
            </w:r>
          </w:p>
        </w:tc>
        <w:tc>
          <w:tcPr>
            <w:tcW w:w="451"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4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effect</w:t>
            </w:r>
          </w:p>
        </w:tc>
        <w:tc>
          <w:tcPr>
            <w:tcW w:w="451"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15" w:type="dxa"/>
            <w:tcBorders/>
          </w:tcPr>
          <w:p>
            <w:pPr>
              <w:pStyle w:val="TableContents"/>
              <w:bidi w:val="0"/>
              <w:spacing w:before="0" w:after="0"/>
              <w:jc w:val="left"/>
              <w:rPr>
                <w:rFonts w:ascii="Times New Roman" w:hAnsi="Times New Roman"/>
                <w:sz w:val="20"/>
              </w:rPr>
            </w:pPr>
            <w:r>
              <w:rPr>
                <w:rFonts w:ascii="Times New Roman" w:hAnsi="Times New Roman"/>
                <w:sz w:val="20"/>
              </w:rPr>
              <w:t>Pro forma income (loss) from continuing operations after management adjustments</w:t>
            </w:r>
          </w:p>
        </w:tc>
        <w:tc>
          <w:tcPr>
            <w:tcW w:w="451"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w:t>
            </w:r>
          </w:p>
        </w:tc>
        <w:tc>
          <w:tcPr>
            <w:tcW w:w="1773" w:type="dxa"/>
            <w:tcBorders/>
            <w:vAlign w:val="bottom"/>
          </w:tcPr>
          <w:p>
            <w:pPr>
              <w:pStyle w:val="TableContents"/>
              <w:bidi w:val="0"/>
              <w:spacing w:before="0" w:after="283"/>
              <w:jc w:val="right"/>
              <w:rPr/>
            </w:pPr>
            <w:r>
              <w:rPr/>
              <w:t>479</w:t>
            </w:r>
          </w:p>
        </w:tc>
        <w:tc>
          <w:tcPr>
            <w:tcW w:w="158" w:type="dxa"/>
            <w:tcBorders/>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(loss) per share of common stock:</w:t>
            </w:r>
          </w:p>
        </w:tc>
        <w:tc>
          <w:tcPr>
            <w:tcW w:w="451"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177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115"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(loss) per share of common stock from continuing operations</w:t>
            </w:r>
          </w:p>
        </w:tc>
        <w:tc>
          <w:tcPr>
            <w:tcW w:w="451"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0.71</w:t>
            </w:r>
          </w:p>
        </w:tc>
        <w:tc>
          <w:tcPr>
            <w:tcW w:w="158" w:type="dxa"/>
            <w:tcBorders/>
            <w:vAlign w:val="bottom"/>
          </w:tcPr>
          <w:p>
            <w:pPr>
              <w:pStyle w:val="TableContents"/>
              <w:bidi w:val="0"/>
              <w:spacing w:before="0" w:after="283"/>
              <w:jc w:val="left"/>
              <w:rPr/>
            </w:pPr>
            <w:r>
              <w:rPr/>
              <w:t> </w:t>
            </w:r>
          </w:p>
        </w:tc>
      </w:tr>
      <w:tr>
        <w:trPr/>
        <w:tc>
          <w:tcPr>
            <w:tcW w:w="4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(loss) per share of common stock from continuing operations</w:t>
            </w:r>
          </w:p>
        </w:tc>
        <w:tc>
          <w:tcPr>
            <w:tcW w:w="451"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0.71</w:t>
            </w:r>
          </w:p>
        </w:tc>
        <w:tc>
          <w:tcPr>
            <w:tcW w:w="158" w:type="dxa"/>
            <w:tcBorders/>
            <w:shd w:fill="CCEEFF" w:val="clear"/>
            <w:vAlign w:val="bottom"/>
          </w:tcPr>
          <w:p>
            <w:pPr>
              <w:pStyle w:val="TableContents"/>
              <w:bidi w:val="0"/>
              <w:spacing w:before="0" w:after="283"/>
              <w:jc w:val="left"/>
              <w:rPr/>
            </w:pPr>
            <w:r>
              <w:rPr/>
              <w:t> </w:t>
            </w:r>
          </w:p>
        </w:tc>
      </w:tr>
      <w:tr>
        <w:trPr/>
        <w:tc>
          <w:tcPr>
            <w:tcW w:w="411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number of common shares outstanding:</w:t>
            </w:r>
          </w:p>
        </w:tc>
        <w:tc>
          <w:tcPr>
            <w:tcW w:w="451"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sz w:val="4"/>
                <w:szCs w:val="4"/>
              </w:rPr>
            </w:pPr>
            <w:r>
              <w:rPr>
                <w:sz w:val="4"/>
                <w:szCs w:val="4"/>
              </w:rPr>
            </w:r>
          </w:p>
        </w:tc>
        <w:tc>
          <w:tcPr>
            <w:tcW w:w="177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51"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672.5</w:t>
            </w:r>
          </w:p>
        </w:tc>
        <w:tc>
          <w:tcPr>
            <w:tcW w:w="158" w:type="dxa"/>
            <w:tcBorders/>
            <w:shd w:fill="CCEEFF" w:val="clear"/>
            <w:vAlign w:val="bottom"/>
          </w:tcPr>
          <w:p>
            <w:pPr>
              <w:pStyle w:val="TableContents"/>
              <w:bidi w:val="0"/>
              <w:spacing w:before="0" w:after="283"/>
              <w:jc w:val="left"/>
              <w:rPr/>
            </w:pPr>
            <w:r>
              <w:rPr/>
              <w:t> </w:t>
            </w:r>
          </w:p>
        </w:tc>
      </w:tr>
      <w:tr>
        <w:trPr/>
        <w:tc>
          <w:tcPr>
            <w:tcW w:w="4115"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51"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673.6</w:t>
            </w:r>
          </w:p>
        </w:tc>
        <w:tc>
          <w:tcPr>
            <w:tcW w:w="158"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3400" w:type="pct"/>
        <w:jc w:val="center"/>
        <w:tblInd w:w="0" w:type="dxa"/>
        <w:tblLayout w:type="fixed"/>
        <w:tblCellMar>
          <w:top w:w="0" w:type="dxa"/>
          <w:left w:w="0" w:type="dxa"/>
          <w:bottom w:w="0" w:type="dxa"/>
          <w:right w:w="0" w:type="dxa"/>
        </w:tblCellMar>
      </w:tblPr>
      <w:tblGrid>
        <w:gridCol w:w="4365"/>
        <w:gridCol w:w="460"/>
        <w:gridCol w:w="391"/>
        <w:gridCol w:w="1566"/>
        <w:gridCol w:w="157"/>
      </w:tblGrid>
      <w:tr>
        <w:trPr/>
        <w:tc>
          <w:tcPr>
            <w:tcW w:w="4365" w:type="dxa"/>
            <w:tcBorders/>
            <w:vAlign w:val="center"/>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6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 except per share amounts)</w:t>
            </w:r>
          </w:p>
        </w:tc>
        <w:tc>
          <w:tcPr>
            <w:tcW w:w="460" w:type="dxa"/>
            <w:tcBorders/>
            <w:vAlign w:val="bottom"/>
          </w:tcPr>
          <w:p>
            <w:pPr>
              <w:pStyle w:val="TableContents"/>
              <w:bidi w:val="0"/>
              <w:spacing w:before="0" w:after="283"/>
              <w:jc w:val="left"/>
              <w:rPr/>
            </w:pPr>
            <w:r>
              <w:rPr/>
              <w:t>  </w:t>
            </w:r>
          </w:p>
        </w:tc>
        <w:tc>
          <w:tcPr>
            <w:tcW w:w="1957"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2025</w:t>
            </w:r>
          </w:p>
        </w:tc>
        <w:tc>
          <w:tcPr>
            <w:tcW w:w="157" w:type="dxa"/>
            <w:tcBorders/>
            <w:vAlign w:val="bottom"/>
          </w:tcPr>
          <w:p>
            <w:pPr>
              <w:pStyle w:val="TableContents"/>
              <w:bidi w:val="0"/>
              <w:spacing w:before="0" w:after="283"/>
              <w:jc w:val="left"/>
              <w:rPr/>
            </w:pPr>
            <w:r>
              <w:rPr/>
              <w:t> </w:t>
            </w:r>
          </w:p>
        </w:tc>
      </w:tr>
      <w:tr>
        <w:trPr/>
        <w:tc>
          <w:tcPr>
            <w:tcW w:w="4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income from continuing operations attributable to Corteva*</w:t>
            </w:r>
          </w:p>
        </w:tc>
        <w:tc>
          <w:tcPr>
            <w:tcW w:w="4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6" w:type="dxa"/>
            <w:tcBorders/>
            <w:shd w:fill="CCEEFF" w:val="clear"/>
            <w:vAlign w:val="bottom"/>
          </w:tcPr>
          <w:p>
            <w:pPr>
              <w:pStyle w:val="TableContents"/>
              <w:bidi w:val="0"/>
              <w:spacing w:before="0" w:after="283"/>
              <w:jc w:val="right"/>
              <w:rPr/>
            </w:pPr>
            <w:r>
              <w:rPr/>
              <w:t>242</w:t>
            </w:r>
          </w:p>
        </w:tc>
        <w:tc>
          <w:tcPr>
            <w:tcW w:w="157" w:type="dxa"/>
            <w:tcBorders/>
            <w:shd w:fill="CCEEFF" w:val="clear"/>
            <w:vAlign w:val="bottom"/>
          </w:tcPr>
          <w:p>
            <w:pPr>
              <w:pStyle w:val="TableContents"/>
              <w:bidi w:val="0"/>
              <w:spacing w:before="0" w:after="283"/>
              <w:jc w:val="left"/>
              <w:rPr/>
            </w:pPr>
            <w:r>
              <w:rPr/>
              <w:t> </w:t>
            </w:r>
          </w:p>
        </w:tc>
      </w:tr>
      <w:tr>
        <w:trPr/>
        <w:tc>
          <w:tcPr>
            <w:tcW w:w="4365" w:type="dxa"/>
            <w:tcBorders/>
          </w:tcPr>
          <w:p>
            <w:pPr>
              <w:pStyle w:val="TableContents"/>
              <w:bidi w:val="0"/>
              <w:spacing w:before="0" w:after="0"/>
              <w:jc w:val="left"/>
              <w:rPr>
                <w:rFonts w:ascii="Times New Roman" w:hAnsi="Times New Roman"/>
                <w:sz w:val="20"/>
              </w:rPr>
            </w:pPr>
            <w:r>
              <w:rPr>
                <w:rFonts w:ascii="Times New Roman" w:hAnsi="Times New Roman"/>
                <w:sz w:val="20"/>
              </w:rPr>
              <w:t>Management adjustments</w:t>
            </w:r>
          </w:p>
        </w:tc>
        <w:tc>
          <w:tcPr>
            <w:tcW w:w="4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56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4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support functions labor-based reductions</w:t>
            </w:r>
          </w:p>
        </w:tc>
        <w:tc>
          <w:tcPr>
            <w:tcW w:w="4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6" w:type="dxa"/>
            <w:tcBorders/>
            <w:shd w:fill="CCEEFF" w:val="clear"/>
            <w:vAlign w:val="bottom"/>
          </w:tcPr>
          <w:p>
            <w:pPr>
              <w:pStyle w:val="TableContents"/>
              <w:bidi w:val="0"/>
              <w:spacing w:before="0" w:after="283"/>
              <w:jc w:val="right"/>
              <w:rPr/>
            </w:pPr>
            <w:r>
              <w:rPr/>
              <w:t>58</w:t>
            </w:r>
          </w:p>
        </w:tc>
        <w:tc>
          <w:tcPr>
            <w:tcW w:w="157" w:type="dxa"/>
            <w:tcBorders/>
            <w:shd w:fill="CCEEFF" w:val="clear"/>
            <w:vAlign w:val="bottom"/>
          </w:tcPr>
          <w:p>
            <w:pPr>
              <w:pStyle w:val="TableContents"/>
              <w:bidi w:val="0"/>
              <w:spacing w:before="0" w:after="283"/>
              <w:jc w:val="left"/>
              <w:rPr/>
            </w:pPr>
            <w:r>
              <w:rPr/>
              <w:t> </w:t>
            </w:r>
          </w:p>
        </w:tc>
      </w:tr>
      <w:tr>
        <w:trPr/>
        <w:tc>
          <w:tcPr>
            <w:tcW w:w="4365" w:type="dxa"/>
            <w:tcBorders/>
          </w:tcPr>
          <w:p>
            <w:pPr>
              <w:pStyle w:val="TableContents"/>
              <w:bidi w:val="0"/>
              <w:spacing w:before="0" w:after="0"/>
              <w:jc w:val="left"/>
              <w:rPr>
                <w:rFonts w:ascii="Times New Roman" w:hAnsi="Times New Roman"/>
                <w:sz w:val="20"/>
              </w:rPr>
            </w:pPr>
            <w:r>
              <w:rPr>
                <w:rFonts w:ascii="Times New Roman" w:hAnsi="Times New Roman"/>
                <w:sz w:val="20"/>
              </w:rPr>
              <w:t>One-time and non-recurring expenses associated with the spin-off</w:t>
            </w:r>
          </w:p>
        </w:tc>
        <w:tc>
          <w:tcPr>
            <w:tcW w:w="4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6" w:type="dxa"/>
            <w:tcBorders/>
            <w:vAlign w:val="bottom"/>
          </w:tcPr>
          <w:p>
            <w:pPr>
              <w:pStyle w:val="TableContents"/>
              <w:bidi w:val="0"/>
              <w:spacing w:before="0" w:after="283"/>
              <w:jc w:val="right"/>
              <w:rPr/>
            </w:pPr>
            <w:r>
              <w:rPr/>
              <w:t>(23</w:t>
            </w:r>
          </w:p>
        </w:tc>
        <w:tc>
          <w:tcPr>
            <w:tcW w:w="157" w:type="dxa"/>
            <w:tcBorders/>
            <w:vAlign w:val="bottom"/>
          </w:tcPr>
          <w:p>
            <w:pPr>
              <w:pStyle w:val="TableContents"/>
              <w:bidi w:val="0"/>
              <w:spacing w:before="0" w:after="283"/>
              <w:jc w:val="left"/>
              <w:rPr/>
            </w:pPr>
            <w:r>
              <w:rPr/>
              <w:t>) </w:t>
            </w:r>
          </w:p>
        </w:tc>
      </w:tr>
      <w:tr>
        <w:trPr/>
        <w:tc>
          <w:tcPr>
            <w:tcW w:w="4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effect</w:t>
            </w:r>
          </w:p>
        </w:tc>
        <w:tc>
          <w:tcPr>
            <w:tcW w:w="4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6" w:type="dxa"/>
            <w:tcBorders/>
            <w:shd w:fill="CCEEFF" w:val="clear"/>
            <w:vAlign w:val="bottom"/>
          </w:tcPr>
          <w:p>
            <w:pPr>
              <w:pStyle w:val="TableContents"/>
              <w:bidi w:val="0"/>
              <w:spacing w:before="0" w:after="283"/>
              <w:jc w:val="right"/>
              <w:rPr/>
            </w:pPr>
            <w:r>
              <w:rPr/>
              <w:t>(8</w:t>
            </w:r>
          </w:p>
        </w:tc>
        <w:tc>
          <w:tcPr>
            <w:tcW w:w="157" w:type="dxa"/>
            <w:tcBorders/>
            <w:shd w:fill="CCEEFF" w:val="clear"/>
            <w:vAlign w:val="bottom"/>
          </w:tcPr>
          <w:p>
            <w:pPr>
              <w:pStyle w:val="TableContents"/>
              <w:bidi w:val="0"/>
              <w:spacing w:before="0" w:after="283"/>
              <w:jc w:val="left"/>
              <w:rPr/>
            </w:pPr>
            <w:r>
              <w:rPr/>
              <w:t>) </w:t>
            </w:r>
          </w:p>
        </w:tc>
      </w:tr>
      <w:tr>
        <w:trPr/>
        <w:tc>
          <w:tcPr>
            <w:tcW w:w="4365"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365" w:type="dxa"/>
            <w:tcBorders/>
          </w:tcPr>
          <w:p>
            <w:pPr>
              <w:pStyle w:val="TableContents"/>
              <w:bidi w:val="0"/>
              <w:spacing w:before="0" w:after="0"/>
              <w:jc w:val="left"/>
              <w:rPr>
                <w:rFonts w:ascii="Times New Roman" w:hAnsi="Times New Roman"/>
                <w:sz w:val="20"/>
              </w:rPr>
            </w:pPr>
            <w:r>
              <w:rPr>
                <w:rFonts w:ascii="Times New Roman" w:hAnsi="Times New Roman"/>
                <w:sz w:val="20"/>
              </w:rPr>
              <w:t>Pro forma income (loss) from continuing operations after management adjustments</w:t>
            </w:r>
          </w:p>
        </w:tc>
        <w:tc>
          <w:tcPr>
            <w:tcW w:w="4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w:t>
            </w:r>
          </w:p>
        </w:tc>
        <w:tc>
          <w:tcPr>
            <w:tcW w:w="1566" w:type="dxa"/>
            <w:tcBorders/>
            <w:vAlign w:val="bottom"/>
          </w:tcPr>
          <w:p>
            <w:pPr>
              <w:pStyle w:val="TableContents"/>
              <w:bidi w:val="0"/>
              <w:spacing w:before="0" w:after="283"/>
              <w:jc w:val="right"/>
              <w:rPr/>
            </w:pPr>
            <w:r>
              <w:rPr/>
              <w:t>269</w:t>
            </w:r>
          </w:p>
        </w:tc>
        <w:tc>
          <w:tcPr>
            <w:tcW w:w="157" w:type="dxa"/>
            <w:tcBorders/>
            <w:vAlign w:val="bottom"/>
          </w:tcPr>
          <w:p>
            <w:pPr>
              <w:pStyle w:val="TableContents"/>
              <w:bidi w:val="0"/>
              <w:spacing w:before="0" w:after="283"/>
              <w:jc w:val="left"/>
              <w:rPr/>
            </w:pPr>
            <w:r>
              <w:rPr/>
              <w:t> </w:t>
            </w:r>
          </w:p>
        </w:tc>
      </w:tr>
      <w:tr>
        <w:trPr/>
        <w:tc>
          <w:tcPr>
            <w:tcW w:w="4365"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(loss) per share of common stock:</w:t>
            </w:r>
          </w:p>
        </w:tc>
        <w:tc>
          <w:tcPr>
            <w:tcW w:w="4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66"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4365"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(loss) per share of common stock from continuing operations</w:t>
            </w:r>
          </w:p>
        </w:tc>
        <w:tc>
          <w:tcPr>
            <w:tcW w:w="4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6" w:type="dxa"/>
            <w:tcBorders/>
            <w:vAlign w:val="bottom"/>
          </w:tcPr>
          <w:p>
            <w:pPr>
              <w:pStyle w:val="TableContents"/>
              <w:bidi w:val="0"/>
              <w:spacing w:before="0" w:after="283"/>
              <w:jc w:val="right"/>
              <w:rPr/>
            </w:pPr>
            <w:r>
              <w:rPr/>
              <w:t>0.40</w:t>
            </w:r>
          </w:p>
        </w:tc>
        <w:tc>
          <w:tcPr>
            <w:tcW w:w="157" w:type="dxa"/>
            <w:tcBorders/>
            <w:vAlign w:val="bottom"/>
          </w:tcPr>
          <w:p>
            <w:pPr>
              <w:pStyle w:val="TableContents"/>
              <w:bidi w:val="0"/>
              <w:spacing w:before="0" w:after="283"/>
              <w:jc w:val="left"/>
              <w:rPr/>
            </w:pPr>
            <w:r>
              <w:rPr/>
              <w:t> </w:t>
            </w:r>
          </w:p>
        </w:tc>
      </w:tr>
      <w:tr>
        <w:trPr/>
        <w:tc>
          <w:tcPr>
            <w:tcW w:w="4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(loss) per share of common stock from continuing operations</w:t>
            </w:r>
          </w:p>
        </w:tc>
        <w:tc>
          <w:tcPr>
            <w:tcW w:w="4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6" w:type="dxa"/>
            <w:tcBorders/>
            <w:shd w:fill="CCEEFF" w:val="clear"/>
            <w:vAlign w:val="bottom"/>
          </w:tcPr>
          <w:p>
            <w:pPr>
              <w:pStyle w:val="TableContents"/>
              <w:bidi w:val="0"/>
              <w:spacing w:before="0" w:after="283"/>
              <w:jc w:val="right"/>
              <w:rPr/>
            </w:pPr>
            <w:r>
              <w:rPr/>
              <w:t>0.39</w:t>
            </w:r>
          </w:p>
        </w:tc>
        <w:tc>
          <w:tcPr>
            <w:tcW w:w="157" w:type="dxa"/>
            <w:tcBorders/>
            <w:shd w:fill="CCEEFF" w:val="clear"/>
            <w:vAlign w:val="bottom"/>
          </w:tcPr>
          <w:p>
            <w:pPr>
              <w:pStyle w:val="TableContents"/>
              <w:bidi w:val="0"/>
              <w:spacing w:before="0" w:after="283"/>
              <w:jc w:val="left"/>
              <w:rPr/>
            </w:pPr>
            <w:r>
              <w:rPr/>
              <w:t> </w:t>
            </w:r>
          </w:p>
        </w:tc>
      </w:tr>
      <w:tr>
        <w:trPr/>
        <w:tc>
          <w:tcPr>
            <w:tcW w:w="436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number of common shares outstanding:</w:t>
            </w:r>
          </w:p>
        </w:tc>
        <w:tc>
          <w:tcPr>
            <w:tcW w:w="4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56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4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6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6" w:type="dxa"/>
            <w:tcBorders/>
            <w:shd w:fill="CCEEFF" w:val="clear"/>
            <w:vAlign w:val="bottom"/>
          </w:tcPr>
          <w:p>
            <w:pPr>
              <w:pStyle w:val="TableContents"/>
              <w:bidi w:val="0"/>
              <w:spacing w:before="0" w:after="283"/>
              <w:jc w:val="right"/>
              <w:rPr/>
            </w:pPr>
            <w:r>
              <w:rPr/>
              <w:t>680.0</w:t>
            </w:r>
          </w:p>
        </w:tc>
        <w:tc>
          <w:tcPr>
            <w:tcW w:w="157" w:type="dxa"/>
            <w:tcBorders/>
            <w:shd w:fill="CCEEFF" w:val="clear"/>
            <w:vAlign w:val="bottom"/>
          </w:tcPr>
          <w:p>
            <w:pPr>
              <w:pStyle w:val="TableContents"/>
              <w:bidi w:val="0"/>
              <w:spacing w:before="0" w:after="283"/>
              <w:jc w:val="left"/>
              <w:rPr/>
            </w:pPr>
            <w:r>
              <w:rPr/>
              <w:t> </w:t>
            </w:r>
          </w:p>
        </w:tc>
      </w:tr>
      <w:tr>
        <w:trPr/>
        <w:tc>
          <w:tcPr>
            <w:tcW w:w="4365"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6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6" w:type="dxa"/>
            <w:tcBorders/>
            <w:vAlign w:val="bottom"/>
          </w:tcPr>
          <w:p>
            <w:pPr>
              <w:pStyle w:val="TableContents"/>
              <w:bidi w:val="0"/>
              <w:spacing w:before="0" w:after="283"/>
              <w:jc w:val="right"/>
              <w:rPr/>
            </w:pPr>
            <w:r>
              <w:rPr/>
              <w:t>681.4</w:t>
            </w:r>
          </w:p>
        </w:tc>
        <w:tc>
          <w:tcPr>
            <w:tcW w:w="15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shown in the unaudited Pro Forma Consolidated Statement of Operations.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NOTE 6—RECONCILIATION OF PRO FORMA OPERATING EBITDA </w:t>
      </w:r>
    </w:p>
    <w:p>
      <w:pPr>
        <w:pStyle w:val="TextBody"/>
        <w:bidi w:val="0"/>
        <w:spacing w:before="120" w:after="0"/>
        <w:jc w:val="left"/>
        <w:rPr>
          <w:rFonts w:ascii="Times New Roman" w:hAnsi="Times New Roman"/>
          <w:i/>
          <w:sz w:val="20"/>
        </w:rPr>
      </w:pPr>
      <w:r>
        <w:rPr>
          <w:rFonts w:ascii="Times New Roman" w:hAnsi="Times New Roman"/>
          <w:i/>
          <w:sz w:val="20"/>
        </w:rPr>
        <w:t xml:space="preserve">Non-GAAP Financial Measure </w:t>
      </w:r>
    </w:p>
    <w:p>
      <w:pPr>
        <w:pStyle w:val="TextBody"/>
        <w:bidi w:val="0"/>
        <w:spacing w:before="120" w:after="0"/>
        <w:jc w:val="left"/>
        <w:rPr>
          <w:rFonts w:ascii="Times New Roman" w:hAnsi="Times New Roman"/>
          <w:sz w:val="20"/>
        </w:rPr>
      </w:pPr>
      <w:r>
        <w:rPr>
          <w:rFonts w:ascii="Times New Roman" w:hAnsi="Times New Roman"/>
          <w:sz w:val="20"/>
        </w:rPr>
        <w:t xml:space="preserve">Vylor presents certain financial measures that do not conform to U.S. GAAP and are considered non-GAAP measures. One such measure is pro forma operating EBITDA. Management uses operating EBITDA internally for planning and forecasting, including allocating resources and evaluating incentive compensation. Management believes that this non-GAAP measure best reflects the ongoing performance of Vylor during the periods presented and provides more relevant and meaningful information to investors as it provides insight with respect to ongoing operating results of Vylor and a more useful comparison of year over year results. This non-GAAP measure supplements Vylor’s U.S. GAAP disclosures and should not be viewed as an alternative to U.S. GAAP measures of performance. Furthermore, such a non-GAAP measure may not be consistent with similar measures provided or used by other companies. A reconciliation for this non-GAAP measure to U.S. GAAP is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Pro forma operating EBITDA is defined as pro forma earnings (loss) (i.e., pro forma income (loss) from continuing operations before income taxes) before interest, depreciation, amortization, non-operating benefits (costs), foreign exchange gains (losses), and net unrealized gain or loss from mark-to-market activity for certain foreign currency derivative instruments that do not qualify for hedge accounting, excluding the impact of significant items and separation costs. Non-operating benefits (costs) consists of non-operating pension and OPEB credits (costs). Net unrealized gain or loss from mark-to-market activity for certain foreign currency derivative instruments that do not qualify for hedge accounting represents the non-cash net gain (loss) from changes in fair value of certain undesignated foreign currency derivative contracts. Upon settlement, which is within the same calendar year of execution of the contract, the realized gain (loss) from the changes in fair value of the non-qualified foreign currency derivative contracts will be reported in the relevant non-GAAP financial measures, allowing quarterly results to reflect the economic effects of the foreign currency derivative contracts without the resulting unrealized mark to fair value volatility. </w:t>
      </w:r>
    </w:p>
    <w:p>
      <w:pPr>
        <w:pStyle w:val="TextBody"/>
        <w:bidi w:val="0"/>
        <w:spacing w:before="240" w:after="0"/>
        <w:jc w:val="left"/>
        <w:rPr>
          <w:rFonts w:ascii="Times New Roman" w:hAnsi="Times New Roman"/>
          <w:sz w:val="20"/>
        </w:rPr>
      </w:pPr>
      <w:r>
        <w:rPr>
          <w:rFonts w:ascii="Times New Roman" w:hAnsi="Times New Roman"/>
          <w:sz w:val="20"/>
        </w:rPr>
        <w:t xml:space="preserve">In many instances, the pro forma balances below that are used to reconcile pro forma net income (loss) from continuing operations to operating EBITDA differ from those in the comparable reconciliation presented in the Combined Financial Statements, which are presented on a carve-out basis, due to the differing bases of accounting used. </w:t>
      </w:r>
    </w:p>
    <w:p>
      <w:pPr>
        <w:pStyle w:val="TextBody"/>
        <w:bidi w:val="0"/>
        <w:spacing w:before="360" w:after="0"/>
        <w:jc w:val="left"/>
        <w:rPr>
          <w:rFonts w:ascii="Times New Roman" w:hAnsi="Times New Roman"/>
          <w:b/>
          <w:sz w:val="20"/>
        </w:rPr>
      </w:pPr>
      <w:r>
        <w:rPr>
          <w:rFonts w:ascii="Times New Roman" w:hAnsi="Times New Roman"/>
          <w:b/>
          <w:sz w:val="20"/>
        </w:rPr>
        <w:t xml:space="preserve">Reconciliation of Pro Forma Net Income (Loss) from Continuing Operations to Operating EBITDA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15"/>
        <w:gridCol w:w="731"/>
        <w:gridCol w:w="607"/>
        <w:gridCol w:w="1623"/>
        <w:gridCol w:w="63"/>
      </w:tblGrid>
      <w:tr>
        <w:trPr/>
        <w:tc>
          <w:tcPr>
            <w:tcW w:w="3915" w:type="dxa"/>
            <w:tcBorders/>
            <w:vAlign w:val="center"/>
          </w:tcPr>
          <w:p>
            <w:pPr>
              <w:pStyle w:val="TableContents"/>
              <w:bidi w:val="0"/>
              <w:spacing w:before="0" w:after="283"/>
              <w:jc w:val="left"/>
              <w:rPr>
                <w:sz w:val="4"/>
                <w:szCs w:val="4"/>
              </w:rPr>
            </w:pPr>
            <w:r>
              <w:rPr>
                <w:sz w:val="4"/>
                <w:szCs w:val="4"/>
              </w:rPr>
            </w:r>
          </w:p>
        </w:tc>
        <w:tc>
          <w:tcPr>
            <w:tcW w:w="731" w:type="dxa"/>
            <w:tcBorders/>
            <w:vAlign w:val="bottom"/>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91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w:t>
            </w:r>
          </w:p>
        </w:tc>
        <w:tc>
          <w:tcPr>
            <w:tcW w:w="731" w:type="dxa"/>
            <w:tcBorders/>
            <w:vAlign w:val="bottom"/>
          </w:tcPr>
          <w:p>
            <w:pPr>
              <w:pStyle w:val="TableContents"/>
              <w:bidi w:val="0"/>
              <w:spacing w:before="0" w:after="283"/>
              <w:jc w:val="left"/>
              <w:rPr/>
            </w:pPr>
            <w:r>
              <w:rPr/>
              <w:t>  </w:t>
            </w:r>
          </w:p>
        </w:tc>
        <w:tc>
          <w:tcPr>
            <w:tcW w:w="2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 2026</w:t>
            </w:r>
          </w:p>
        </w:tc>
        <w:tc>
          <w:tcPr>
            <w:tcW w:w="63" w:type="dxa"/>
            <w:tcBorders/>
            <w:vAlign w:val="bottom"/>
          </w:tcPr>
          <w:p>
            <w:pPr>
              <w:pStyle w:val="TableContents"/>
              <w:bidi w:val="0"/>
              <w:spacing w:before="0" w:after="283"/>
              <w:jc w:val="left"/>
              <w:rPr/>
            </w:pPr>
            <w:r>
              <w:rPr/>
              <w:t> </w:t>
            </w:r>
          </w:p>
        </w:tc>
      </w:tr>
      <w:tr>
        <w:trPr/>
        <w:tc>
          <w:tcPr>
            <w:tcW w:w="3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income from continuing operations - Vylor</w:t>
            </w:r>
          </w:p>
        </w:tc>
        <w:tc>
          <w:tcPr>
            <w:tcW w:w="731"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left"/>
              <w:rPr/>
            </w:pPr>
            <w:r>
              <w:rPr/>
              <w:t>$</w:t>
            </w:r>
          </w:p>
        </w:tc>
        <w:tc>
          <w:tcPr>
            <w:tcW w:w="1623" w:type="dxa"/>
            <w:tcBorders/>
            <w:shd w:fill="CCEEFF" w:val="clear"/>
            <w:vAlign w:val="bottom"/>
          </w:tcPr>
          <w:p>
            <w:pPr>
              <w:pStyle w:val="TableContents"/>
              <w:bidi w:val="0"/>
              <w:spacing w:before="0" w:after="283"/>
              <w:jc w:val="right"/>
              <w:rPr/>
            </w:pPr>
            <w:r>
              <w:rPr/>
              <w:t>471</w:t>
            </w:r>
          </w:p>
        </w:tc>
        <w:tc>
          <w:tcPr>
            <w:tcW w:w="63" w:type="dxa"/>
            <w:tcBorders/>
            <w:shd w:fill="CCEEFF" w:val="clear"/>
            <w:vAlign w:val="bottom"/>
          </w:tcPr>
          <w:p>
            <w:pPr>
              <w:pStyle w:val="TableContents"/>
              <w:bidi w:val="0"/>
              <w:spacing w:before="0" w:after="283"/>
              <w:jc w:val="left"/>
              <w:rPr/>
            </w:pPr>
            <w:r>
              <w:rPr/>
              <w:t> </w:t>
            </w:r>
          </w:p>
        </w:tc>
      </w:tr>
      <w:tr>
        <w:trPr/>
        <w:tc>
          <w:tcPr>
            <w:tcW w:w="3915"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 on continuing operations - Vylor</w:t>
            </w:r>
          </w:p>
        </w:tc>
        <w:tc>
          <w:tcPr>
            <w:tcW w:w="731"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3915" w:type="dxa"/>
            <w:tcBorders/>
            <w:vAlign w:val="bottom"/>
          </w:tcPr>
          <w:p>
            <w:pPr>
              <w:pStyle w:val="TableContents"/>
              <w:bidi w:val="0"/>
              <w:spacing w:before="0" w:after="283"/>
              <w:jc w:val="left"/>
              <w:rPr>
                <w:sz w:val="4"/>
                <w:szCs w:val="4"/>
              </w:rPr>
            </w:pPr>
            <w:r>
              <w:rPr>
                <w:sz w:val="4"/>
                <w:szCs w:val="4"/>
              </w:rPr>
            </w:r>
          </w:p>
        </w:tc>
        <w:tc>
          <w:tcPr>
            <w:tcW w:w="731" w:type="dxa"/>
            <w:tcBorders/>
            <w:vAlign w:val="bottom"/>
          </w:tcPr>
          <w:p>
            <w:pPr>
              <w:pStyle w:val="TableContents"/>
              <w:bidi w:val="0"/>
              <w:spacing w:before="0" w:after="283"/>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62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income (loss) before income taxes from continuing operations - Vylor</w:t>
            </w:r>
          </w:p>
        </w:tc>
        <w:tc>
          <w:tcPr>
            <w:tcW w:w="731"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left"/>
              <w:rPr/>
            </w:pPr>
            <w:r>
              <w:rPr/>
              <w:t>$</w:t>
            </w:r>
          </w:p>
        </w:tc>
        <w:tc>
          <w:tcPr>
            <w:tcW w:w="1623" w:type="dxa"/>
            <w:tcBorders/>
            <w:shd w:fill="CCEEFF" w:val="clear"/>
            <w:vAlign w:val="bottom"/>
          </w:tcPr>
          <w:p>
            <w:pPr>
              <w:pStyle w:val="TableContents"/>
              <w:bidi w:val="0"/>
              <w:spacing w:before="0" w:after="283"/>
              <w:jc w:val="right"/>
              <w:rPr/>
            </w:pPr>
            <w:r>
              <w:rPr/>
              <w:t>569</w:t>
            </w:r>
          </w:p>
        </w:tc>
        <w:tc>
          <w:tcPr>
            <w:tcW w:w="63" w:type="dxa"/>
            <w:tcBorders/>
            <w:shd w:fill="CCEEFF" w:val="clear"/>
            <w:vAlign w:val="bottom"/>
          </w:tcPr>
          <w:p>
            <w:pPr>
              <w:pStyle w:val="TableContents"/>
              <w:bidi w:val="0"/>
              <w:spacing w:before="0" w:after="283"/>
              <w:jc w:val="left"/>
              <w:rPr/>
            </w:pPr>
            <w:r>
              <w:rPr/>
              <w:t> </w:t>
            </w:r>
          </w:p>
        </w:tc>
      </w:tr>
      <w:tr>
        <w:trPr/>
        <w:tc>
          <w:tcPr>
            <w:tcW w:w="3915" w:type="dxa"/>
            <w:tcBorders/>
            <w:vAlign w:val="bottom"/>
          </w:tcPr>
          <w:p>
            <w:pPr>
              <w:pStyle w:val="TableContents"/>
              <w:bidi w:val="0"/>
              <w:spacing w:before="0" w:after="283"/>
              <w:jc w:val="left"/>
              <w:rPr>
                <w:sz w:val="4"/>
                <w:szCs w:val="4"/>
              </w:rPr>
            </w:pPr>
            <w:r>
              <w:rPr>
                <w:sz w:val="4"/>
                <w:szCs w:val="4"/>
              </w:rPr>
            </w:r>
          </w:p>
        </w:tc>
        <w:tc>
          <w:tcPr>
            <w:tcW w:w="731" w:type="dxa"/>
            <w:tcBorders/>
            <w:vAlign w:val="bottom"/>
          </w:tcPr>
          <w:p>
            <w:pPr>
              <w:pStyle w:val="TableContents"/>
              <w:bidi w:val="0"/>
              <w:spacing w:before="0" w:after="283"/>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62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91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731"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right"/>
              <w:rPr/>
            </w:pPr>
            <w:r>
              <w:rPr/>
              <w:t>192</w:t>
            </w:r>
          </w:p>
        </w:tc>
        <w:tc>
          <w:tcPr>
            <w:tcW w:w="63" w:type="dxa"/>
            <w:tcBorders/>
            <w:vAlign w:val="bottom"/>
          </w:tcPr>
          <w:p>
            <w:pPr>
              <w:pStyle w:val="TableContents"/>
              <w:bidi w:val="0"/>
              <w:spacing w:before="0" w:after="283"/>
              <w:jc w:val="left"/>
              <w:rPr/>
            </w:pPr>
            <w:r>
              <w:rPr/>
              <w:t> </w:t>
            </w:r>
          </w:p>
        </w:tc>
      </w:tr>
      <w:tr>
        <w:trPr/>
        <w:tc>
          <w:tcPr>
            <w:tcW w:w="3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 net</w:t>
            </w:r>
          </w:p>
        </w:tc>
        <w:tc>
          <w:tcPr>
            <w:tcW w:w="731"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right"/>
              <w:rPr/>
            </w:pPr>
            <w:r>
              <w:rPr/>
              <w:t>21</w:t>
            </w:r>
          </w:p>
        </w:tc>
        <w:tc>
          <w:tcPr>
            <w:tcW w:w="63" w:type="dxa"/>
            <w:tcBorders/>
            <w:shd w:fill="CCEEFF" w:val="clear"/>
            <w:vAlign w:val="bottom"/>
          </w:tcPr>
          <w:p>
            <w:pPr>
              <w:pStyle w:val="TableContents"/>
              <w:bidi w:val="0"/>
              <w:spacing w:before="0" w:after="283"/>
              <w:jc w:val="left"/>
              <w:rPr/>
            </w:pPr>
            <w:r>
              <w:rPr/>
              <w:t> </w:t>
            </w:r>
          </w:p>
        </w:tc>
      </w:tr>
      <w:tr>
        <w:trPr/>
        <w:tc>
          <w:tcPr>
            <w:tcW w:w="3915" w:type="dxa"/>
            <w:tcBorders/>
          </w:tcPr>
          <w:p>
            <w:pPr>
              <w:pStyle w:val="TableContents"/>
              <w:bidi w:val="0"/>
              <w:spacing w:before="0" w:after="0"/>
              <w:jc w:val="left"/>
              <w:rPr>
                <w:rFonts w:ascii="Times New Roman" w:hAnsi="Times New Roman"/>
                <w:sz w:val="20"/>
              </w:rPr>
            </w:pPr>
            <w:r>
              <w:rPr>
                <w:rFonts w:ascii="Times New Roman" w:hAnsi="Times New Roman"/>
                <w:sz w:val="20"/>
              </w:rPr>
              <w:t>Exchange (gains) losses - net</w:t>
            </w:r>
          </w:p>
        </w:tc>
        <w:tc>
          <w:tcPr>
            <w:tcW w:w="731"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c>
          <w:tcPr>
            <w:tcW w:w="3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Non-operating (benefits) costs - net</w:t>
            </w:r>
          </w:p>
        </w:tc>
        <w:tc>
          <w:tcPr>
            <w:tcW w:w="731"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915" w:type="dxa"/>
            <w:tcBorders/>
          </w:tcPr>
          <w:p>
            <w:pPr>
              <w:pStyle w:val="TableContents"/>
              <w:bidi w:val="0"/>
              <w:spacing w:before="0" w:after="0"/>
              <w:jc w:val="left"/>
              <w:rPr>
                <w:rFonts w:ascii="Times New Roman" w:hAnsi="Times New Roman"/>
                <w:sz w:val="20"/>
              </w:rPr>
            </w:pPr>
            <w:r>
              <w:rPr>
                <w:rFonts w:ascii="Times New Roman" w:hAnsi="Times New Roman"/>
                <w:sz w:val="20"/>
              </w:rPr>
              <w:t>Mark-to-market (gains) losses on certain foreign currency contracts not designated as hedges</w:t>
            </w:r>
          </w:p>
        </w:tc>
        <w:tc>
          <w:tcPr>
            <w:tcW w:w="731"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3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Significant items (benefit) charge</w:t>
            </w:r>
          </w:p>
        </w:tc>
        <w:tc>
          <w:tcPr>
            <w:tcW w:w="731"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right"/>
              <w:rPr/>
            </w:pPr>
            <w:r>
              <w:rPr/>
              <w:t>29</w:t>
            </w:r>
          </w:p>
        </w:tc>
        <w:tc>
          <w:tcPr>
            <w:tcW w:w="63" w:type="dxa"/>
            <w:tcBorders/>
            <w:shd w:fill="CCEEFF" w:val="clear"/>
            <w:vAlign w:val="bottom"/>
          </w:tcPr>
          <w:p>
            <w:pPr>
              <w:pStyle w:val="TableContents"/>
              <w:bidi w:val="0"/>
              <w:spacing w:before="0" w:after="283"/>
              <w:jc w:val="left"/>
              <w:rPr/>
            </w:pPr>
            <w:r>
              <w:rPr/>
              <w:t> </w:t>
            </w:r>
          </w:p>
        </w:tc>
      </w:tr>
      <w:tr>
        <w:trPr/>
        <w:tc>
          <w:tcPr>
            <w:tcW w:w="3915" w:type="dxa"/>
            <w:tcBorders/>
          </w:tcPr>
          <w:p>
            <w:pPr>
              <w:pStyle w:val="TableContents"/>
              <w:bidi w:val="0"/>
              <w:spacing w:before="0" w:after="0"/>
              <w:jc w:val="left"/>
              <w:rPr>
                <w:rFonts w:ascii="Times New Roman" w:hAnsi="Times New Roman"/>
                <w:sz w:val="20"/>
              </w:rPr>
            </w:pPr>
            <w:r>
              <w:rPr>
                <w:rFonts w:ascii="Times New Roman" w:hAnsi="Times New Roman"/>
                <w:sz w:val="20"/>
              </w:rPr>
              <w:t>Separation costs</w:t>
            </w:r>
          </w:p>
        </w:tc>
        <w:tc>
          <w:tcPr>
            <w:tcW w:w="731"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3915" w:type="dxa"/>
            <w:tcBorders/>
            <w:vAlign w:val="bottom"/>
          </w:tcPr>
          <w:p>
            <w:pPr>
              <w:pStyle w:val="TableContents"/>
              <w:bidi w:val="0"/>
              <w:spacing w:before="0" w:after="283"/>
              <w:jc w:val="left"/>
              <w:rPr>
                <w:sz w:val="4"/>
                <w:szCs w:val="4"/>
              </w:rPr>
            </w:pPr>
            <w:r>
              <w:rPr>
                <w:sz w:val="4"/>
                <w:szCs w:val="4"/>
              </w:rPr>
            </w:r>
          </w:p>
        </w:tc>
        <w:tc>
          <w:tcPr>
            <w:tcW w:w="731" w:type="dxa"/>
            <w:tcBorders/>
            <w:vAlign w:val="bottom"/>
          </w:tcPr>
          <w:p>
            <w:pPr>
              <w:pStyle w:val="TableContents"/>
              <w:bidi w:val="0"/>
              <w:spacing w:before="0" w:after="283"/>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62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operating EBITDA - Vylor</w:t>
            </w:r>
          </w:p>
        </w:tc>
        <w:tc>
          <w:tcPr>
            <w:tcW w:w="731"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left"/>
              <w:rPr/>
            </w:pPr>
            <w:r>
              <w:rPr/>
              <w:t>$</w:t>
            </w:r>
          </w:p>
        </w:tc>
        <w:tc>
          <w:tcPr>
            <w:tcW w:w="1623" w:type="dxa"/>
            <w:tcBorders/>
            <w:shd w:fill="CCEEFF" w:val="clear"/>
            <w:vAlign w:val="bottom"/>
          </w:tcPr>
          <w:p>
            <w:pPr>
              <w:pStyle w:val="TableContents"/>
              <w:bidi w:val="0"/>
              <w:spacing w:before="0" w:after="283"/>
              <w:jc w:val="right"/>
              <w:rPr/>
            </w:pPr>
            <w:r>
              <w:rPr/>
              <w:t>979</w:t>
            </w:r>
          </w:p>
        </w:tc>
        <w:tc>
          <w:tcPr>
            <w:tcW w:w="63" w:type="dxa"/>
            <w:tcBorders/>
            <w:shd w:fill="CCEEFF" w:val="clear"/>
            <w:vAlign w:val="bottom"/>
          </w:tcPr>
          <w:p>
            <w:pPr>
              <w:pStyle w:val="TableContents"/>
              <w:bidi w:val="0"/>
              <w:spacing w:before="0" w:after="283"/>
              <w:jc w:val="left"/>
              <w:rPr/>
            </w:pPr>
            <w:r>
              <w:rPr/>
              <w:t> </w:t>
            </w:r>
          </w:p>
        </w:tc>
      </w:tr>
      <w:tr>
        <w:trPr/>
        <w:tc>
          <w:tcPr>
            <w:tcW w:w="3915" w:type="dxa"/>
            <w:tcBorders/>
            <w:vAlign w:val="bottom"/>
          </w:tcPr>
          <w:p>
            <w:pPr>
              <w:pStyle w:val="TableContents"/>
              <w:bidi w:val="0"/>
              <w:spacing w:before="0" w:after="283"/>
              <w:jc w:val="left"/>
              <w:rPr>
                <w:sz w:val="4"/>
                <w:szCs w:val="4"/>
              </w:rPr>
            </w:pPr>
            <w:r>
              <w:rPr>
                <w:sz w:val="4"/>
                <w:szCs w:val="4"/>
              </w:rPr>
            </w:r>
          </w:p>
        </w:tc>
        <w:tc>
          <w:tcPr>
            <w:tcW w:w="731" w:type="dxa"/>
            <w:tcBorders/>
            <w:vAlign w:val="bottom"/>
          </w:tcPr>
          <w:p>
            <w:pPr>
              <w:pStyle w:val="TableContents"/>
              <w:bidi w:val="0"/>
              <w:spacing w:before="0" w:after="283"/>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62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3400" w:type="pct"/>
        <w:jc w:val="center"/>
        <w:tblInd w:w="0" w:type="dxa"/>
        <w:tblLayout w:type="fixed"/>
        <w:tblCellMar>
          <w:top w:w="0" w:type="dxa"/>
          <w:left w:w="0" w:type="dxa"/>
          <w:bottom w:w="0" w:type="dxa"/>
          <w:right w:w="0" w:type="dxa"/>
        </w:tblCellMar>
      </w:tblPr>
      <w:tblGrid>
        <w:gridCol w:w="4257"/>
        <w:gridCol w:w="648"/>
        <w:gridCol w:w="394"/>
        <w:gridCol w:w="1577"/>
        <w:gridCol w:w="63"/>
      </w:tblGrid>
      <w:tr>
        <w:trPr/>
        <w:tc>
          <w:tcPr>
            <w:tcW w:w="4257" w:type="dxa"/>
            <w:tcBorders/>
            <w:vAlign w:val="center"/>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5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w:t>
            </w:r>
          </w:p>
        </w:tc>
        <w:tc>
          <w:tcPr>
            <w:tcW w:w="648" w:type="dxa"/>
            <w:tcBorders/>
            <w:vAlign w:val="bottom"/>
          </w:tcPr>
          <w:p>
            <w:pPr>
              <w:pStyle w:val="TableContents"/>
              <w:bidi w:val="0"/>
              <w:spacing w:before="0" w:after="283"/>
              <w:jc w:val="left"/>
              <w:rPr/>
            </w:pPr>
            <w:r>
              <w:rPr/>
              <w:t>  </w:t>
            </w:r>
          </w:p>
        </w:tc>
        <w:tc>
          <w:tcPr>
            <w:tcW w:w="1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3" w:type="dxa"/>
            <w:tcBorders/>
            <w:vAlign w:val="bottom"/>
          </w:tcPr>
          <w:p>
            <w:pPr>
              <w:pStyle w:val="TableContents"/>
              <w:bidi w:val="0"/>
              <w:spacing w:before="0" w:after="283"/>
              <w:jc w:val="left"/>
              <w:rPr/>
            </w:pPr>
            <w:r>
              <w:rPr/>
              <w:t> </w:t>
            </w:r>
          </w:p>
        </w:tc>
      </w:tr>
      <w:tr>
        <w:trPr/>
        <w:tc>
          <w:tcPr>
            <w:tcW w:w="4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income from continuing operations - Vylor</w:t>
            </w:r>
          </w:p>
        </w:tc>
        <w:tc>
          <w:tcPr>
            <w:tcW w:w="64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w:t>
            </w:r>
          </w:p>
        </w:tc>
        <w:tc>
          <w:tcPr>
            <w:tcW w:w="1577" w:type="dxa"/>
            <w:tcBorders/>
            <w:shd w:fill="CCEEFF" w:val="clear"/>
            <w:vAlign w:val="bottom"/>
          </w:tcPr>
          <w:p>
            <w:pPr>
              <w:pStyle w:val="TableContents"/>
              <w:bidi w:val="0"/>
              <w:spacing w:before="0" w:after="283"/>
              <w:jc w:val="right"/>
              <w:rPr/>
            </w:pPr>
            <w:r>
              <w:rPr/>
              <w:t>243</w:t>
            </w:r>
          </w:p>
        </w:tc>
        <w:tc>
          <w:tcPr>
            <w:tcW w:w="63" w:type="dxa"/>
            <w:tcBorders/>
            <w:shd w:fill="CCEEFF" w:val="clear"/>
            <w:vAlign w:val="bottom"/>
          </w:tcPr>
          <w:p>
            <w:pPr>
              <w:pStyle w:val="TableContents"/>
              <w:bidi w:val="0"/>
              <w:spacing w:before="0" w:after="283"/>
              <w:jc w:val="left"/>
              <w:rPr/>
            </w:pPr>
            <w:r>
              <w:rPr/>
              <w:t> </w:t>
            </w:r>
          </w:p>
        </w:tc>
      </w:tr>
      <w:tr>
        <w:trPr/>
        <w:tc>
          <w:tcPr>
            <w:tcW w:w="4257"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 on continuing operations - Vylor</w:t>
            </w:r>
          </w:p>
        </w:tc>
        <w:tc>
          <w:tcPr>
            <w:tcW w:w="64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577" w:type="dxa"/>
            <w:tcBorders/>
            <w:vAlign w:val="bottom"/>
          </w:tcPr>
          <w:p>
            <w:pPr>
              <w:pStyle w:val="TableContents"/>
              <w:bidi w:val="0"/>
              <w:spacing w:before="0" w:after="283"/>
              <w:jc w:val="right"/>
              <w:rPr/>
            </w:pPr>
            <w:r>
              <w:rPr/>
              <w:t>259</w:t>
            </w:r>
          </w:p>
        </w:tc>
        <w:tc>
          <w:tcPr>
            <w:tcW w:w="63" w:type="dxa"/>
            <w:tcBorders/>
            <w:vAlign w:val="bottom"/>
          </w:tcPr>
          <w:p>
            <w:pPr>
              <w:pStyle w:val="TableContents"/>
              <w:bidi w:val="0"/>
              <w:spacing w:before="0" w:after="283"/>
              <w:jc w:val="left"/>
              <w:rPr/>
            </w:pPr>
            <w:r>
              <w:rPr/>
              <w:t> </w:t>
            </w:r>
          </w:p>
        </w:tc>
      </w:tr>
      <w:tr>
        <w:trPr/>
        <w:tc>
          <w:tcPr>
            <w:tcW w:w="4257" w:type="dxa"/>
            <w:tcBorders/>
            <w:vAlign w:val="bottom"/>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income (loss) before income taxes from continuing operations - Vylor</w:t>
            </w:r>
          </w:p>
        </w:tc>
        <w:tc>
          <w:tcPr>
            <w:tcW w:w="64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w:t>
            </w:r>
          </w:p>
        </w:tc>
        <w:tc>
          <w:tcPr>
            <w:tcW w:w="1577" w:type="dxa"/>
            <w:tcBorders/>
            <w:shd w:fill="CCEEFF" w:val="clear"/>
            <w:vAlign w:val="bottom"/>
          </w:tcPr>
          <w:p>
            <w:pPr>
              <w:pStyle w:val="TableContents"/>
              <w:bidi w:val="0"/>
              <w:spacing w:before="0" w:after="283"/>
              <w:jc w:val="right"/>
              <w:rPr/>
            </w:pPr>
            <w:r>
              <w:rPr/>
              <w:t>502</w:t>
            </w:r>
          </w:p>
        </w:tc>
        <w:tc>
          <w:tcPr>
            <w:tcW w:w="63" w:type="dxa"/>
            <w:tcBorders/>
            <w:shd w:fill="CCEEFF" w:val="clear"/>
            <w:vAlign w:val="bottom"/>
          </w:tcPr>
          <w:p>
            <w:pPr>
              <w:pStyle w:val="TableContents"/>
              <w:bidi w:val="0"/>
              <w:spacing w:before="0" w:after="283"/>
              <w:jc w:val="left"/>
              <w:rPr/>
            </w:pPr>
            <w:r>
              <w:rPr/>
              <w:t> </w:t>
            </w:r>
          </w:p>
        </w:tc>
      </w:tr>
      <w:tr>
        <w:trPr/>
        <w:tc>
          <w:tcPr>
            <w:tcW w:w="4257" w:type="dxa"/>
            <w:tcBorders/>
            <w:vAlign w:val="bottom"/>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25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4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577" w:type="dxa"/>
            <w:tcBorders/>
            <w:vAlign w:val="bottom"/>
          </w:tcPr>
          <w:p>
            <w:pPr>
              <w:pStyle w:val="TableContents"/>
              <w:bidi w:val="0"/>
              <w:spacing w:before="0" w:after="283"/>
              <w:jc w:val="right"/>
              <w:rPr/>
            </w:pPr>
            <w:r>
              <w:rPr/>
              <w:t>781</w:t>
            </w:r>
          </w:p>
        </w:tc>
        <w:tc>
          <w:tcPr>
            <w:tcW w:w="63" w:type="dxa"/>
            <w:tcBorders/>
            <w:vAlign w:val="bottom"/>
          </w:tcPr>
          <w:p>
            <w:pPr>
              <w:pStyle w:val="TableContents"/>
              <w:bidi w:val="0"/>
              <w:spacing w:before="0" w:after="283"/>
              <w:jc w:val="left"/>
              <w:rPr/>
            </w:pPr>
            <w:r>
              <w:rPr/>
              <w:t> </w:t>
            </w:r>
          </w:p>
        </w:tc>
      </w:tr>
      <w:tr>
        <w:trPr/>
        <w:tc>
          <w:tcPr>
            <w:tcW w:w="4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 net</w:t>
            </w:r>
          </w:p>
        </w:tc>
        <w:tc>
          <w:tcPr>
            <w:tcW w:w="64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577" w:type="dxa"/>
            <w:tcBorders/>
            <w:shd w:fill="CCEEFF" w:val="clear"/>
            <w:vAlign w:val="bottom"/>
          </w:tcPr>
          <w:p>
            <w:pPr>
              <w:pStyle w:val="TableContents"/>
              <w:bidi w:val="0"/>
              <w:spacing w:before="0" w:after="283"/>
              <w:jc w:val="right"/>
              <w:rPr/>
            </w:pPr>
            <w:r>
              <w:rPr/>
              <w:t>119</w:t>
            </w:r>
          </w:p>
        </w:tc>
        <w:tc>
          <w:tcPr>
            <w:tcW w:w="63" w:type="dxa"/>
            <w:tcBorders/>
            <w:shd w:fill="CCEEFF" w:val="clear"/>
            <w:vAlign w:val="bottom"/>
          </w:tcPr>
          <w:p>
            <w:pPr>
              <w:pStyle w:val="TableContents"/>
              <w:bidi w:val="0"/>
              <w:spacing w:before="0" w:after="283"/>
              <w:jc w:val="left"/>
              <w:rPr/>
            </w:pPr>
            <w:r>
              <w:rPr/>
              <w:t> </w:t>
            </w:r>
          </w:p>
        </w:tc>
      </w:tr>
      <w:tr>
        <w:trPr/>
        <w:tc>
          <w:tcPr>
            <w:tcW w:w="4257" w:type="dxa"/>
            <w:tcBorders/>
          </w:tcPr>
          <w:p>
            <w:pPr>
              <w:pStyle w:val="TableContents"/>
              <w:bidi w:val="0"/>
              <w:spacing w:before="0" w:after="0"/>
              <w:jc w:val="left"/>
              <w:rPr>
                <w:rFonts w:ascii="Times New Roman" w:hAnsi="Times New Roman"/>
                <w:sz w:val="20"/>
              </w:rPr>
            </w:pPr>
            <w:r>
              <w:rPr>
                <w:rFonts w:ascii="Times New Roman" w:hAnsi="Times New Roman"/>
                <w:sz w:val="20"/>
              </w:rPr>
              <w:t>Exchange (gains) losses - net</w:t>
            </w:r>
          </w:p>
        </w:tc>
        <w:tc>
          <w:tcPr>
            <w:tcW w:w="64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577" w:type="dxa"/>
            <w:tcBorders/>
            <w:vAlign w:val="bottom"/>
          </w:tcPr>
          <w:p>
            <w:pPr>
              <w:pStyle w:val="TableContents"/>
              <w:bidi w:val="0"/>
              <w:spacing w:before="0" w:after="283"/>
              <w:jc w:val="right"/>
              <w:rPr/>
            </w:pPr>
            <w:r>
              <w:rPr/>
              <w:t>143</w:t>
            </w:r>
          </w:p>
        </w:tc>
        <w:tc>
          <w:tcPr>
            <w:tcW w:w="63" w:type="dxa"/>
            <w:tcBorders/>
            <w:vAlign w:val="bottom"/>
          </w:tcPr>
          <w:p>
            <w:pPr>
              <w:pStyle w:val="TableContents"/>
              <w:bidi w:val="0"/>
              <w:spacing w:before="0" w:after="283"/>
              <w:jc w:val="left"/>
              <w:rPr/>
            </w:pPr>
            <w:r>
              <w:rPr/>
              <w:t> </w:t>
            </w:r>
          </w:p>
        </w:tc>
      </w:tr>
      <w:tr>
        <w:trPr/>
        <w:tc>
          <w:tcPr>
            <w:tcW w:w="4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Non-operating (benefits) costs - net</w:t>
            </w:r>
          </w:p>
        </w:tc>
        <w:tc>
          <w:tcPr>
            <w:tcW w:w="64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577" w:type="dxa"/>
            <w:tcBorders/>
            <w:shd w:fill="CCEEFF" w:val="clear"/>
            <w:vAlign w:val="bottom"/>
          </w:tcPr>
          <w:p>
            <w:pPr>
              <w:pStyle w:val="TableContents"/>
              <w:bidi w:val="0"/>
              <w:spacing w:before="0" w:after="283"/>
              <w:jc w:val="right"/>
              <w:rPr/>
            </w:pPr>
            <w:r>
              <w:rPr/>
              <w:t>3</w:t>
            </w:r>
          </w:p>
        </w:tc>
        <w:tc>
          <w:tcPr>
            <w:tcW w:w="63" w:type="dxa"/>
            <w:tcBorders/>
            <w:shd w:fill="CCEEFF" w:val="clear"/>
            <w:vAlign w:val="bottom"/>
          </w:tcPr>
          <w:p>
            <w:pPr>
              <w:pStyle w:val="TableContents"/>
              <w:bidi w:val="0"/>
              <w:spacing w:before="0" w:after="283"/>
              <w:jc w:val="left"/>
              <w:rPr/>
            </w:pPr>
            <w:r>
              <w:rPr/>
              <w:t> </w:t>
            </w:r>
          </w:p>
        </w:tc>
      </w:tr>
      <w:tr>
        <w:trPr/>
        <w:tc>
          <w:tcPr>
            <w:tcW w:w="4257" w:type="dxa"/>
            <w:tcBorders/>
          </w:tcPr>
          <w:p>
            <w:pPr>
              <w:pStyle w:val="TableContents"/>
              <w:bidi w:val="0"/>
              <w:spacing w:before="0" w:after="0"/>
              <w:jc w:val="left"/>
              <w:rPr>
                <w:rFonts w:ascii="Times New Roman" w:hAnsi="Times New Roman"/>
                <w:sz w:val="20"/>
              </w:rPr>
            </w:pPr>
            <w:r>
              <w:rPr>
                <w:rFonts w:ascii="Times New Roman" w:hAnsi="Times New Roman"/>
                <w:sz w:val="20"/>
              </w:rPr>
              <w:t>Mark-to-market (gains) losses on certain foreign currency contracts not designated as hedges</w:t>
            </w:r>
          </w:p>
        </w:tc>
        <w:tc>
          <w:tcPr>
            <w:tcW w:w="64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577"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Significant items (benefit) charge</w:t>
            </w:r>
          </w:p>
        </w:tc>
        <w:tc>
          <w:tcPr>
            <w:tcW w:w="64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577" w:type="dxa"/>
            <w:tcBorders/>
            <w:shd w:fill="CCEEFF" w:val="clear"/>
            <w:vAlign w:val="bottom"/>
          </w:tcPr>
          <w:p>
            <w:pPr>
              <w:pStyle w:val="TableContents"/>
              <w:bidi w:val="0"/>
              <w:spacing w:before="0" w:after="283"/>
              <w:jc w:val="right"/>
              <w:rPr/>
            </w:pPr>
            <w:r>
              <w:rPr/>
              <w:t>650</w:t>
            </w:r>
          </w:p>
        </w:tc>
        <w:tc>
          <w:tcPr>
            <w:tcW w:w="63" w:type="dxa"/>
            <w:tcBorders/>
            <w:shd w:fill="CCEEFF" w:val="clear"/>
            <w:vAlign w:val="bottom"/>
          </w:tcPr>
          <w:p>
            <w:pPr>
              <w:pStyle w:val="TableContents"/>
              <w:bidi w:val="0"/>
              <w:spacing w:before="0" w:after="283"/>
              <w:jc w:val="left"/>
              <w:rPr/>
            </w:pPr>
            <w:r>
              <w:rPr/>
              <w:t> </w:t>
            </w:r>
          </w:p>
        </w:tc>
      </w:tr>
      <w:tr>
        <w:trPr/>
        <w:tc>
          <w:tcPr>
            <w:tcW w:w="4257" w:type="dxa"/>
            <w:tcBorders/>
          </w:tcPr>
          <w:p>
            <w:pPr>
              <w:pStyle w:val="TableContents"/>
              <w:bidi w:val="0"/>
              <w:spacing w:before="0" w:after="0"/>
              <w:jc w:val="left"/>
              <w:rPr>
                <w:rFonts w:ascii="Times New Roman" w:hAnsi="Times New Roman"/>
                <w:sz w:val="20"/>
              </w:rPr>
            </w:pPr>
            <w:r>
              <w:rPr>
                <w:rFonts w:ascii="Times New Roman" w:hAnsi="Times New Roman"/>
                <w:sz w:val="20"/>
              </w:rPr>
              <w:t>Separation costs</w:t>
            </w:r>
          </w:p>
        </w:tc>
        <w:tc>
          <w:tcPr>
            <w:tcW w:w="64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577" w:type="dxa"/>
            <w:tcBorders/>
            <w:vAlign w:val="bottom"/>
          </w:tcPr>
          <w:p>
            <w:pPr>
              <w:pStyle w:val="TableContents"/>
              <w:bidi w:val="0"/>
              <w:spacing w:before="0" w:after="283"/>
              <w:jc w:val="right"/>
              <w:rPr/>
            </w:pPr>
            <w:r>
              <w:rPr/>
              <w:t>305</w:t>
            </w:r>
          </w:p>
        </w:tc>
        <w:tc>
          <w:tcPr>
            <w:tcW w:w="63" w:type="dxa"/>
            <w:tcBorders/>
            <w:vAlign w:val="bottom"/>
          </w:tcPr>
          <w:p>
            <w:pPr>
              <w:pStyle w:val="TableContents"/>
              <w:bidi w:val="0"/>
              <w:spacing w:before="0" w:after="283"/>
              <w:jc w:val="left"/>
              <w:rPr/>
            </w:pPr>
            <w:r>
              <w:rPr/>
              <w:t> </w:t>
            </w:r>
          </w:p>
        </w:tc>
      </w:tr>
      <w:tr>
        <w:trPr/>
        <w:tc>
          <w:tcPr>
            <w:tcW w:w="4257" w:type="dxa"/>
            <w:tcBorders/>
            <w:vAlign w:val="bottom"/>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operating EBITDA - Vylor</w:t>
            </w:r>
          </w:p>
        </w:tc>
        <w:tc>
          <w:tcPr>
            <w:tcW w:w="64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w:t>
            </w:r>
          </w:p>
        </w:tc>
        <w:tc>
          <w:tcPr>
            <w:tcW w:w="1577" w:type="dxa"/>
            <w:tcBorders/>
            <w:shd w:fill="CCEEFF" w:val="clear"/>
            <w:vAlign w:val="bottom"/>
          </w:tcPr>
          <w:p>
            <w:pPr>
              <w:pStyle w:val="TableContents"/>
              <w:bidi w:val="0"/>
              <w:spacing w:before="0" w:after="283"/>
              <w:jc w:val="right"/>
              <w:rPr/>
            </w:pPr>
            <w:r>
              <w:rPr/>
              <w:t>2,503</w:t>
            </w:r>
          </w:p>
        </w:tc>
        <w:tc>
          <w:tcPr>
            <w:tcW w:w="63" w:type="dxa"/>
            <w:tcBorders/>
            <w:shd w:fill="CCEEFF" w:val="clear"/>
            <w:vAlign w:val="bottom"/>
          </w:tcPr>
          <w:p>
            <w:pPr>
              <w:pStyle w:val="TableContents"/>
              <w:bidi w:val="0"/>
              <w:spacing w:before="0" w:after="283"/>
              <w:jc w:val="left"/>
              <w:rPr/>
            </w:pPr>
            <w:r>
              <w:rPr/>
              <w:t> </w:t>
            </w:r>
          </w:p>
        </w:tc>
      </w:tr>
      <w:tr>
        <w:trPr/>
        <w:tc>
          <w:tcPr>
            <w:tcW w:w="4257" w:type="dxa"/>
            <w:tcBorders/>
            <w:vAlign w:val="bottom"/>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right"/>
        <w:rPr>
          <w:rFonts w:ascii="Times New Roman" w:hAnsi="Times New Roman"/>
          <w:b/>
          <w:sz w:val="20"/>
        </w:rPr>
      </w:pPr>
      <w:bookmarkStart w:id="4" w:name="d140402dex992.htm"/>
      <w:bookmarkStart w:id="5" w:name="ksd140402dex992"/>
      <w:bookmarkEnd w:id="4"/>
      <w:bookmarkEnd w:id="5"/>
      <w:r>
        <w:rPr>
          <w:rFonts w:ascii="Times New Roman" w:hAnsi="Times New Roman"/>
          <w:b/>
          <w:sz w:val="20"/>
        </w:rPr>
        <w:t xml:space="preserve">Exhibit 99.2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FOR IMMEDIATE RELEASE </w:t>
      </w:r>
    </w:p>
    <w:p>
      <w:pPr>
        <w:pStyle w:val="TextBody"/>
        <w:bidi w:val="0"/>
        <w:spacing w:before="240" w:after="0"/>
        <w:jc w:val="left"/>
        <w:rPr>
          <w:rFonts w:ascii="Times New Roman" w:hAnsi="Times New Roman"/>
          <w:b/>
          <w:sz w:val="28"/>
        </w:rPr>
      </w:pPr>
      <w:r>
        <w:rPr>
          <w:rFonts w:ascii="Times New Roman" w:hAnsi="Times New Roman"/>
          <w:b/>
          <w:sz w:val="28"/>
        </w:rPr>
        <w:t xml:space="preserve">Corteva Announces Private Exchange Offers and Consent Solicitations for EIDP’s 2.300% Senior Notes Due 2030, 5.125% Senior Notes Due 2032 and 4.800% Senior Notes Due 2033 </w:t>
      </w:r>
    </w:p>
    <w:p>
      <w:pPr>
        <w:pStyle w:val="TextBody"/>
        <w:bidi w:val="0"/>
        <w:spacing w:before="240" w:after="0"/>
        <w:jc w:val="left"/>
        <w:rPr>
          <w:rFonts w:ascii="Times New Roman" w:hAnsi="Times New Roman"/>
          <w:sz w:val="20"/>
        </w:rPr>
      </w:pPr>
      <w:r>
        <w:rPr>
          <w:rFonts w:ascii="Times New Roman" w:hAnsi="Times New Roman"/>
          <w:b/>
          <w:sz w:val="20"/>
        </w:rPr>
        <w:t>INDIANAPOLIS – August</w:t>
      </w:r>
      <w:r>
        <w:rPr>
          <w:rFonts w:ascii="Times New Roman" w:hAnsi="Times New Roman"/>
          <w:sz w:val="20"/>
        </w:rPr>
        <w:t> </w:t>
      </w:r>
      <w:r>
        <w:rPr>
          <w:rFonts w:ascii="Times New Roman" w:hAnsi="Times New Roman"/>
          <w:b/>
          <w:sz w:val="20"/>
        </w:rPr>
        <w:t>6, 2026</w:t>
      </w:r>
      <w:r>
        <w:rPr>
          <w:rFonts w:ascii="Times New Roman" w:hAnsi="Times New Roman"/>
          <w:sz w:val="20"/>
        </w:rPr>
        <w:t xml:space="preserve"> – Corteva, Inc. (NYSE: CTVA) announced today that Vylor Inc., a Delaware corporation and its wholly owned subsidiary (“Vylor”), has commenced private offers to exchange (with respect to each series, an “Exchange Offer” and together, the “Exchange Offers”) any and all of the outstanding senior notes of the series listed in the table below issued by EIDP, Inc., a Delaware corporation and a wholly owned subsidiary of Corteva (“EIDP” and such notes, collectively, the “EIDP Notes”), to the extent held by eligible holders, for a corresponding series of notes to be newly issued by Vylor (collectively, the “Vylor Notes”). As previously disclosed, Corteva’s Board of Directors is pursuing a plan to separate Corteva into two independent, publicly traded companies, one comprising its current crop protection business and the other comprising its current seed business to be owned and conducted, directly or indirectly, by Vylor (the “Separation”). The Exchange Offers and Consent Solicitations (as defined below) are being made in connection with the planned Separation. Each Exchange Offer and Consent Solicitation is conditioned upon, among other things, consummation of the Separation and the receipt, by the applicable Early Tender Deadline (as defined below), of the Requisite Consents (as defined below) to the Proposed EIDP Base Indenture Amendments (as defined below). The Separation is subject to the satisfaction or waiver of certain customary conditions, and Corteva’s Board of Directors has the discretion to abandon or to alter the terms of the planned Separation. As publicly announced by Corteva on July 30, 2026, the Separation is currently expected to be consummated on or about October 1, 2026, subject to satisfaction or waiver of the conditions thereto.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Offers and Consent Solicitations are being made upon the terms and conditions set forth in an exchange offer memorandum and consent solicitation statement, dated August 6, 2026 (the “Offering Memorandum”), copies of which will be made available to holders of the EIDP Notes eligible to participate in the Exchange Offers and Consent Solicitations. </w:t>
      </w:r>
    </w:p>
    <w:p>
      <w:pPr>
        <w:pStyle w:val="TextBody"/>
        <w:bidi w:val="0"/>
        <w:spacing w:before="240" w:after="0"/>
        <w:jc w:val="left"/>
        <w:rPr>
          <w:rFonts w:ascii="Times New Roman" w:hAnsi="Times New Roman"/>
          <w:sz w:val="20"/>
        </w:rPr>
      </w:pPr>
      <w:r>
        <w:rPr>
          <w:rFonts w:ascii="Times New Roman" w:hAnsi="Times New Roman"/>
          <w:sz w:val="20"/>
        </w:rPr>
        <w:t xml:space="preserve">The Vylor Notes will have the same interest payment dates, maturity date and interest rate as the EIDP Notes of the corresponding series. In addition to the Vylor Notes, eligible holders of EIDP Notes tendered by the applicable Early Tender Deadline and not validly withdrawn before the applicable Withdrawal Deadline (as defined below) will also receive the applicable Cash Consideration (as defined below). The following table sets forth the applicable Total Exchange Consideration (as defined below), which includes the Cash Consideration, and the applicable Exchange Consideration (as defined below) being offered for a series of EIDP Notes: </w:t>
      </w:r>
    </w:p>
    <w:p>
      <w:pPr>
        <w:pStyle w:val="TextBody"/>
        <w:bidi w:val="0"/>
        <w:spacing w:before="0" w:after="0"/>
        <w:jc w:val="left"/>
        <w:rPr/>
      </w:pPr>
      <w:r>
        <w:rPr/>
        <w:t> </w:t>
      </w:r>
    </w:p>
    <w:tbl>
      <w:tblPr>
        <w:tblW w:w="12395" w:type="dxa"/>
        <w:jc w:val="center"/>
        <w:tblInd w:w="0" w:type="dxa"/>
        <w:tblLayout w:type="fixed"/>
        <w:tblCellMar>
          <w:top w:w="0" w:type="dxa"/>
          <w:left w:w="0" w:type="dxa"/>
          <w:bottom w:w="0" w:type="dxa"/>
          <w:right w:w="0" w:type="dxa"/>
        </w:tblCellMar>
      </w:tblPr>
      <w:tblGrid>
        <w:gridCol w:w="665"/>
        <w:gridCol w:w="120"/>
        <w:gridCol w:w="1625"/>
        <w:gridCol w:w="120"/>
        <w:gridCol w:w="212"/>
        <w:gridCol w:w="1848"/>
        <w:gridCol w:w="60"/>
        <w:gridCol w:w="120"/>
        <w:gridCol w:w="2045"/>
        <w:gridCol w:w="120"/>
        <w:gridCol w:w="150"/>
        <w:gridCol w:w="1700"/>
        <w:gridCol w:w="60"/>
        <w:gridCol w:w="120"/>
        <w:gridCol w:w="1400"/>
        <w:gridCol w:w="120"/>
        <w:gridCol w:w="197"/>
        <w:gridCol w:w="1653"/>
        <w:gridCol w:w="60"/>
      </w:tblGrid>
      <w:tr>
        <w:trPr/>
        <w:tc>
          <w:tcPr>
            <w:tcW w:w="6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30" w:type="dxa"/>
            <w:gridSpan w:val="5"/>
            <w:tcBorders>
              <w:bottom w:val="single" w:sz="8" w:space="0" w:color="000000"/>
            </w:tcBorders>
            <w:tcMar>
              <w:bottom w:w="28" w:type="dxa"/>
            </w:tcMar>
            <w:vAlign w:val="bottom"/>
          </w:tcPr>
          <w:p>
            <w:pPr>
              <w:pStyle w:val="TableContents"/>
              <w:bidi w:val="0"/>
              <w:spacing w:before="0" w:after="283"/>
              <w:jc w:val="center"/>
              <w:rPr/>
            </w:pPr>
            <w:r>
              <w:rPr>
                <w:b/>
              </w:rPr>
              <w:t>Total Exchange</w:t>
            </w:r>
            <w:r>
              <w:rPr/>
              <w:br/>
            </w:r>
            <w:r>
              <w:rPr>
                <w:b/>
              </w:rPr>
              <w:t>Consideration for</w:t>
            </w:r>
            <w:r>
              <w:rPr/>
              <w:br/>
            </w:r>
            <w:r>
              <w:rPr>
                <w:b/>
              </w:rPr>
              <w:t>EIDP Notes Validly</w:t>
            </w:r>
            <w:r>
              <w:rPr/>
              <w:br/>
            </w:r>
            <w:r>
              <w:rPr>
                <w:b/>
              </w:rPr>
              <w:t>Tendered by the</w:t>
            </w:r>
            <w:r>
              <w:rPr/>
              <w:br/>
            </w:r>
            <w:r>
              <w:rPr>
                <w:b/>
              </w:rPr>
              <w:t>Early Tender</w:t>
            </w:r>
            <w:r>
              <w:rPr/>
              <w:br/>
            </w:r>
            <w:r>
              <w:rPr>
                <w:b/>
              </w:rPr>
              <w:t>Deadline and Not</w:t>
            </w:r>
            <w:r>
              <w:rPr/>
              <w:br/>
            </w:r>
            <w:r>
              <w:rPr>
                <w:b/>
              </w:rPr>
              <w:t>Validly Withdrawn by</w:t>
            </w:r>
            <w:r>
              <w:rPr/>
              <w:br/>
            </w:r>
            <w:r>
              <w:rPr>
                <w:b/>
              </w:rPr>
              <w:t>the Withdrawal</w:t>
            </w:r>
            <w:r>
              <w:rPr/>
              <w:br/>
            </w:r>
            <w:r>
              <w:rPr>
                <w:b/>
              </w:rPr>
              <w:t>Deadline</w:t>
            </w:r>
          </w:p>
        </w:tc>
        <w:tc>
          <w:tcPr>
            <w:tcW w:w="120" w:type="dxa"/>
            <w:tcBorders/>
            <w:vAlign w:val="bottom"/>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bottom"/>
          </w:tcPr>
          <w:p>
            <w:pPr>
              <w:pStyle w:val="TableContents"/>
              <w:bidi w:val="0"/>
              <w:spacing w:before="0" w:after="283"/>
              <w:jc w:val="center"/>
              <w:rPr/>
            </w:pPr>
            <w:r>
              <w:rPr>
                <w:b/>
              </w:rPr>
              <w:t>Exchange</w:t>
            </w:r>
            <w:r>
              <w:rPr/>
              <w:br/>
            </w:r>
            <w:r>
              <w:rPr>
                <w:b/>
              </w:rPr>
              <w:t>Consideration</w:t>
            </w:r>
            <w:r>
              <w:rPr/>
              <w:br/>
            </w:r>
            <w:r>
              <w:rPr>
                <w:b/>
              </w:rPr>
              <w:t>for EIDP Notes</w:t>
            </w:r>
            <w:r>
              <w:rPr/>
              <w:br/>
            </w:r>
            <w:r>
              <w:rPr>
                <w:b/>
              </w:rPr>
              <w:t>Validly</w:t>
            </w:r>
            <w:r>
              <w:rPr/>
              <w:br/>
            </w:r>
            <w:r>
              <w:rPr>
                <w:b/>
              </w:rPr>
              <w:t>Tendered After</w:t>
            </w:r>
            <w:r>
              <w:rPr/>
              <w:br/>
            </w:r>
            <w:r>
              <w:rPr>
                <w:b/>
              </w:rPr>
              <w:t>the Early</w:t>
            </w:r>
            <w:r>
              <w:rPr/>
              <w:br/>
            </w:r>
            <w:r>
              <w:rPr>
                <w:b/>
              </w:rPr>
              <w:t>Tender</w:t>
            </w:r>
            <w:r>
              <w:rPr/>
              <w:br/>
            </w:r>
            <w:r>
              <w:rPr>
                <w:b/>
              </w:rPr>
              <w:t>Deadline</w:t>
            </w:r>
          </w:p>
        </w:tc>
        <w:tc>
          <w:tcPr>
            <w:tcW w:w="60" w:type="dxa"/>
            <w:tcBorders/>
            <w:vAlign w:val="bottom"/>
          </w:tcPr>
          <w:p>
            <w:pPr>
              <w:pStyle w:val="TableContents"/>
              <w:bidi w:val="0"/>
              <w:spacing w:before="0" w:after="283"/>
              <w:jc w:val="left"/>
              <w:rPr/>
            </w:pPr>
            <w:r>
              <w:rPr/>
              <w:t> </w:t>
            </w:r>
          </w:p>
        </w:tc>
      </w:tr>
      <w:tr>
        <w:trPr/>
        <w:tc>
          <w:tcPr>
            <w:tcW w:w="665"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Title of</w:t>
            </w:r>
          </w:p>
          <w:p>
            <w:pPr>
              <w:pStyle w:val="TableContents"/>
              <w:bidi w:val="0"/>
              <w:spacing w:before="0" w:after="0"/>
              <w:jc w:val="left"/>
              <w:rPr>
                <w:rFonts w:ascii="Times New Roman" w:hAnsi="Times New Roman"/>
                <w:b/>
                <w:sz w:val="18"/>
              </w:rPr>
            </w:pPr>
            <w:r>
              <w:rPr>
                <w:rFonts w:ascii="Times New Roman" w:hAnsi="Times New Roman"/>
                <w:b/>
                <w:sz w:val="18"/>
              </w:rPr>
              <w:t>Series of</w:t>
            </w:r>
          </w:p>
          <w:p>
            <w:pPr>
              <w:pStyle w:val="TableContents"/>
              <w:bidi w:val="0"/>
              <w:spacing w:before="0" w:after="0"/>
              <w:jc w:val="left"/>
              <w:rPr>
                <w:rFonts w:ascii="Times New Roman" w:hAnsi="Times New Roman"/>
                <w:b/>
                <w:sz w:val="18"/>
              </w:rPr>
            </w:pPr>
            <w:r>
              <w:rPr>
                <w:rFonts w:ascii="Times New Roman" w:hAnsi="Times New Roman"/>
                <w:b/>
                <w:sz w:val="18"/>
              </w:rPr>
              <w:t>EIDP</w:t>
            </w:r>
          </w:p>
          <w:p>
            <w:pPr>
              <w:pStyle w:val="TableContents"/>
              <w:pBdr>
                <w:bottom w:val="single" w:sz="8" w:space="1" w:color="000000"/>
              </w:pBdr>
              <w:bidi w:val="0"/>
              <w:spacing w:before="0" w:after="20"/>
              <w:jc w:val="left"/>
              <w:rPr>
                <w:rFonts w:ascii="Times New Roman" w:hAnsi="Times New Roman"/>
                <w:b/>
                <w:sz w:val="18"/>
              </w:rPr>
            </w:pPr>
            <w:r>
              <w:rPr>
                <w:rFonts w:ascii="Times New Roman" w:hAnsi="Times New Roman"/>
                <w:b/>
                <w:sz w:val="18"/>
              </w:rPr>
              <w:t>Notes</w:t>
            </w:r>
          </w:p>
        </w:tc>
        <w:tc>
          <w:tcPr>
            <w:tcW w:w="120" w:type="dxa"/>
            <w:tcBorders/>
            <w:vAlign w:val="bottom"/>
          </w:tcPr>
          <w:p>
            <w:pPr>
              <w:pStyle w:val="TableContents"/>
              <w:bidi w:val="0"/>
              <w:spacing w:before="0" w:after="283"/>
              <w:jc w:val="left"/>
              <w:rPr/>
            </w:pPr>
            <w:r>
              <w:rPr/>
              <w:t>  </w:t>
            </w:r>
          </w:p>
        </w:tc>
        <w:tc>
          <w:tcPr>
            <w:tcW w:w="1625" w:type="dxa"/>
            <w:tcBorders>
              <w:bottom w:val="single" w:sz="8" w:space="0" w:color="000000"/>
            </w:tcBorders>
            <w:tcMar>
              <w:bottom w:w="28" w:type="dxa"/>
            </w:tcMar>
            <w:vAlign w:val="bottom"/>
          </w:tcPr>
          <w:p>
            <w:pPr>
              <w:pStyle w:val="TableContents"/>
              <w:bidi w:val="0"/>
              <w:spacing w:before="0" w:after="283"/>
              <w:jc w:val="center"/>
              <w:rPr/>
            </w:pPr>
            <w:r>
              <w:rPr>
                <w:b/>
              </w:rPr>
              <w:t>CUSIP No.</w:t>
            </w:r>
            <w:r>
              <w:rPr/>
              <w:br/>
            </w:r>
            <w:r>
              <w:rPr>
                <w:b/>
              </w:rPr>
              <w:t>and ISIN of</w:t>
            </w:r>
            <w:r>
              <w:rPr/>
              <w:br/>
            </w:r>
            <w:r>
              <w:rPr>
                <w:b/>
              </w:rPr>
              <w:t>EIDP Notes</w:t>
            </w:r>
          </w:p>
        </w:tc>
        <w:tc>
          <w:tcPr>
            <w:tcW w:w="120" w:type="dxa"/>
            <w:tcBorders/>
            <w:vAlign w:val="bottom"/>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 Principal</w:t>
            </w:r>
            <w:r>
              <w:rPr/>
              <w:br/>
            </w:r>
            <w:r>
              <w:rPr>
                <w:b/>
              </w:rPr>
              <w:t>Amount of EIDP</w:t>
              <w:br/>
              <w:t>Notes Outstanding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8"/>
              </w:rPr>
            </w:pPr>
            <w:r>
              <w:rPr>
                <w:rFonts w:ascii="Times New Roman" w:hAnsi="Times New Roman"/>
                <w:b/>
                <w:sz w:val="18"/>
              </w:rPr>
              <w:t>Vylor Notes to be</w:t>
              <w:br/>
              <w:t>Issued in Exchange</w:t>
              <w:br/>
              <w:t>for EIDP Notes</w:t>
            </w:r>
          </w:p>
        </w:tc>
        <w:tc>
          <w:tcPr>
            <w:tcW w:w="120" w:type="dxa"/>
            <w:tcBorders/>
            <w:vAlign w:val="bottom"/>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 Amount</w:t>
            </w:r>
            <w:r>
              <w:rPr/>
              <w:br/>
            </w:r>
            <w:r>
              <w:rPr>
                <w:b/>
              </w:rPr>
              <w:t>of Vylor Notes (1)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8"/>
              </w:rPr>
            </w:pPr>
            <w:r>
              <w:rPr>
                <w:rFonts w:ascii="Times New Roman" w:hAnsi="Times New Roman"/>
                <w:b/>
                <w:sz w:val="18"/>
              </w:rPr>
              <w:t>Cash</w:t>
            </w:r>
          </w:p>
          <w:p>
            <w:pPr>
              <w:pStyle w:val="TableContents"/>
              <w:bidi w:val="0"/>
              <w:spacing w:before="0" w:after="0"/>
              <w:jc w:val="center"/>
              <w:rPr>
                <w:rFonts w:ascii="Times New Roman" w:hAnsi="Times New Roman"/>
                <w:b/>
                <w:sz w:val="18"/>
              </w:rPr>
            </w:pPr>
            <w:r>
              <w:rPr>
                <w:rFonts w:ascii="Times New Roman" w:hAnsi="Times New Roman"/>
                <w:b/>
                <w:sz w:val="18"/>
              </w:rPr>
              <w:t>Consideration</w:t>
            </w:r>
          </w:p>
          <w:p>
            <w:pPr>
              <w:pStyle w:val="TableContents"/>
              <w:bidi w:val="0"/>
              <w:spacing w:before="0" w:after="20"/>
              <w:jc w:val="center"/>
              <w:rPr>
                <w:rFonts w:ascii="Times New Roman" w:hAnsi="Times New Roman"/>
                <w:b/>
                <w:sz w:val="18"/>
              </w:rPr>
            </w:pPr>
            <w:r>
              <w:rPr>
                <w:rFonts w:ascii="Times New Roman" w:hAnsi="Times New Roman"/>
                <w:b/>
                <w:sz w:val="18"/>
              </w:rPr>
              <w:t>(2)</w:t>
            </w:r>
          </w:p>
        </w:tc>
        <w:tc>
          <w:tcPr>
            <w:tcW w:w="120" w:type="dxa"/>
            <w:tcBorders/>
            <w:vAlign w:val="bottom"/>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br/>
              <w:t>of Vylor Notes (3)</w:t>
            </w:r>
          </w:p>
        </w:tc>
        <w:tc>
          <w:tcPr>
            <w:tcW w:w="60" w:type="dxa"/>
            <w:tcBorders/>
            <w:vAlign w:val="bottom"/>
          </w:tcPr>
          <w:p>
            <w:pPr>
              <w:pStyle w:val="TableContents"/>
              <w:bidi w:val="0"/>
              <w:spacing w:before="0" w:after="283"/>
              <w:jc w:val="left"/>
              <w:rPr/>
            </w:pPr>
            <w:r>
              <w:rPr/>
              <w:t> </w:t>
            </w:r>
          </w:p>
        </w:tc>
      </w:tr>
      <w:tr>
        <w:trPr/>
        <w:tc>
          <w:tcPr>
            <w:tcW w:w="6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2.300% Senior Notes due 2030</w:t>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283"/>
              <w:jc w:val="center"/>
              <w:rPr/>
            </w:pPr>
            <w:r>
              <w:rPr/>
              <w:t>263534CP2</w:t>
              <w:br/>
              <w:t>US263534CP24</w:t>
            </w:r>
          </w:p>
        </w:tc>
        <w:tc>
          <w:tcPr>
            <w:tcW w:w="12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848" w:type="dxa"/>
            <w:tcBorders/>
            <w:shd w:fill="CCEEFF" w:val="clear"/>
            <w:vAlign w:val="bottom"/>
          </w:tcPr>
          <w:p>
            <w:pPr>
              <w:pStyle w:val="TableContents"/>
              <w:bidi w:val="0"/>
              <w:spacing w:before="0" w:after="283"/>
              <w:jc w:val="right"/>
              <w:rPr/>
            </w:pPr>
            <w:r>
              <w:rPr/>
              <w:t>500,000,000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5" w:type="dxa"/>
            <w:tcBorders/>
            <w:shd w:fill="CCEEFF" w:val="clear"/>
            <w:vAlign w:val="bottom"/>
          </w:tcPr>
          <w:p>
            <w:pPr>
              <w:pStyle w:val="TableContents"/>
              <w:bidi w:val="0"/>
              <w:spacing w:before="0" w:after="283"/>
              <w:jc w:val="center"/>
              <w:rPr/>
            </w:pPr>
            <w:r>
              <w:rPr/>
              <w:t>2.300% Senior Notes due 2030</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$2.50 to $5.00</w:t>
            </w:r>
          </w:p>
        </w:tc>
        <w:tc>
          <w:tcPr>
            <w:tcW w:w="1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pPr>
            <w:r>
              <w:rPr/>
              <w:t>$970</w:t>
            </w:r>
          </w:p>
        </w:tc>
        <w:tc>
          <w:tcPr>
            <w:tcW w:w="60" w:type="dxa"/>
            <w:tcBorders/>
            <w:shd w:fill="CCEEFF" w:val="clear"/>
            <w:vAlign w:val="bottom"/>
          </w:tcPr>
          <w:p>
            <w:pPr>
              <w:pStyle w:val="TableContents"/>
              <w:bidi w:val="0"/>
              <w:spacing w:before="0" w:after="283"/>
              <w:jc w:val="left"/>
              <w:rPr/>
            </w:pPr>
            <w:r>
              <w:rPr/>
              <w:t> </w:t>
            </w:r>
          </w:p>
        </w:tc>
      </w:tr>
      <w:tr>
        <w:trPr/>
        <w:tc>
          <w:tcPr>
            <w:tcW w:w="665" w:type="dxa"/>
            <w:tcBorders/>
          </w:tcPr>
          <w:p>
            <w:pPr>
              <w:pStyle w:val="TableContents"/>
              <w:bidi w:val="0"/>
              <w:spacing w:before="0" w:after="0"/>
              <w:jc w:val="left"/>
              <w:rPr>
                <w:rFonts w:ascii="Times New Roman" w:hAnsi="Times New Roman"/>
                <w:sz w:val="20"/>
              </w:rPr>
            </w:pPr>
            <w:r>
              <w:rPr>
                <w:rFonts w:ascii="Times New Roman" w:hAnsi="Times New Roman"/>
                <w:sz w:val="20"/>
              </w:rPr>
              <w:t>5.125% Senior Notes due 2032</w:t>
            </w:r>
          </w:p>
        </w:tc>
        <w:tc>
          <w:tcPr>
            <w:tcW w:w="120"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283"/>
              <w:jc w:val="center"/>
              <w:rPr/>
            </w:pPr>
            <w:r>
              <w:rPr/>
              <w:t>263534CS6</w:t>
              <w:br/>
              <w:t>US263534CS62</w:t>
            </w:r>
          </w:p>
        </w:tc>
        <w:tc>
          <w:tcPr>
            <w:tcW w:w="12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848" w:type="dxa"/>
            <w:tcBorders/>
            <w:vAlign w:val="bottom"/>
          </w:tcPr>
          <w:p>
            <w:pPr>
              <w:pStyle w:val="TableContents"/>
              <w:bidi w:val="0"/>
              <w:spacing w:before="0" w:after="283"/>
              <w:jc w:val="right"/>
              <w:rPr/>
            </w:pPr>
            <w:r>
              <w:rPr/>
              <w:t>500,000,000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5" w:type="dxa"/>
            <w:tcBorders/>
            <w:vAlign w:val="bottom"/>
          </w:tcPr>
          <w:p>
            <w:pPr>
              <w:pStyle w:val="TableContents"/>
              <w:bidi w:val="0"/>
              <w:spacing w:before="0" w:after="283"/>
              <w:jc w:val="center"/>
              <w:rPr/>
            </w:pPr>
            <w:r>
              <w:rPr/>
              <w:t>5.125% Senior Notes due 2032</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$2.50 to $5.00</w:t>
            </w:r>
          </w:p>
        </w:tc>
        <w:tc>
          <w:tcPr>
            <w:tcW w:w="1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653" w:type="dxa"/>
            <w:tcBorders/>
            <w:vAlign w:val="bottom"/>
          </w:tcPr>
          <w:p>
            <w:pPr>
              <w:pStyle w:val="TableContents"/>
              <w:bidi w:val="0"/>
              <w:spacing w:before="0" w:after="283"/>
              <w:jc w:val="right"/>
              <w:rPr/>
            </w:pPr>
            <w:r>
              <w:rPr/>
              <w:t>$970</w:t>
            </w:r>
          </w:p>
        </w:tc>
        <w:tc>
          <w:tcPr>
            <w:tcW w:w="60" w:type="dxa"/>
            <w:tcBorders/>
            <w:vAlign w:val="bottom"/>
          </w:tcPr>
          <w:p>
            <w:pPr>
              <w:pStyle w:val="TableContents"/>
              <w:bidi w:val="0"/>
              <w:spacing w:before="0" w:after="283"/>
              <w:jc w:val="left"/>
              <w:rPr/>
            </w:pPr>
            <w:r>
              <w:rPr/>
              <w:t> </w:t>
            </w:r>
          </w:p>
        </w:tc>
      </w:tr>
      <w:tr>
        <w:trPr/>
        <w:tc>
          <w:tcPr>
            <w:tcW w:w="6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4.800% Senior Notes due 2033</w:t>
            </w:r>
          </w:p>
        </w:tc>
        <w:tc>
          <w:tcPr>
            <w:tcW w:w="120"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283"/>
              <w:jc w:val="center"/>
              <w:rPr/>
            </w:pPr>
            <w:r>
              <w:rPr/>
              <w:t>263534CR8</w:t>
              <w:br/>
              <w:t>US263534CR89</w:t>
            </w:r>
          </w:p>
        </w:tc>
        <w:tc>
          <w:tcPr>
            <w:tcW w:w="12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848" w:type="dxa"/>
            <w:tcBorders/>
            <w:shd w:fill="CCEEFF" w:val="clear"/>
            <w:vAlign w:val="bottom"/>
          </w:tcPr>
          <w:p>
            <w:pPr>
              <w:pStyle w:val="TableContents"/>
              <w:bidi w:val="0"/>
              <w:spacing w:before="0" w:after="283"/>
              <w:jc w:val="right"/>
              <w:rPr/>
            </w:pPr>
            <w:r>
              <w:rPr/>
              <w:t>600,000,000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5" w:type="dxa"/>
            <w:tcBorders/>
            <w:shd w:fill="CCEEFF" w:val="clear"/>
            <w:vAlign w:val="bottom"/>
          </w:tcPr>
          <w:p>
            <w:pPr>
              <w:pStyle w:val="TableContents"/>
              <w:bidi w:val="0"/>
              <w:spacing w:before="0" w:after="283"/>
              <w:jc w:val="center"/>
              <w:rPr/>
            </w:pPr>
            <w:r>
              <w:rPr/>
              <w:t>4.800% Senior Notes due 2033</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$2.50 to $5.00</w:t>
            </w:r>
          </w:p>
        </w:tc>
        <w:tc>
          <w:tcPr>
            <w:tcW w:w="1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pPr>
            <w:r>
              <w:rPr/>
              <w:t>$970</w:t>
            </w:r>
          </w:p>
        </w:tc>
        <w:tc>
          <w:tcPr>
            <w:tcW w:w="60"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Principal amount of the applicable series of Vylor Notes issued in exchange for each $1,000 principal amount of EIDP Notes of the corresponding series validly tendered by the applicable Early Tender Deadline and not validly withdrawn by the applicable Withdrawal Deadline and accepted for exchange.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$1,000 principal amount of the applicable series of EIDP Notes validly tendered by the applicable Early Tender Deadline and not validly withdrawn by the applicable Withdrawal Deadline and accepted for exchange, the applicable Cash Consideration will be an amount equal to the product of $2.50 multiplied by a fraction, the numerator of which is the aggregate principal amount of such series of EIDP Notes outstanding as of such Early Tender Deadline and the denominator of which is the aggregate principal amount of such series of EIDP Notes validly tendered by such Early Tender Deadline and not validly withdrawn by the applicable Withdrawal Deadline. As a result, the applicable Cash Consideration for a series of EIDP Notes will range from $2.50 per $1,000 principal amount (if all eligible holders of such series of EIDP Notes tender) to approximately $5.00 per $1,000 principal amount (if eligible holders of a simple majority of the aggregate principal amount of such series of EIDP Notes tender).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Exchange Consideration does not include, and eligible holders tendering after the applicable Early Tender Deadline will not be eligible to receive, any Cash Consideration. The applicable Exchange Consideration involves the issuance of $970 principal amount of the applicable series of Vylor Notes, as opposed to $1,000 principal amount of such Vylor Notes, for each $1,000 principal amount of EIDP Notes of the corresponding series validly tendered after the applicable Early Tender Deadline and accepted for exchange.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Exchange Offers, Vylor is soliciting consents (with respect to the EIDP Base Indenture (as defined below) and the applicable EIDP Supplemental Indenture (as defined below) governing a series of EIDP Notes, a “Consent Solicitation” and together, the “Consent Solicitations”) from eligible holders of EIDP Notes, on behalf of EIDP, to adopt certain proposed amendments to the base indenture (the “EIDP Base Indenture”) and the supplemental indentures thereto (each, an “EIDP Supplemental Indenture”) governing the EIDP Notes. The proposed amendments to the EIDP Base Indenture (the “Proposed EIDP Base Indenture Amendments”) would eliminate substantially all of the restrictive covenants and events of default (other than payment-related and bankruptcy-related events of default) from the EIDP Base Indenture. Approval of the Proposed EIDP Base Indenture Amendments requires consents from the holders of at least a majority of the aggregate principal amount of all the EIDP Notes, voting as a single class (the “Requisite Consents”). The Exchange Offers are conditioned upon, among other things, receipt, by the applicable Early Tender Deadline, of the Requisite Consents to the Proposed EIDP Base Indenture Amendments. The proposed amendments with respect to each EIDP Supplemental Indenture (the “Proposed EIDP Supplemental Indenture Amendments” and, together with the Proposed EIDP Base Amendments, the “Proposed Amendments”) would eliminate the offer to repurchase upon change of control provisions from the applicable EIDP Supplemental Indenture. Approval of the Proposed EIDP Supplemental Indenture Amendments requires consents from the holders of at least a majority of the aggregate principal amount of the applicable series of EIDP Notes (the “Majority Consents”). The Exchange Offers are not conditioned upon the receipt of the Majority Consents with respect to any EIDP Supplemental Indenture. When an eligible holder validly tenders their EIDP Notes in the applicable Exchange Offer, they are automatically treated as having validly delivered the related consents to the Proposed Amendments with respect to such EIDP Notes. Eligible holders will not be permitted to tender their EIDP Notes without delivering related consents or to deliver related consents without tendering their EIDP Notes. </w:t>
      </w:r>
    </w:p>
    <w:p>
      <w:pPr>
        <w:pStyle w:val="TextBody"/>
        <w:bidi w:val="0"/>
        <w:spacing w:before="240" w:after="0"/>
        <w:jc w:val="left"/>
        <w:rPr>
          <w:rFonts w:ascii="Times New Roman" w:hAnsi="Times New Roman"/>
          <w:sz w:val="20"/>
        </w:rPr>
      </w:pPr>
      <w:r>
        <w:rPr>
          <w:rFonts w:ascii="Times New Roman" w:hAnsi="Times New Roman"/>
          <w:sz w:val="20"/>
        </w:rPr>
        <w:t xml:space="preserve">Each Exchange Offer and Consent Solicitation will expire at 5:00 p.m., New York City time, on September 3, 2026, unless extended or earlier terminated (such date and time, as they may be extended, the “Expiration Date”). Tenders of a series of EIDP Notes may be validly withdrawn at or prior to 5:00 p.m., New York City time, on August 19, 2026, unless extended or earlier terminated with respect to the applicable Exchange Offer (such date and time, as they may be extended, the “Withdrawal Deadline”), but tenders of such EIDP Notes not so validly withdrawn will thereafter be irrevocable, except in certain limited circumstances where additional withdrawal rights are required by law. A valid withdrawal of the applicable series of EIDP Notes at or prior to 5:00 p.m., New York City time, on August 19, 2026 (such date and time, as they may be extended to any date and time that is no later than the Withdrawal Deadline, the “Consent Revocation Deadline”) will also constitute the revocation of the related consents. With respect to a series of EIDP Notes, consents may not be revoked after the applicable Consent Revocation Deadline. Vylor reserves the right to terminate, withdraw, amend or extend an Exchange Offer and Consent Solicitation in its sole discretion, subject to the terms and conditions set forth in the Offering Memorandum.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the terms and conditions set forth in the Offering Memorandum, for each $1,000 principal amount of the applicable series of EIDP Notes validly tendered in the applicable Exchange Offer by 5:00 p.m., New York City time, on August 19, 2026, unless extended or earlier terminated with respect to the applicable Exchange Offer and Consent Solicitation (such date and time, as they may be extended, the “Early Tender Deadline”), and not validly withdrawn by the applicable Withdrawal Deadline, each eligible holder of EIDP Notes will be eligible to receive (i) Vylor Notes of the corresponding series in an equal principal amount as such series of EIDP Notes tendered and accepted for exchange and (ii) a cash payment of an amount equal to the product of $2.50 multiplied by a fraction, the numerator of which is the aggregate principal amount of such series of EIDP Notes outstanding as of the applicable Early Tender Deadline and the denominator of which is the aggregate principal amount of such series of EIDP Notes validly tendered by such Early Tender Deadline and not validly withdrawn by the applicable Withdrawal Deadline (the “Cash Consideration” and, together with such amount of Vylor Notes, the “Total Exchange Consideration”). As a result, the applicable Cash Consideration for a series of EIDP Notes will range from $2.50 per $1,000 principal amount (if all eligible holders of such series of EIDP Notes tender) to approximately $5.00 per $1,000 principal amount (if eligible holders of a simple majority of the aggregate principal amount of such series of EIDP Notes tender). </w:t>
      </w:r>
    </w:p>
    <w:p>
      <w:pPr>
        <w:pStyle w:val="TextBody"/>
        <w:bidi w:val="0"/>
        <w:spacing w:before="240" w:after="0"/>
        <w:jc w:val="left"/>
        <w:rPr>
          <w:rFonts w:ascii="Times New Roman" w:hAnsi="Times New Roman"/>
          <w:sz w:val="20"/>
        </w:rPr>
      </w:pPr>
      <w:r>
        <w:rPr>
          <w:rFonts w:ascii="Times New Roman" w:hAnsi="Times New Roman"/>
          <w:sz w:val="20"/>
        </w:rPr>
        <w:t xml:space="preserve">Eligible holders who validly tender their EIDP Notes after the applicable Early Tender Deadline but on or prior to the Expiration Date will be eligible to receive $970 principal amount of the applicable series of Vylor Notes per $1,000 principal amount of the corresponding series of EIDP Notes validly tendered (the “Exchange Consideration”) but no Cash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all eligible holders whose EIDP Notes are validly tendered and accepted for exchange in the Exchange Offers and Consent Solicitations will receive a cash payment equal to the accrued and unpaid interest on their EIDP Notes accepted for exchange from the last interest payment date of the applicable EIDP Notes preceding the Settlement Date up to, but excluding, the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Assuming the conditions to the Exchange Offers and Consent Solicitations are satisfied or (to the extent permitted) waived, settlement of the Exchange Offers is expected to occur on or about the second business day following the Expiration Date and substantially simultaneously with the consummation of the Separation, unless Vylor extends or terminates the Exchange Offers (such date and time, as the same may be extended, the “Settlement Date”). Accordingly, Vylor may, in its discretion, extend each of the Expiration Date and the Settlement Date as necessary to maintain such sequencing. Interest on the applicable series of Vylor Notes issued in the related Exchange Offer will accrue from (and including) the Issue Date (the date on which such Vylor Notes are issued in exchange for the corresponding series of EIDP Notes). </w:t>
      </w:r>
    </w:p>
    <w:p>
      <w:pPr>
        <w:pStyle w:val="TextBody"/>
        <w:bidi w:val="0"/>
        <w:spacing w:before="240" w:after="0"/>
        <w:jc w:val="left"/>
        <w:rPr>
          <w:rFonts w:ascii="Times New Roman" w:hAnsi="Times New Roman"/>
          <w:sz w:val="20"/>
        </w:rPr>
      </w:pPr>
      <w:r>
        <w:rPr>
          <w:rFonts w:ascii="Times New Roman" w:hAnsi="Times New Roman"/>
          <w:sz w:val="20"/>
        </w:rPr>
        <w:t xml:space="preserve">The Vylor Notes to be issued in the Exchange Offers will be issued in minimum denominations of $2,000 and integral multiples of $1,000 in excess thereof. No tender of EIDP Notes of any series will be accepted if it would result in the issuance of less than $2,000 principal amount of the corresponding series of Vylor Notes. If the principal amount of the applicable series of Vylor Notes that would otherwise be required to be delivered in exchange for a tender of the corresponding series of EIDP Notes would not equal $2,000 or an integral multiple of $1,000 in excess thereof, then the principal amount of such Vylor Notes will be rounded down to $2,000 or the nearest integral multiple of $1,000 in excess thereof, and Vylor will pay cash (in lieu of such Vylor Notes not delivered) equal to the remaining portion of the applicable Exchange Consideration for such corresponding series of EIDP Notes plus accrued and unpaid interest with respect to that portion to, but not including, the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Vylor’s obligation to accept and exchange any EIDP Notes validly tendered pursuant to the applicable Exchange Offer is subject to, and conditioned upon, the satisfaction or (to the extent permitted) waiver of certain conditions as set forth in the Offering Memorandum. Each Exchange Offer and Consent Solicitation is conditioned upon, among other things, (i) the consummation of the Separation and (ii) the receipt, by the applicable Early Tender Deadline, of the Requisite Consents to adopt the Proposed EIDP Base Indenture Amendments. Receipt of the Majority Consents to adopt the Proposed EIDP Supplemental Indenture Amendments is not a condition to the consummation of any of the Exchange Offers and Consent Solicitations. Other than the Separation (without the consummation of which the Exchange Offers and Consent Solicitations will not be consummated, neither the applicable Exchange Consideration nor the applicable Total Exchange Consideration will be delivered, and the Proposed Amendments contemplated by the Consent Solicitations will not become effective), Vylor may generally waive any condition with respect to the Exchange Offers and Consent Solicitations, in its sole discretion, at any time prior to the Expiration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Exchange Offers and Consent Solicitations are being made only to holders of EIDP Notes who satisfy the eligibility conditions described under “Disclaimer” below. Holders of EIDP Notes who desire a copy of the eligibility letter should contact D.F. King &amp; Co., Inc., the information agent and exchange agent for the Exchange Offers and Consent Solicitations, by phone at (800) 283-9185 or by email at vylor@dfking.com. Banks and brokers should call (646) 461-2610. The eligibility letter may also be found here: www.dfking.com/vylor. D.F. King &amp; Co., Inc. will also provide copies of the Offering Memorandum to eligible holders of EIDP Notes. </w:t>
      </w:r>
    </w:p>
    <w:p>
      <w:pPr>
        <w:pStyle w:val="TextBody"/>
        <w:bidi w:val="0"/>
        <w:spacing w:before="240" w:after="0"/>
        <w:jc w:val="left"/>
        <w:rPr>
          <w:rFonts w:ascii="Times New Roman" w:hAnsi="Times New Roman"/>
          <w:sz w:val="20"/>
        </w:rPr>
      </w:pPr>
      <w:r>
        <w:rPr>
          <w:rFonts w:ascii="Times New Roman" w:hAnsi="Times New Roman"/>
          <w:sz w:val="20"/>
        </w:rPr>
        <w:t xml:space="preserve">Holders of EIDP Notes are advised to check with any bank, securities broker or other intermediary through which they hold EIDP Notes as to when such intermediary needs to receive instructions from a holder in order for that holder to be able to participate in, or (in the circumstances in which revocation is permitted) revoke their instruction to participate in, the Exchange Offers and Consent Solicitations before the deadlines specified herein and in the Offering Memorandum. The deadlines set by each clearing system for the submission and withdrawal of exchange instructions will also be earlier than the relevant deadlines specified herein and in the Offering Memorandum. </w:t>
      </w:r>
    </w:p>
    <w:p>
      <w:pPr>
        <w:pStyle w:val="TextBody"/>
        <w:bidi w:val="0"/>
        <w:spacing w:before="360" w:after="0"/>
        <w:jc w:val="left"/>
        <w:rPr>
          <w:rFonts w:ascii="Times New Roman" w:hAnsi="Times New Roman"/>
          <w:b/>
          <w:sz w:val="20"/>
        </w:rPr>
      </w:pPr>
      <w:r>
        <w:rPr>
          <w:rFonts w:ascii="Times New Roman" w:hAnsi="Times New Roman"/>
          <w:b/>
          <w:sz w:val="20"/>
        </w:rPr>
        <w:t xml:space="preserve">Disclaimer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is issued pursuant to Rule 135c under the Securities Act of 1933, as amended (the “Securities Act”). This press release is neither an offer to sell nor the solicitation of an offer to buy the Vylor Notes or any other securities and shall not constitute an offer, solicitation or sale in any jurisdiction in which, or to any person to whom, such an offer, solicitation or sale is unlawful. The Exchange Offers and Consent Solicitations have not been and will not be registered under the Securities Act, or the securities laws of any other jurisdiction, and, accordingly, the Vylor Notes will be subject to transfer restrictions unless and until the Vylor Notes are registered or exchanged for registered notes. The Vylor Notes will be issued in reliance upon exemptions from, or in transactions not subject to, registration under the Securities Act. The Exchange Offers and Consent Solicitations are being made only to, and the Vylor Notes will be offered for exchange only to, holders of EIDP Notes who are (i) reasonably believed to be “qualified institutional buyers” (as defined in Rule 144A under the Securities Act) in reliance on the exemption from registration provided by Section 4(a)(2) of the Securities Act, and (ii) outside the United States, persons who are not, and who are not acting for the account or benefit of, “U.S. persons” (as defined in Rule 902 under the Securities Act) in compliance with Regulation S under the Securities Act. The Vylor Notes will not be offered or sold in the United States or to U.S. persons (as defined in Rule 902 under the Securities Act) unless the transaction is registered under the Securities Act, an exemption from the registration requirements of the Securities Act is available or the transaction is not subject to registration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Offers and Consent Solicitations are being made only pursuant to the Offering Memorandum. The Offering Memorandum and other documents relating to the Exchange Offers and Consent Solicitations will be distributed only to holders of EIDP Notes who confirm that they are within the categories of eligible participants in the Exchange Offers and Consent Solicitations. None of Vylor, its directors or officers, the dealer managers and solicitation agents, the exchange agent, the information agent, the trustees for the Vylor Notes or the EIDP Notes, their respective affiliates, or any other person is making any recommendation as to whether holders should tender their EIDP Notes in the Exchange Offers or deliver related consents to the Proposed Amendments in the Consent Solicitations. </w:t>
      </w:r>
    </w:p>
    <w:p>
      <w:pPr>
        <w:pStyle w:val="TextBody"/>
        <w:bidi w:val="0"/>
        <w:spacing w:before="240" w:after="0"/>
        <w:jc w:val="left"/>
        <w:rPr>
          <w:rFonts w:ascii="Times New Roman" w:hAnsi="Times New Roman"/>
          <w:sz w:val="20"/>
        </w:rPr>
      </w:pPr>
      <w:r>
        <w:rPr>
          <w:rFonts w:ascii="Times New Roman" w:hAnsi="Times New Roman"/>
          <w:sz w:val="20"/>
        </w:rPr>
        <w:t xml:space="preserve">The complete terms and conditions of the Exchange Offers and Consent Solicitations are set forth in the Offering Memorandum. The Exchange Offers and Consent Solicitations are only being made pursuant to the Offering Memorandum. The Exchange Offers and Consent Solicitations are not being made to holders of EIDP Notes in any jurisdiction in which the making or acceptance thereof would not be in compliance with the securities, blue sky or other laws of such jurisdiction. NEITHER THE SECURITIES AND EXCHANGE COMMISSION NOR ANY OTHER REGULATORY BODY HAS REGISTERED, RECOMMENDED OR APPROVED OF THE VYLOR NOTES OR PASSED UPON THE ACCURACY OR ADEQUACY OF THE OFFERING MEMORANDUM. ANY REPRESENTATION TO THE CONTRARY IS A CRIMINAL OFFENSE.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Corteva </w:t>
      </w:r>
    </w:p>
    <w:p>
      <w:pPr>
        <w:pStyle w:val="TextBody"/>
        <w:bidi w:val="0"/>
        <w:spacing w:before="120" w:after="0"/>
        <w:jc w:val="left"/>
        <w:rPr>
          <w:rFonts w:ascii="Times New Roman" w:hAnsi="Times New Roman"/>
          <w:sz w:val="20"/>
        </w:rPr>
      </w:pPr>
      <w:r>
        <w:rPr>
          <w:rFonts w:ascii="Times New Roman" w:hAnsi="Times New Roman"/>
          <w:sz w:val="20"/>
        </w:rPr>
        <w:t xml:space="preserve">Corteva, Inc. (NYSE: CTVA) is a global pure-play agriculture company that combines industry-leading innovation, high-touch customer engagement and operational execution to profitably deliver solutions for the world’s most pressing agriculture challenges. Corteva generates advantaged market preference through its unique distribution strategy, together with its balanced and globally diverse mix of seed, crop protection, and digital products and services. With some of the most recognized brands in agriculture and a technology pipeline well positioned to drive growth, the company is committed to maximizing productivity for farmers, while working with stakeholders throughout the food system as it fulfills its promise to enrich the lives of those who produce and those who consume, ensuring progress for generations to come. More information can be found at </w:t>
      </w:r>
      <w:r>
        <w:rPr>
          <w:rFonts w:ascii="Times New Roman" w:hAnsi="Times New Roman"/>
          <w:sz w:val="20"/>
          <w:u w:val="single"/>
        </w:rPr>
        <w:t>www.corteva.com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on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U.S. federal securities laws about the Company, Vylor, EIDP, the Exchange Offers and Consent Solicitations and the Separation, including but not limited to all statements about the timing and consummation of the Exchange Offers and Consent Solicitations and the Separation, which are made pursuant to the safe harbor provisions of the Private Securities Litigation Reform Act of 1995. Forward-looking statements are based on current assumptions regarding future business and financial performance and, by their nature, address matters that are uncertain to different degrees. You can identify forward-looking statements by the use of words such as “plans,” “expects,” “will,” “anticipates,” “believes,” “intends,” “projects,” “estimates,” “outlook” or other words of similar meaning. These forward-looking statements are subject to risks and uncertainties that could cause actual results to be materially different from those set forth in such forward-looking statements, including but not limited to, the risk: (i) that general economic and capital markets conditions may adversely affect the Exchange Offers and Consent Solicitations or the Separation; (ii) that the conditions to the Exchange Offers and Consent Solicitations or the Separation, including the receipt of the Requisite Consents, may not be satisfied or waived; (iii) that any event, change or other circumstance could give rise to the termination of the Exchange Offers and Consent Solicitations and/or the Separation; (iv) of the effects that any termination of the Separation may have on the Company or its subsidiaries; (v) that legal proceedings may be instituted related to the Separation or otherwise; (vi) of unexpected costs, charges or expenses; and (vii) of other risks and uncertainties described in the Company’s and EIDP’s filings with the U.S. Securities and Exchange Commission (the “SEC”), including under the heading “Risk Factors” (Item 1A) in the Company’s most recently filed Annual Report on Form 10-K and in the Company’s subsequent Quarterly Reports on Form 10-Q, and in other documents that the Company or EIDP files or furnishes with the SEC. Neither the Company nor EIDP undertakes any obligation to update or revise any forward-looking statement, except as required by applicable law. </w:t>
      </w:r>
    </w:p>
    <w:p>
      <w:pPr>
        <w:pStyle w:val="TextBody"/>
        <w:bidi w:val="0"/>
        <w:spacing w:before="240" w:after="0"/>
        <w:jc w:val="left"/>
        <w:rPr>
          <w:rFonts w:ascii="Times New Roman" w:hAnsi="Times New Roman"/>
          <w:b/>
          <w:sz w:val="20"/>
        </w:rPr>
      </w:pPr>
      <w:r>
        <w:rPr>
          <w:rFonts w:ascii="Times New Roman" w:hAnsi="Times New Roman"/>
          <w:b/>
          <w:sz w:val="20"/>
        </w:rPr>
        <w:t xml:space="preserve">Corteva Contacts: </w:t>
      </w:r>
    </w:p>
    <w:p>
      <w:pPr>
        <w:pStyle w:val="TextBody"/>
        <w:bidi w:val="0"/>
        <w:spacing w:before="120" w:after="0"/>
        <w:jc w:val="left"/>
        <w:rPr>
          <w:rFonts w:ascii="Times New Roman" w:hAnsi="Times New Roman"/>
          <w:b/>
          <w:sz w:val="20"/>
        </w:rPr>
      </w:pPr>
      <w:r>
        <w:rPr>
          <w:rFonts w:ascii="Times New Roman" w:hAnsi="Times New Roman"/>
          <w:b/>
          <w:sz w:val="20"/>
        </w:rPr>
        <w:t xml:space="preserve">Media Relations Contact: </w:t>
      </w:r>
    </w:p>
    <w:p>
      <w:pPr>
        <w:pStyle w:val="TextBody"/>
        <w:bidi w:val="0"/>
        <w:spacing w:before="0" w:after="0"/>
        <w:jc w:val="left"/>
        <w:rPr>
          <w:rFonts w:ascii="Times New Roman" w:hAnsi="Times New Roman"/>
          <w:sz w:val="20"/>
        </w:rPr>
      </w:pPr>
      <w:r>
        <w:rPr>
          <w:rFonts w:ascii="Times New Roman" w:hAnsi="Times New Roman"/>
          <w:sz w:val="20"/>
        </w:rPr>
        <w:t xml:space="preserve">Bethany Shively </w:t>
      </w:r>
    </w:p>
    <w:p>
      <w:pPr>
        <w:pStyle w:val="TextBody"/>
        <w:bidi w:val="0"/>
        <w:spacing w:before="0" w:after="0"/>
        <w:jc w:val="left"/>
        <w:rPr>
          <w:rFonts w:ascii="Times New Roman" w:hAnsi="Times New Roman"/>
          <w:sz w:val="20"/>
        </w:rPr>
      </w:pPr>
      <w:r>
        <w:rPr>
          <w:rFonts w:ascii="Times New Roman" w:hAnsi="Times New Roman"/>
          <w:sz w:val="20"/>
        </w:rPr>
        <w:t>804-866-2377</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bethany.shively@corteva.com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0" w:after="0"/>
        <w:jc w:val="left"/>
        <w:rPr>
          <w:rFonts w:ascii="Times New Roman" w:hAnsi="Times New Roman"/>
          <w:sz w:val="20"/>
        </w:rPr>
      </w:pPr>
      <w:r>
        <w:rPr>
          <w:rFonts w:ascii="Times New Roman" w:hAnsi="Times New Roman"/>
          <w:sz w:val="20"/>
        </w:rPr>
        <w:t xml:space="preserve">Kim Booth </w:t>
      </w:r>
    </w:p>
    <w:p>
      <w:pPr>
        <w:pStyle w:val="TextBody"/>
        <w:bidi w:val="0"/>
        <w:spacing w:before="0" w:after="0"/>
        <w:jc w:val="left"/>
        <w:rPr>
          <w:rFonts w:ascii="Times New Roman" w:hAnsi="Times New Roman"/>
          <w:sz w:val="20"/>
        </w:rPr>
      </w:pPr>
      <w:r>
        <w:rPr>
          <w:rFonts w:ascii="Times New Roman" w:hAnsi="Times New Roman"/>
          <w:sz w:val="20"/>
        </w:rPr>
        <w:t>302-485-3190</w:t>
      </w:r>
    </w:p>
    <w:p>
      <w:pPr>
        <w:pStyle w:val="TextBody"/>
        <w:bidi w:val="0"/>
        <w:spacing w:before="0" w:after="0"/>
        <w:jc w:val="left"/>
        <w:rPr>
          <w:rFonts w:ascii="Times New Roman" w:hAnsi="Times New Roman"/>
          <w:sz w:val="20"/>
          <w:u w:val="single"/>
        </w:rPr>
      </w:pPr>
      <w:r>
        <w:rPr>
          <w:rFonts w:ascii="Times New Roman" w:hAnsi="Times New Roman"/>
          <w:sz w:val="20"/>
          <w:u w:val="single"/>
        </w:rPr>
        <w:t>kimberly.a.booth@corteva.com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14736</Words>
  <Characters>81739</Characters>
  <CharactersWithSpaces>98345</CharactersWithSpaces>
  <Paragraphs>3370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