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Nayyar Nayaki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Corteva, Inc.</w:t>
              </w:r>
            </w:hyperlink>
            <w:r>
              <w:rPr/>
              <w:t xml:space="preserve"> [ </w:t>
            </w:r>
            <w:r>
              <w:rPr>
                <w:rFonts w:ascii="Times;serif" w:hAnsi="Times;serif"/>
                <w:color w:val="0000FF"/>
                <w:sz w:val="24"/>
                <w:shd w:fill="FFFFFF" w:val="clear"/>
              </w:rPr>
              <w:t>CTVA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4"/>
        <w:gridCol w:w="901"/>
        <w:gridCol w:w="773"/>
        <w:gridCol w:w="598"/>
        <w:gridCol w:w="335"/>
        <w:gridCol w:w="1132"/>
        <w:gridCol w:w="416"/>
        <w:gridCol w:w="734"/>
        <w:gridCol w:w="1467"/>
        <w:gridCol w:w="951"/>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412.9081</w:t>
            </w:r>
            <w:r>
              <w:rPr>
                <w:rFonts w:ascii="Times;serif" w:hAnsi="Times;serif"/>
                <w:color w:val="008000"/>
                <w:position w:val="7"/>
                <w:sz w:val="16"/>
                <w:sz w:val="20"/>
                <w:shd w:fill="FFFFFF" w:val="clear"/>
              </w:rPr>
              <w:t>(1)</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78.71</w:t>
            </w:r>
          </w:p>
        </w:tc>
        <w:tc>
          <w:tcPr>
            <w:tcW w:w="1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36,753.6815</w:t>
            </w:r>
            <w:r>
              <w:rPr>
                <w:rFonts w:ascii="Times;serif" w:hAnsi="Times;serif"/>
                <w:color w:val="008000"/>
                <w:position w:val="7"/>
                <w:sz w:val="16"/>
                <w:sz w:val="20"/>
                <w:shd w:fill="FFFFFF" w:val="clear"/>
              </w:rPr>
              <w:t>(2)</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acquisition of 86.1950 shares pursuant to dividend reinvestment.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318" TargetMode="External"/><Relationship Id="rId5" Type="http://schemas.openxmlformats.org/officeDocument/2006/relationships/hyperlink" Target="http://www.sec.gov/cgi-bin/browse-edgar?action=getcompany&amp;CIK=00017556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3635</Characters>
  <CharactersWithSpaces>4235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