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TITUS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CORTEVA,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9330 ZIONSVILLE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Corteva,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CTVA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9"/>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01/30/2023</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820" w:type="dxa"/>
            <w:vAlign w:val="bottom"/>
          </w:tcPr>
          <w:p>
            <w:pPr>
              <w:spacing w:after="0"/>
              <w:rPr>
                <w:sz w:val="11"/>
                <w:szCs w:val="11"/>
                <w:color w:val="auto"/>
              </w:rPr>
            </w:pP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46268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01/26/2023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3,176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63.13</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20,718.8149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pay taxes due upon the settlement of the Reporting Person's PSU award. The original Form 4, filed on January 30, 2023, is being amended by this Form 4/A to correct an administrative error that incorrectly reported the number of shares withheld for taxes, originally reported as 3,168 instead of 3,176.</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acquisition of shares pursuant to dividend reinvestment. The original Form 4, filed on January 30, 2023, is being amended by this Form 4/A to correct an administrative error that incorrectly reported the number of shares beneficially owned following the reported transaction, originally reported as 20,726.8149 instead of 20,718.8149.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Controller and Principal Accounting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02/22/2023</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281" TargetMode="External"/><Relationship Id="rId13"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2023-02-22T18:39:01Z</dcterms:created>
  <dcterms:modified xsi:type="dcterms:W3CDTF">2023-02-22T18:39:01Z</dcterms:modified>
</cp:coreProperties>
</file>