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May 6,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001-38710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134620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215265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Corteva,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41"/>
              <w:spacing w:after="0"/>
              <w:rPr>
                <w:sz w:val="20"/>
                <w:szCs w:val="20"/>
                <w:color w:val="auto"/>
              </w:rPr>
            </w:pPr>
            <w:r>
              <w:rPr>
                <w:rFonts w:ascii="Arial" w:cs="Arial" w:eastAsia="Arial" w:hAnsi="Arial"/>
                <w:sz w:val="18"/>
                <w:szCs w:val="18"/>
                <w:b w:val="1"/>
                <w:bCs w:val="1"/>
                <w:color w:val="auto"/>
              </w:rPr>
              <w:t>82-4979096</w:t>
            </w:r>
          </w:p>
        </w:tc>
      </w:tr>
      <w:tr>
        <w:trPr>
          <w:trHeight w:val="149"/>
        </w:trPr>
        <w:tc>
          <w:tcPr>
            <w:tcW w:w="432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0"/>
              </w:rPr>
              <w:t>974 Centre Road</w:t>
            </w:r>
          </w:p>
        </w:tc>
        <w:tc>
          <w:tcPr>
            <w:tcW w:w="3060" w:type="dxa"/>
            <w:vAlign w:val="bottom"/>
          </w:tcPr>
          <w:p>
            <w:pPr>
              <w:spacing w:after="0"/>
              <w:rPr>
                <w:sz w:val="24"/>
                <w:szCs w:val="24"/>
                <w:color w:val="auto"/>
              </w:rPr>
            </w:pPr>
          </w:p>
        </w:tc>
      </w:tr>
      <w:tr>
        <w:trPr>
          <w:trHeight w:val="225"/>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Wilmington, Delaware</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19805</w:t>
            </w:r>
          </w:p>
        </w:tc>
      </w:tr>
      <w:tr>
        <w:trPr>
          <w:trHeight w:val="186"/>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61"/>
              <w:spacing w:after="0"/>
              <w:rPr>
                <w:sz w:val="20"/>
                <w:szCs w:val="20"/>
                <w:color w:val="auto"/>
              </w:rPr>
            </w:pPr>
            <w:r>
              <w:rPr>
                <w:rFonts w:ascii="Arial" w:cs="Arial" w:eastAsia="Arial" w:hAnsi="Arial"/>
                <w:sz w:val="14"/>
                <w:szCs w:val="14"/>
                <w:b w:val="1"/>
                <w:bCs w:val="1"/>
                <w:color w:val="auto"/>
                <w:w w:val="98"/>
              </w:rPr>
              <w:t>(Zip Code)</w:t>
            </w:r>
          </w:p>
        </w:tc>
      </w:tr>
    </w:tbl>
    <w:p>
      <w:pPr>
        <w:spacing w:after="0" w:line="2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302-774-1000</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16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04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to be so registered</w:t>
            </w:r>
          </w:p>
        </w:tc>
        <w:tc>
          <w:tcPr>
            <w:tcW w:w="404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2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0"/>
              </w:rPr>
              <w:t>Common Stock, par value $</w:t>
            </w:r>
          </w:p>
        </w:tc>
        <w:tc>
          <w:tcPr>
            <w:tcW w:w="4040" w:type="dxa"/>
            <w:vAlign w:val="bottom"/>
          </w:tcPr>
          <w:p>
            <w:pPr>
              <w:spacing w:after="0"/>
              <w:rPr>
                <w:sz w:val="20"/>
                <w:szCs w:val="20"/>
                <w:color w:val="auto"/>
              </w:rPr>
            </w:pPr>
            <w:r>
              <w:rPr>
                <w:rFonts w:ascii="Arial" w:cs="Arial" w:eastAsia="Arial" w:hAnsi="Arial"/>
                <w:sz w:val="18"/>
                <w:szCs w:val="18"/>
                <w:b w:val="1"/>
                <w:bCs w:val="1"/>
                <w:color w:val="auto"/>
              </w:rPr>
              <w:t>0.01 per share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2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80" w:type="dxa"/>
            <w:vAlign w:val="bottom"/>
          </w:tcPr>
          <w:p>
            <w:pPr>
              <w:ind w:left="282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CORTEVA,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2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Certain information required to be included in this Form 10 is incorporated by reference to specifically-identified portions of the body of the information statement filed herewith as Exhibit 99.1 and which will be made available to stockholders. None of the information contained in the information statement shall be incorporated by reference herein or deemed to be a part hereof unless such information is specifically incorporated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140" w:firstLine="441"/>
        <w:spacing w:after="0" w:line="30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“Information Statement Summary,” “Risk Factors,” “Cautionary Statement Concerning Forward-Looking Statements,” “The Distribution,” “Management’s Discussion and Analysis of Financial Condition and Results of Operations,” “Business,” “Certain Relationships and Related Person Transactions,” “Our Relationship with New DuPont and Dow Following the Distribution” and “Where You Can Find More Information.” Those sections are incorporated herein by reference.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w:t>
      </w:r>
    </w:p>
    <w:p>
      <w:pPr>
        <w:spacing w:after="0" w:line="121"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“Risk Factors” and “Cautionary Statement Concerning Forward-Looking Statements.” Those sections are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Financial Information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“Capitalization,” “Unaudited Pro Forma Combined Financial Statements,” “Supplemental Management’s Discussion and Analysis of Pro Forma Segment Results,” “Selected Historical Consolidated Financial Data” and “Management’s Discussion and Analysis of Financial Condition and Results of Operations.” Those sections are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Properties</w:t>
      </w:r>
      <w:r>
        <w:rPr>
          <w:rFonts w:ascii="Arial" w:cs="Arial" w:eastAsia="Arial" w:hAnsi="Arial"/>
          <w:sz w:val="18"/>
          <w:szCs w:val="18"/>
          <w:b w:val="1"/>
          <w:bCs w:val="1"/>
          <w:color w:val="auto"/>
        </w:rPr>
        <w:t>.</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“Business—Facilities.” That section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Security Ownership of Certain Beneficial Owners and Management</w:t>
      </w:r>
      <w:r>
        <w:rPr>
          <w:rFonts w:ascii="Arial" w:cs="Arial" w:eastAsia="Arial" w:hAnsi="Arial"/>
          <w:sz w:val="18"/>
          <w:szCs w:val="18"/>
          <w:b w:val="1"/>
          <w:bCs w:val="1"/>
          <w:color w:val="auto"/>
        </w:rPr>
        <w:t>.</w:t>
      </w:r>
    </w:p>
    <w:p>
      <w:pPr>
        <w:spacing w:after="0" w:line="121"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Directors and Executive Officers.</w:t>
      </w:r>
    </w:p>
    <w:p>
      <w:pPr>
        <w:spacing w:after="0" w:line="121"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“Management.” That section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Executive Compensation</w:t>
      </w:r>
      <w:r>
        <w:rPr>
          <w:rFonts w:ascii="Arial" w:cs="Arial" w:eastAsia="Arial" w:hAnsi="Arial"/>
          <w:sz w:val="18"/>
          <w:szCs w:val="18"/>
          <w:b w:val="1"/>
          <w:bCs w:val="1"/>
          <w:color w:val="auto"/>
        </w:rPr>
        <w:t>.</w:t>
      </w:r>
    </w:p>
    <w:p>
      <w:pPr>
        <w:spacing w:after="0" w:line="12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“Compensation Discussion and Analysis” and “Executive Compensation.” Those sections are incorporated herein by reference.</w:t>
      </w:r>
    </w:p>
    <w:p>
      <w:pPr>
        <w:sectPr>
          <w:pgSz w:w="11900" w:h="16838" w:orient="portrait"/>
          <w:cols w:equalWidth="0" w:num="1">
            <w:col w:w="10840"/>
          </w:cols>
          <w:pgMar w:left="440" w:top="270" w:right="6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7. </w:t>
      </w:r>
      <w:r>
        <w:rPr>
          <w:rFonts w:ascii="Arial" w:cs="Arial" w:eastAsia="Arial" w:hAnsi="Arial"/>
          <w:sz w:val="18"/>
          <w:szCs w:val="18"/>
          <w:b w:val="1"/>
          <w:bCs w:val="1"/>
          <w:i w:val="1"/>
          <w:iCs w:val="1"/>
          <w:color w:val="auto"/>
        </w:rPr>
        <w:t>Certain Relationships and Related Transactions, and Director Independence</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900" w:firstLine="441"/>
        <w:spacing w:after="0" w:line="264"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“Executive Compensation,” “Certain Relationships and Related Person Transactions” and “Our Relationship with New DuPont and Dow Following the Distribution.” Those sections are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Legal Proceedings</w:t>
      </w:r>
      <w:r>
        <w:rPr>
          <w:rFonts w:ascii="Arial" w:cs="Arial" w:eastAsia="Arial" w:hAnsi="Arial"/>
          <w:sz w:val="18"/>
          <w:szCs w:val="18"/>
          <w:b w:val="1"/>
          <w:bCs w:val="1"/>
          <w:color w:val="auto"/>
        </w:rPr>
        <w:t>.</w:t>
      </w:r>
    </w:p>
    <w:p>
      <w:pPr>
        <w:spacing w:after="0" w:line="12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“Business—Environmental and Other Legal Proceedings.” That section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Market Price of, and Dividends on, the Registrant’s Common Equity and Related Stockholder Matters</w:t>
      </w:r>
      <w:r>
        <w:rPr>
          <w:rFonts w:ascii="Arial" w:cs="Arial" w:eastAsia="Arial" w:hAnsi="Arial"/>
          <w:sz w:val="18"/>
          <w:szCs w:val="18"/>
          <w:b w:val="1"/>
          <w:bCs w:val="1"/>
          <w:color w:val="auto"/>
        </w:rPr>
        <w:t>.</w:t>
      </w:r>
    </w:p>
    <w:p>
      <w:pPr>
        <w:spacing w:after="0" w:line="121"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“Risk Factors,” “The Distribution,” “Dividend Policy,” “Capitalization” and “Description of Our Capital Stock.” Those sections are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Recent Sales of Unregistered Securities</w:t>
      </w:r>
      <w:r>
        <w:rPr>
          <w:rFonts w:ascii="Arial" w:cs="Arial" w:eastAsia="Arial" w:hAnsi="Arial"/>
          <w:sz w:val="18"/>
          <w:szCs w:val="18"/>
          <w:b w:val="1"/>
          <w:bCs w:val="1"/>
          <w:color w:val="auto"/>
        </w:rPr>
        <w:t>.</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Our Capital Stock.” That section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Description of Registrant’s Securities to be Registered</w:t>
      </w:r>
      <w:r>
        <w:rPr>
          <w:rFonts w:ascii="Arial" w:cs="Arial" w:eastAsia="Arial" w:hAnsi="Arial"/>
          <w:sz w:val="18"/>
          <w:szCs w:val="18"/>
          <w:b w:val="1"/>
          <w:bCs w:val="1"/>
          <w:color w:val="auto"/>
        </w:rPr>
        <w:t>.</w:t>
      </w:r>
    </w:p>
    <w:p>
      <w:pPr>
        <w:spacing w:after="0" w:line="121"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“Risk Factors,” “The Distribution,” “Dividend Policy,” “Capitalization” and “Description of Our Capital Stock.” Those sections are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Our Capital Stock.” That section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Financial Statements and Supplementary Data</w:t>
      </w:r>
      <w:r>
        <w:rPr>
          <w:rFonts w:ascii="Arial" w:cs="Arial" w:eastAsia="Arial" w:hAnsi="Arial"/>
          <w:sz w:val="18"/>
          <w:szCs w:val="18"/>
          <w:b w:val="1"/>
          <w:bCs w:val="1"/>
          <w:color w:val="auto"/>
        </w:rPr>
        <w:t>.</w:t>
      </w:r>
    </w:p>
    <w:p>
      <w:pPr>
        <w:spacing w:after="0" w:line="121"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The information required by this item is contained in the financial statements that are filed as Exhibit 99.2 hereto and which are incorporated herein by reference. Additional information is contained under the section of the information statement entitled “Merger, Intended Separations, Reorganization and Financial Statement Presentation—Financial Statement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Financial Statements and Exhibits</w:t>
      </w:r>
      <w:r>
        <w:rPr>
          <w:rFonts w:ascii="Arial" w:cs="Arial" w:eastAsia="Arial" w:hAnsi="Arial"/>
          <w:sz w:val="18"/>
          <w:szCs w:val="18"/>
          <w:b w:val="1"/>
          <w:bCs w:val="1"/>
          <w:color w:val="auto"/>
        </w:rPr>
        <w: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 Financial Statements</w:t>
      </w:r>
    </w:p>
    <w:p>
      <w:pPr>
        <w:spacing w:after="0" w:line="117" w:lineRule="exact"/>
        <w:rPr>
          <w:sz w:val="20"/>
          <w:szCs w:val="20"/>
          <w:color w:val="auto"/>
        </w:rPr>
      </w:pPr>
    </w:p>
    <w:p>
      <w:pPr>
        <w:jc w:val="both"/>
        <w:ind w:right="660" w:firstLine="441"/>
        <w:spacing w:after="0" w:line="286" w:lineRule="auto"/>
        <w:rPr>
          <w:sz w:val="20"/>
          <w:szCs w:val="20"/>
          <w:color w:val="auto"/>
        </w:rPr>
      </w:pPr>
      <w:r>
        <w:rPr>
          <w:rFonts w:ascii="Arial" w:cs="Arial" w:eastAsia="Arial" w:hAnsi="Arial"/>
          <w:sz w:val="17"/>
          <w:szCs w:val="17"/>
          <w:color w:val="auto"/>
        </w:rPr>
        <w:t>The information required by this item is contained in the financial statements that are filed as Exhibits 99.2 and 99.3 hereto and which are incorporated herein by reference. Additional information is contained under the section of the information statement entitled “Merger, Intended Separations, Reorganization and Financial Statement Presentation—Financial Statement Presentation.”</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filed as exhibits hereto:</w:t>
      </w:r>
    </w:p>
    <w:p>
      <w:pPr>
        <w:sectPr>
          <w:pgSz w:w="11900" w:h="16838" w:orient="portrait"/>
          <w:cols w:equalWidth="0" w:num="1">
            <w:col w:w="11020"/>
          </w:cols>
          <w:pgMar w:left="44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740" w:type="dxa"/>
            <w:vAlign w:val="bottom"/>
            <w:gridSpan w:val="23"/>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4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 w:type="dxa"/>
            <w:vAlign w:val="bottom"/>
            <w:tcBorders>
              <w:top w:val="single" w:sz="8" w:color="auto"/>
            </w:tcBorders>
          </w:tcPr>
          <w:p>
            <w:pPr>
              <w:ind w:left="120"/>
              <w:spacing w:after="0" w:line="163" w:lineRule="exact"/>
              <w:rPr>
                <w:sz w:val="20"/>
                <w:szCs w:val="20"/>
                <w:color w:val="auto"/>
              </w:rPr>
            </w:pPr>
            <w:r>
              <w:rPr>
                <w:rFonts w:ascii="Arial" w:cs="Arial" w:eastAsia="Arial" w:hAnsi="Arial"/>
                <w:sz w:val="18"/>
                <w:szCs w:val="18"/>
                <w:color w:val="auto"/>
              </w:rPr>
              <w:t>2.1</w:t>
            </w:r>
          </w:p>
        </w:tc>
        <w:tc>
          <w:tcPr>
            <w:tcW w:w="620" w:type="dxa"/>
            <w:vAlign w:val="bottom"/>
          </w:tcPr>
          <w:p>
            <w:pPr>
              <w:spacing w:after="0"/>
              <w:rPr>
                <w:sz w:val="14"/>
                <w:szCs w:val="14"/>
                <w:color w:val="auto"/>
              </w:rPr>
            </w:pPr>
          </w:p>
        </w:tc>
        <w:tc>
          <w:tcPr>
            <w:tcW w:w="9900" w:type="dxa"/>
            <w:vAlign w:val="bottom"/>
            <w:tcBorders>
              <w:top w:val="single" w:sz="8" w:color="auto"/>
            </w:tcBorders>
            <w:gridSpan w:val="31"/>
          </w:tcPr>
          <w:p>
            <w:pPr>
              <w:spacing w:after="0" w:line="163" w:lineRule="exact"/>
              <w:rPr>
                <w:rFonts w:ascii="Arial" w:cs="Arial" w:eastAsia="Arial" w:hAnsi="Arial"/>
                <w:sz w:val="18"/>
                <w:szCs w:val="18"/>
                <w:color w:val="0000EE"/>
              </w:rPr>
            </w:pPr>
            <w:hyperlink r:id="rId19">
              <w:r>
                <w:rPr>
                  <w:rFonts w:ascii="Arial" w:cs="Arial" w:eastAsia="Arial" w:hAnsi="Arial"/>
                  <w:sz w:val="18"/>
                  <w:szCs w:val="18"/>
                  <w:color w:val="0000EE"/>
                </w:rPr>
                <w:t>Separation and Distribution Agreement by and among DowDuPont Inc., Dow Inc. and Corteva, Inc.†**</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ind w:left="14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744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Form of Amended and Restated Certificate of Incorporation of Corteva, Inc.</w:t>
            </w:r>
          </w:p>
        </w:tc>
        <w:tc>
          <w:tcPr>
            <w:tcW w:w="2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40"/>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41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0"/>
              </w:rPr>
              <w:t>Form of Amended and Restated By-Laws of Corteva, Inc.</w:t>
            </w:r>
          </w:p>
        </w:tc>
        <w:tc>
          <w:tcPr>
            <w:tcW w:w="1300" w:type="dxa"/>
            <w:vAlign w:val="bottom"/>
            <w:tcBorders>
              <w:top w:val="single" w:sz="8" w:color="0000EE"/>
            </w:tcBorders>
            <w:gridSpan w:val="2"/>
          </w:tcPr>
          <w:p>
            <w:pPr>
              <w:spacing w:after="0"/>
              <w:rPr>
                <w:sz w:val="24"/>
                <w:szCs w:val="24"/>
                <w:color w:val="auto"/>
              </w:rPr>
            </w:pPr>
          </w:p>
        </w:tc>
        <w:tc>
          <w:tcPr>
            <w:tcW w:w="44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rPr>
            </w:pPr>
            <w:hyperlink r:id="rId20">
              <w:r>
                <w:rPr>
                  <w:rFonts w:ascii="Arial" w:cs="Arial" w:eastAsia="Arial" w:hAnsi="Arial"/>
                  <w:sz w:val="18"/>
                  <w:szCs w:val="18"/>
                  <w:color w:val="0000EE"/>
                </w:rPr>
                <w:t>Tax Matters Agreement by and among DowDuPont Inc., Corteva, Inc. and Dow Inc.†**</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rPr>
            </w:pPr>
            <w:hyperlink r:id="rId21">
              <w:r>
                <w:rPr>
                  <w:rFonts w:ascii="Arial" w:cs="Arial" w:eastAsia="Arial" w:hAnsi="Arial"/>
                  <w:sz w:val="18"/>
                  <w:szCs w:val="18"/>
                  <w:color w:val="0000EE"/>
                </w:rPr>
                <w:t>Employee Matters Agreement by and among DowDuPont Inc., Corteva, Inc. and Dow Inc.†**</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9900" w:type="dxa"/>
            <w:vAlign w:val="bottom"/>
            <w:gridSpan w:val="31"/>
          </w:tcPr>
          <w:p>
            <w:pPr>
              <w:spacing w:after="0"/>
              <w:rPr>
                <w:sz w:val="20"/>
                <w:szCs w:val="20"/>
                <w:color w:val="auto"/>
              </w:rPr>
            </w:pPr>
            <w:r>
              <w:rPr>
                <w:rFonts w:ascii="Arial" w:cs="Arial" w:eastAsia="Arial" w:hAnsi="Arial"/>
                <w:sz w:val="18"/>
                <w:szCs w:val="18"/>
                <w:color w:val="0000EE"/>
              </w:rPr>
              <w:t xml:space="preserve">Form of Intellectual Property Cross-License Agreement by and between Corteva, Inc. and DowDuPont Inc. </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7760" w:type="dxa"/>
            <w:vAlign w:val="bottom"/>
            <w:tcBorders>
              <w:top w:val="single" w:sz="8" w:color="0000EE"/>
            </w:tcBorders>
            <w:gridSpan w:val="17"/>
          </w:tcPr>
          <w:p>
            <w:pPr>
              <w:spacing w:after="0"/>
              <w:rPr>
                <w:rFonts w:ascii="Arial" w:cs="Arial" w:eastAsia="Arial" w:hAnsi="Arial"/>
                <w:sz w:val="18"/>
                <w:szCs w:val="18"/>
                <w:color w:val="0000EE"/>
              </w:rPr>
            </w:pPr>
            <w:hyperlink r:id="rId22">
              <w:r>
                <w:rPr>
                  <w:rFonts w:ascii="Arial" w:cs="Arial" w:eastAsia="Arial" w:hAnsi="Arial"/>
                  <w:sz w:val="18"/>
                  <w:szCs w:val="18"/>
                  <w:color w:val="0000EE"/>
                </w:rPr>
                <w:t>Intellectual Property Cross-License Agreement by and between Corteva, Inc. and Dow Inc.†**</w:t>
              </w:r>
            </w:hyperlink>
          </w:p>
        </w:tc>
        <w:tc>
          <w:tcPr>
            <w:tcW w:w="2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4"/>
                <w:szCs w:val="24"/>
                <w:color w:val="auto"/>
              </w:rPr>
            </w:pPr>
          </w:p>
        </w:tc>
        <w:tc>
          <w:tcPr>
            <w:tcW w:w="37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0"/>
              </w:rPr>
              <w:t>Form of Corteva, Inc. 2019 Omnibus Incentive Plan.</w:t>
            </w:r>
          </w:p>
        </w:tc>
        <w:tc>
          <w:tcPr>
            <w:tcW w:w="3020" w:type="dxa"/>
            <w:vAlign w:val="bottom"/>
            <w:tcBorders>
              <w:top w:val="single" w:sz="8" w:color="0000EE"/>
            </w:tcBorders>
            <w:gridSpan w:val="8"/>
          </w:tcPr>
          <w:p>
            <w:pPr>
              <w:spacing w:after="0"/>
              <w:rPr>
                <w:sz w:val="24"/>
                <w:szCs w:val="24"/>
                <w:color w:val="auto"/>
              </w:rPr>
            </w:pPr>
          </w:p>
        </w:tc>
        <w:tc>
          <w:tcPr>
            <w:tcW w:w="31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24"/>
                <w:szCs w:val="24"/>
                <w:color w:val="auto"/>
              </w:rPr>
            </w:pPr>
          </w:p>
        </w:tc>
        <w:tc>
          <w:tcPr>
            <w:tcW w:w="9900" w:type="dxa"/>
            <w:vAlign w:val="bottom"/>
            <w:gridSpan w:val="31"/>
          </w:tcPr>
          <w:p>
            <w:pPr>
              <w:spacing w:after="0"/>
              <w:rPr>
                <w:sz w:val="20"/>
                <w:szCs w:val="20"/>
                <w:color w:val="auto"/>
              </w:rPr>
            </w:pPr>
            <w:r>
              <w:rPr>
                <w:rFonts w:ascii="Arial" w:cs="Arial" w:eastAsia="Arial" w:hAnsi="Arial"/>
                <w:sz w:val="18"/>
                <w:szCs w:val="18"/>
                <w:color w:val="0000EE"/>
              </w:rPr>
              <w:t>Fondation de Prevoyance en Faveur du Personnel de DuPont de Nemours International SÁRL.</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4"/>
                <w:szCs w:val="24"/>
                <w:color w:val="auto"/>
              </w:rPr>
            </w:pPr>
          </w:p>
        </w:tc>
        <w:tc>
          <w:tcPr>
            <w:tcW w:w="9500" w:type="dxa"/>
            <w:vAlign w:val="bottom"/>
            <w:tcBorders>
              <w:bottom w:val="single" w:sz="8" w:color="0000EE"/>
            </w:tcBorders>
            <w:gridSpan w:val="23"/>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The E. I. du Pont de Nemours and Company Management Deferred Compensation Plan, incorporated by reference to Exhibit 4.3 to</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DowDuPont Inc. Registration Statement on Form S-8 filed September 1, 2017.</w:t>
              </w:r>
              <w:r>
                <w:rPr>
                  <w:rFonts w:ascii="Arial" w:cs="Arial" w:eastAsia="Arial" w:hAnsi="Arial"/>
                  <w:sz w:val="18"/>
                  <w:szCs w:val="18"/>
                  <w:color w:val="000000"/>
                </w:rPr>
                <w:t>† *</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6"/>
              </w:rPr>
            </w:pPr>
            <w:hyperlink r:id="rId24">
              <w:r>
                <w:rPr>
                  <w:rFonts w:ascii="Arial" w:cs="Arial" w:eastAsia="Arial" w:hAnsi="Arial"/>
                  <w:sz w:val="18"/>
                  <w:szCs w:val="18"/>
                  <w:color w:val="0000EE"/>
                  <w:w w:val="96"/>
                </w:rPr>
                <w:t>The E. I. du Pont de Nemours and Company Stock Accumulation and Deferred Compensation Plan for Directors,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reference to Exhibit 4.4 to DowDuPont Inc. Registration Statement on Form S-8 filed September 1, 2017.</w:t>
              </w:r>
              <w:r>
                <w:rPr>
                  <w:rFonts w:ascii="Arial" w:cs="Arial" w:eastAsia="Arial" w:hAnsi="Arial"/>
                  <w:sz w:val="18"/>
                  <w:szCs w:val="18"/>
                  <w:color w:val="000000"/>
                </w:rPr>
                <w:t>† *</w:t>
              </w:r>
            </w:hyperlink>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80" w:type="dxa"/>
            <w:vAlign w:val="bottom"/>
            <w:gridSpan w:val="7"/>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9780" w:type="dxa"/>
            <w:vAlign w:val="bottom"/>
            <w:tcBorders>
              <w:bottom w:val="single" w:sz="8" w:color="0000EE"/>
            </w:tcBorders>
            <w:gridSpan w:val="28"/>
          </w:tcPr>
          <w:p>
            <w:pPr>
              <w:spacing w:after="0"/>
              <w:rPr>
                <w:rFonts w:ascii="Arial" w:cs="Arial" w:eastAsia="Arial" w:hAnsi="Arial"/>
                <w:sz w:val="18"/>
                <w:szCs w:val="18"/>
                <w:color w:val="0000EE"/>
                <w:w w:val="89"/>
              </w:rPr>
            </w:pPr>
            <w:hyperlink r:id="rId25">
              <w:r>
                <w:rPr>
                  <w:rFonts w:ascii="Arial" w:cs="Arial" w:eastAsia="Arial" w:hAnsi="Arial"/>
                  <w:sz w:val="18"/>
                  <w:szCs w:val="18"/>
                  <w:color w:val="0000EE"/>
                  <w:w w:val="89"/>
                </w:rPr>
                <w:t>E. I. du Pont de Nemours and Company’s Pension Restoration Plan, as last amended effective June 29, 2015 (incorporated by reference</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to Exhibit 10.3 to E. I. du Pont de Nemours and Company’s Quarterly Report on Form 10-Q (Commission file number 1-815) for the</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period ended June 30, 2015).</w:t>
              </w:r>
              <w:r>
                <w:rPr>
                  <w:rFonts w:ascii="Arial" w:cs="Arial" w:eastAsia="Arial" w:hAnsi="Arial"/>
                  <w:sz w:val="18"/>
                  <w:szCs w:val="18"/>
                  <w:color w:val="000000"/>
                </w:rPr>
                <w:t>† *</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62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4"/>
              </w:rPr>
            </w:pPr>
            <w:hyperlink r:id="rId26">
              <w:r>
                <w:rPr>
                  <w:rFonts w:ascii="Arial" w:cs="Arial" w:eastAsia="Arial" w:hAnsi="Arial"/>
                  <w:sz w:val="18"/>
                  <w:szCs w:val="18"/>
                  <w:color w:val="0000EE"/>
                  <w:w w:val="94"/>
                </w:rPr>
                <w:t>E. I. du Pont de Nemours and Company’s Rules for Lump Sum Payments, as last amended effective May 15, 2014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0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reference to Exhibit 10.4 to E. I. du Pont de Nemours and Company’s Quarterly Report on Form 10-Q (Commission file number 1-815)</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for the period ended June 30, 2015).</w:t>
              </w:r>
              <w:r>
                <w:rPr>
                  <w:rFonts w:ascii="Arial" w:cs="Arial" w:eastAsia="Arial" w:hAnsi="Arial"/>
                  <w:sz w:val="18"/>
                  <w:szCs w:val="18"/>
                  <w:color w:val="000000"/>
                </w:rPr>
                <w:t>† *</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62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E. I. du Pont de Nemours and Company’s Retirement Savings Restoration Plan, as last amended effective May 15, 2014. (incorporated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20" w:type="dxa"/>
            <w:vAlign w:val="bottom"/>
            <w:tcBorders>
              <w:top w:val="single" w:sz="8" w:color="0000EE"/>
            </w:tcBorders>
            <w:gridSpan w:val="26"/>
          </w:tcPr>
          <w:p>
            <w:pPr>
              <w:spacing w:after="0" w:line="196" w:lineRule="exact"/>
              <w:rPr>
                <w:rFonts w:ascii="Arial" w:cs="Arial" w:eastAsia="Arial" w:hAnsi="Arial"/>
                <w:sz w:val="18"/>
                <w:szCs w:val="18"/>
                <w:color w:val="0000EE"/>
                <w:w w:val="99"/>
              </w:rPr>
            </w:pPr>
            <w:hyperlink r:id="rId27">
              <w:r>
                <w:rPr>
                  <w:rFonts w:ascii="Arial" w:cs="Arial" w:eastAsia="Arial" w:hAnsi="Arial"/>
                  <w:sz w:val="18"/>
                  <w:szCs w:val="18"/>
                  <w:color w:val="0000EE"/>
                  <w:w w:val="99"/>
                </w:rPr>
                <w:t>by reference to Exhibit 10.08 to E. I. du Pont de Nemours and Company’s Quarterly Report on Form 10-Q (Commission file</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number 1-815) for the period ended June 30, 2014).</w:t>
              </w:r>
              <w:r>
                <w:rPr>
                  <w:rFonts w:ascii="Arial" w:cs="Arial" w:eastAsia="Arial" w:hAnsi="Arial"/>
                  <w:sz w:val="18"/>
                  <w:szCs w:val="18"/>
                  <w:color w:val="000000"/>
                </w:rPr>
                <w:t>† *</w:t>
              </w:r>
            </w:hyperlink>
          </w:p>
        </w:tc>
        <w:tc>
          <w:tcPr>
            <w:tcW w:w="9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62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6"/>
              </w:rPr>
            </w:pPr>
            <w:hyperlink r:id="rId28">
              <w:r>
                <w:rPr>
                  <w:rFonts w:ascii="Arial" w:cs="Arial" w:eastAsia="Arial" w:hAnsi="Arial"/>
                  <w:sz w:val="18"/>
                  <w:szCs w:val="18"/>
                  <w:color w:val="0000EE"/>
                  <w:w w:val="96"/>
                </w:rPr>
                <w:t>E. I. du Pont de Nemours and Company’s Retirement Income Plan for Directors, as last amended January 2011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220" w:type="dxa"/>
            <w:vAlign w:val="bottom"/>
            <w:gridSpan w:val="10"/>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w w:val="92"/>
              </w:rPr>
            </w:pPr>
            <w:hyperlink r:id="rId28">
              <w:r>
                <w:rPr>
                  <w:rFonts w:ascii="Arial" w:cs="Arial" w:eastAsia="Arial" w:hAnsi="Arial"/>
                  <w:sz w:val="18"/>
                  <w:szCs w:val="18"/>
                  <w:color w:val="0000EE"/>
                  <w:w w:val="92"/>
                </w:rPr>
                <w:t>reference to Exhibit 10.9 to E. I. du Pont de Nemours and Company’s Quarterly Report on Form 10-Q (Commission file number 1-815)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for the period ended March 31, 2012).</w:t>
              </w:r>
              <w:r>
                <w:rPr>
                  <w:rFonts w:ascii="Arial" w:cs="Arial" w:eastAsia="Arial" w:hAnsi="Arial"/>
                  <w:sz w:val="18"/>
                  <w:szCs w:val="18"/>
                  <w:color w:val="000000"/>
                </w:rPr>
                <w:t>† *</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620" w:type="dxa"/>
            <w:vAlign w:val="bottom"/>
          </w:tcPr>
          <w:p>
            <w:pPr>
              <w:spacing w:after="0"/>
              <w:rPr>
                <w:sz w:val="24"/>
                <w:szCs w:val="24"/>
                <w:color w:val="auto"/>
              </w:rPr>
            </w:pPr>
          </w:p>
        </w:tc>
        <w:tc>
          <w:tcPr>
            <w:tcW w:w="9420" w:type="dxa"/>
            <w:vAlign w:val="bottom"/>
            <w:tcBorders>
              <w:bottom w:val="single" w:sz="8" w:color="0000EE"/>
            </w:tcBorders>
            <w:gridSpan w:val="22"/>
          </w:tcPr>
          <w:p>
            <w:pPr>
              <w:spacing w:after="0"/>
              <w:rPr>
                <w:rFonts w:ascii="Arial" w:cs="Arial" w:eastAsia="Arial" w:hAnsi="Arial"/>
                <w:sz w:val="18"/>
                <w:szCs w:val="18"/>
                <w:color w:val="0000EE"/>
                <w:w w:val="89"/>
              </w:rPr>
            </w:pPr>
            <w:hyperlink r:id="rId29">
              <w:r>
                <w:rPr>
                  <w:rFonts w:ascii="Arial" w:cs="Arial" w:eastAsia="Arial" w:hAnsi="Arial"/>
                  <w:sz w:val="18"/>
                  <w:szCs w:val="18"/>
                  <w:color w:val="0000EE"/>
                  <w:w w:val="89"/>
                </w:rPr>
                <w:t>E. I. du Pont de Nemours and Company’s Senior Executive Severance Plan, as amended and restated effective December 10, 2015</w:t>
              </w:r>
            </w:hyperlink>
          </w:p>
        </w:tc>
        <w:tc>
          <w:tcPr>
            <w:tcW w:w="4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(incorporated by reference to Exhibit 10.10 to E. I. du Pont de Nemours and Company’s Annual Report on Form 10-K (Commission file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number 1-815) for the year ended December 31, 2015).</w:t>
              </w:r>
              <w:r>
                <w:rPr>
                  <w:rFonts w:ascii="Arial" w:cs="Arial" w:eastAsia="Arial" w:hAnsi="Arial"/>
                  <w:sz w:val="18"/>
                  <w:szCs w:val="18"/>
                  <w:color w:val="000000"/>
                </w:rPr>
                <w:t>† **</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620" w:type="dxa"/>
            <w:vAlign w:val="bottom"/>
          </w:tcPr>
          <w:p>
            <w:pPr>
              <w:spacing w:after="0"/>
              <w:rPr>
                <w:sz w:val="24"/>
                <w:szCs w:val="24"/>
                <w:color w:val="auto"/>
              </w:rPr>
            </w:pPr>
          </w:p>
        </w:tc>
        <w:tc>
          <w:tcPr>
            <w:tcW w:w="9840" w:type="dxa"/>
            <w:vAlign w:val="bottom"/>
            <w:tcBorders>
              <w:bottom w:val="single" w:sz="8" w:color="0000EE"/>
            </w:tcBorders>
            <w:gridSpan w:val="30"/>
          </w:tcPr>
          <w:p>
            <w:pPr>
              <w:spacing w:after="0"/>
              <w:rPr>
                <w:rFonts w:ascii="Arial" w:cs="Arial" w:eastAsia="Arial" w:hAnsi="Arial"/>
                <w:sz w:val="18"/>
                <w:szCs w:val="18"/>
                <w:color w:val="0000EE"/>
                <w:w w:val="89"/>
              </w:rPr>
            </w:pPr>
            <w:hyperlink r:id="rId30">
              <w:r>
                <w:rPr>
                  <w:rFonts w:ascii="Arial" w:cs="Arial" w:eastAsia="Arial" w:hAnsi="Arial"/>
                  <w:sz w:val="18"/>
                  <w:szCs w:val="18"/>
                  <w:color w:val="0000EE"/>
                  <w:w w:val="89"/>
                </w:rPr>
                <w:t>Separation Agreement by and between E. I. du Pont de Nemours and Company and The Chemours Company (incorporated by reference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to Exhibit 2.1 to E. I. du Pont de Nemours and Company’s Current Report on Form 8-K (Commission file number 1-815) dated July 8,</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2015).</w:t>
              </w:r>
              <w:r>
                <w:rPr>
                  <w:rFonts w:ascii="Arial" w:cs="Arial" w:eastAsia="Arial" w:hAnsi="Arial"/>
                  <w:sz w:val="18"/>
                  <w:szCs w:val="18"/>
                  <w:color w:val="000000"/>
                </w:rPr>
                <w:t>† **</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620" w:type="dxa"/>
            <w:vAlign w:val="bottom"/>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w w:val="93"/>
              </w:rPr>
            </w:pPr>
            <w:hyperlink r:id="rId31">
              <w:r>
                <w:rPr>
                  <w:rFonts w:ascii="Arial" w:cs="Arial" w:eastAsia="Arial" w:hAnsi="Arial"/>
                  <w:sz w:val="18"/>
                  <w:szCs w:val="18"/>
                  <w:color w:val="0000EE"/>
                  <w:w w:val="93"/>
                </w:rPr>
                <w:t>Amendment No. 1 to Separation Agreement by and between E. I. du Pont de Nemours and Company and The Chemours Company,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00" w:type="dxa"/>
            <w:vAlign w:val="bottom"/>
            <w:tcBorders>
              <w:top w:val="single" w:sz="8" w:color="0000EE"/>
            </w:tcBorders>
            <w:gridSpan w:val="23"/>
          </w:tcPr>
          <w:p>
            <w:pPr>
              <w:spacing w:after="0" w:line="196"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dated August 24, 2017 (incorporated by reference to Exhibit 2.1 to E. I. du Pont de Nemours and Company’s Current Report on</w:t>
              </w:r>
            </w:hyperlink>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1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Form 8-K (Commission file number 1-815) dated August 25, 2017).</w:t>
              </w:r>
              <w:r>
                <w:rPr>
                  <w:rFonts w:ascii="Arial" w:cs="Arial" w:eastAsia="Arial" w:hAnsi="Arial"/>
                  <w:sz w:val="18"/>
                  <w:szCs w:val="18"/>
                  <w:color w:val="000000"/>
                </w:rPr>
                <w:t>† **</w:t>
              </w:r>
            </w:hyperlink>
          </w:p>
        </w:tc>
        <w:tc>
          <w:tcPr>
            <w:tcW w:w="7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40"/>
          </w:cols>
          <w:pgMar w:left="440" w:top="253"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780" w:type="dxa"/>
            <w:vAlign w:val="bottom"/>
            <w:gridSpan w:val="11"/>
            <w:vMerge w:val="restart"/>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78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18"/>
                <w:szCs w:val="18"/>
                <w:color w:val="auto"/>
              </w:rPr>
              <w:t>10.16</w:t>
            </w:r>
          </w:p>
        </w:tc>
        <w:tc>
          <w:tcPr>
            <w:tcW w:w="600" w:type="dxa"/>
            <w:vAlign w:val="bottom"/>
          </w:tcPr>
          <w:p>
            <w:pPr>
              <w:spacing w:after="0"/>
              <w:rPr>
                <w:sz w:val="23"/>
                <w:szCs w:val="23"/>
                <w:color w:val="auto"/>
              </w:rPr>
            </w:pPr>
          </w:p>
        </w:tc>
        <w:tc>
          <w:tcPr>
            <w:tcW w:w="9240" w:type="dxa"/>
            <w:vAlign w:val="bottom"/>
            <w:tcBorders>
              <w:bottom w:val="single" w:sz="8" w:color="0000EE"/>
            </w:tcBorders>
            <w:gridSpan w:val="8"/>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Tax Matters Agreement by and between E. I. du Pont de Nemours and Company and The Chemours Company (incorporated by</w:t>
              </w:r>
            </w:hyperlink>
          </w:p>
        </w:tc>
        <w:tc>
          <w:tcPr>
            <w:tcW w:w="68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reference to Exhibit 2.2 to E. I. du Pont de Nemours and Company’s Current Report on Form 8-K (Commission file number 1-815) dated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July 8, 2015).</w:t>
              </w:r>
              <w:r>
                <w:rPr>
                  <w:rFonts w:ascii="Arial" w:cs="Arial" w:eastAsia="Arial" w:hAnsi="Arial"/>
                  <w:sz w:val="18"/>
                  <w:szCs w:val="18"/>
                  <w:color w:val="000000"/>
                </w:rPr>
                <w: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10.17</w:t>
            </w:r>
          </w:p>
        </w:tc>
        <w:tc>
          <w:tcPr>
            <w:tcW w:w="60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EE"/>
                <w:w w:val="93"/>
              </w:rPr>
            </w:pPr>
            <w:hyperlink r:id="rId34">
              <w:r>
                <w:rPr>
                  <w:rFonts w:ascii="Arial" w:cs="Arial" w:eastAsia="Arial" w:hAnsi="Arial"/>
                  <w:sz w:val="18"/>
                  <w:szCs w:val="18"/>
                  <w:color w:val="0000EE"/>
                  <w:w w:val="93"/>
                </w:rPr>
                <w:t>Transaction Agreement, dated as of March 31, 2017, by and between E. I. du Pont de Nemours and Company and FMC Corporation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(incorporated by reference to Exhibit 10.25 to E. I. du Pont de Nemours and Company’s Quarterly Report on Form 10-Q (Commission</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file number 1-815) for the period ended March 31, 2017).</w:t>
              </w:r>
              <w:r>
                <w:rPr>
                  <w:rFonts w:ascii="Arial" w:cs="Arial" w:eastAsia="Arial" w:hAnsi="Arial"/>
                  <w:sz w:val="18"/>
                  <w:szCs w:val="18"/>
                  <w:color w:val="000000"/>
                </w:rPr>
                <w:t>† **</w:t>
              </w:r>
            </w:hyperlink>
          </w:p>
        </w:tc>
        <w:tc>
          <w:tcPr>
            <w:tcW w:w="0" w:type="dxa"/>
            <w:vAlign w:val="bottom"/>
          </w:tcPr>
          <w:p>
            <w:pPr>
              <w:spacing w:after="0"/>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24"/>
                <w:szCs w:val="24"/>
                <w:color w:val="auto"/>
              </w:rPr>
            </w:pPr>
          </w:p>
        </w:tc>
        <w:tc>
          <w:tcPr>
            <w:tcW w:w="41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Subsidiaries of Corteva, Inc.</w:t>
            </w:r>
          </w:p>
        </w:tc>
        <w:tc>
          <w:tcPr>
            <w:tcW w:w="57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Arial" w:cs="Arial" w:eastAsia="Arial" w:hAnsi="Arial"/>
                <w:sz w:val="18"/>
                <w:szCs w:val="18"/>
                <w:color w:val="0000EE"/>
              </w:rPr>
              <w:t>Information Statement of Corteva, Inc., preliminary and subject to completion, dated May 6, 2019.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99.2</w:t>
            </w:r>
          </w:p>
        </w:tc>
        <w:tc>
          <w:tcPr>
            <w:tcW w:w="60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EE"/>
                <w:w w:val="92"/>
              </w:rPr>
            </w:pPr>
            <w:hyperlink r:id="rId35">
              <w:r>
                <w:rPr>
                  <w:rFonts w:ascii="Arial" w:cs="Arial" w:eastAsia="Arial" w:hAnsi="Arial"/>
                  <w:sz w:val="18"/>
                  <w:szCs w:val="18"/>
                  <w:color w:val="0000EE"/>
                  <w:w w:val="92"/>
                </w:rPr>
                <w:t>The Audited Consolidated Financial Statements of E. I. du Pont de Nemours and Company as of December 31, 2018 and 2017, for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35">
              <w:r>
                <w:rPr>
                  <w:rFonts w:ascii="Arial" w:cs="Arial" w:eastAsia="Arial" w:hAnsi="Arial"/>
                  <w:sz w:val="18"/>
                  <w:szCs w:val="18"/>
                  <w:color w:val="0000EE"/>
                  <w:w w:val="89"/>
                </w:rPr>
                <w:t>year ended December 31, 2018, for the period September 1, 2017 through December 31, 2017, for the period January 1, 2017 through</w:t>
              </w:r>
            </w:hyperlink>
          </w:p>
        </w:tc>
        <w:tc>
          <w:tcPr>
            <w:tcW w:w="80" w:type="dxa"/>
            <w:vAlign w:val="bottom"/>
            <w:tcBorders>
              <w:top w:val="single" w:sz="8" w:color="0000EE"/>
            </w:tcBorders>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August 31, 2017 and the year ended December 31, 2016, and the accompanying notes thereto.</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99.3</w:t>
            </w:r>
          </w:p>
        </w:tc>
        <w:tc>
          <w:tcPr>
            <w:tcW w:w="600" w:type="dxa"/>
            <w:vAlign w:val="bottom"/>
          </w:tcPr>
          <w:p>
            <w:pPr>
              <w:spacing w:after="0"/>
              <w:rPr>
                <w:sz w:val="24"/>
                <w:szCs w:val="24"/>
                <w:color w:val="auto"/>
              </w:rPr>
            </w:pPr>
          </w:p>
        </w:tc>
        <w:tc>
          <w:tcPr>
            <w:tcW w:w="9920" w:type="dxa"/>
            <w:vAlign w:val="bottom"/>
            <w:gridSpan w:val="15"/>
          </w:tcPr>
          <w:p>
            <w:pPr>
              <w:spacing w:after="0"/>
              <w:rPr>
                <w:rFonts w:ascii="Arial" w:cs="Arial" w:eastAsia="Arial" w:hAnsi="Arial"/>
                <w:sz w:val="18"/>
                <w:szCs w:val="18"/>
                <w:color w:val="0000EE"/>
                <w:w w:val="91"/>
              </w:rPr>
            </w:pPr>
            <w:hyperlink r:id="rId36">
              <w:r>
                <w:rPr>
                  <w:rFonts w:ascii="Arial" w:cs="Arial" w:eastAsia="Arial" w:hAnsi="Arial"/>
                  <w:sz w:val="18"/>
                  <w:szCs w:val="18"/>
                  <w:color w:val="0000EE"/>
                  <w:w w:val="91"/>
                </w:rPr>
                <w:t>The Audited Combined Financial Statements of The Dow Agricultural Sciences Business as of December 31, 2018 and 2017 and for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three years ended December 31, 2018, 2017 and 2016.</w:t>
              </w:r>
              <w:r>
                <w:rPr>
                  <w:rFonts w:ascii="Arial" w:cs="Arial" w:eastAsia="Arial" w:hAnsi="Arial"/>
                  <w:sz w:val="18"/>
                  <w:szCs w:val="18"/>
                  <w:color w:val="000000"/>
                </w:rPr>
                <w: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40"/>
              <w:spacing w:after="0"/>
              <w:rPr>
                <w:sz w:val="20"/>
                <w:szCs w:val="20"/>
                <w:color w:val="auto"/>
              </w:rPr>
            </w:pPr>
            <w:r>
              <w:rPr>
                <w:rFonts w:ascii="Arial" w:cs="Arial" w:eastAsia="Arial" w:hAnsi="Arial"/>
                <w:sz w:val="18"/>
                <w:szCs w:val="18"/>
                <w:color w:val="auto"/>
              </w:rPr>
              <w:t>99.4</w:t>
            </w:r>
          </w:p>
        </w:tc>
        <w:tc>
          <w:tcPr>
            <w:tcW w:w="600" w:type="dxa"/>
            <w:vAlign w:val="bottom"/>
          </w:tcPr>
          <w:p>
            <w:pPr>
              <w:spacing w:after="0"/>
              <w:rPr>
                <w:sz w:val="24"/>
                <w:szCs w:val="24"/>
                <w:color w:val="auto"/>
              </w:rPr>
            </w:pPr>
          </w:p>
        </w:tc>
        <w:tc>
          <w:tcPr>
            <w:tcW w:w="63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Form of Notice Regarding the Internet Availability of Information Statement Materials.</w:t>
            </w:r>
          </w:p>
        </w:tc>
        <w:tc>
          <w:tcPr>
            <w:tcW w:w="3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440" w:right="540" w:hanging="436"/>
        <w:spacing w:after="0" w:line="250"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Corteva hereby undertakes to furnish supplementally a copy of any omitted schedule or exhibit to such agreement to the U.S. Securities and Exchange Commission upon request.</w:t>
      </w:r>
    </w:p>
    <w:p>
      <w:pPr>
        <w:spacing w:after="0" w:line="1"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040"/>
          </w:cols>
          <w:pgMar w:left="440" w:top="253" w:right="41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Corteva,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Gregory R. Friedman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Gregory R.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 Chief Financial</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6, 2019</w:t>
      </w:r>
    </w:p>
    <w:p>
      <w:pPr>
        <w:sectPr>
          <w:pgSz w:w="11900" w:h="16838" w:orient="portrait"/>
          <w:cols w:equalWidth="0" w:num="1">
            <w:col w:w="10920"/>
          </w:cols>
          <w:pgMar w:left="440" w:top="270" w:right="5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CORTEVA,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 2019</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Corteva, Inc. (hereinafter called the “</w:t>
      </w:r>
      <w:r>
        <w:rPr>
          <w:rFonts w:ascii="Arial" w:cs="Arial" w:eastAsia="Arial" w:hAnsi="Arial"/>
          <w:sz w:val="18"/>
          <w:szCs w:val="18"/>
          <w:u w:val="single" w:color="auto"/>
          <w:color w:val="auto"/>
        </w:rPr>
        <w:t>Company</w:t>
      </w:r>
      <w:r>
        <w:rPr>
          <w:rFonts w:ascii="Arial" w:cs="Arial" w:eastAsia="Arial" w:hAnsi="Arial"/>
          <w:sz w:val="18"/>
          <w:szCs w:val="18"/>
          <w:color w:val="auto"/>
        </w:rPr>
        <w:t>”), a corporation organized and existing under the laws of the State of Delaware, does hereby certify as follows: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FIRST: The original Certificate of Incorporation of the Company was filed with the Secretary of State of the State of Delaware on March 16, 2018.</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SECOND: This Amended and Restated Certificate of Incorporation has been duly adopted by the Company in accordance with the provisions of Sections 242 and 245 of the General Corporation Law of the State of Delaware and has been approved by the requisite vote of the stockholders of the Company in accordance with the provisions of Section 228 of the General Corporation Law of the State of Delaware.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THIRD: The text of the Certificate of Incorporation of the Company is hereby amended and restated to read in its entirety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Company is Corteva,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OFFICE AND AGENT</w:t>
      </w:r>
    </w:p>
    <w:p>
      <w:pPr>
        <w:spacing w:after="0" w:line="229"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The address of the registered office of the Company in the State of Delaware is Corporation Trust Center, 1209 Orange Street, in the City of Wilmington, County of New Castle 19801. The name of its registered agent at that address is The Corporation Trust Company.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 AND POWERS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purpose of the Company is to engage in any lawful act or activity for which a corporation may now or hereafter be organized under the General Corporation Law of the State of Delaware. The Company shall have all powers that may now or hereafter be lawful for a corporation to exercise under the General Corporation Law of the State of Delaware.</w:t>
      </w:r>
    </w:p>
    <w:p>
      <w:pPr>
        <w:sectPr>
          <w:pgSz w:w="11900" w:h="16838" w:orient="portrait"/>
          <w:cols w:equalWidth="0" w:num="1">
            <w:col w:w="11020"/>
          </w:cols>
          <w:pgMar w:left="440" w:top="121" w:right="439" w:bottom="1440" w:gutter="0" w:footer="0" w:header="0"/>
        </w:sectPr>
      </w:pPr>
    </w:p>
    <w:bookmarkStart w:id="7" w:name="page8"/>
    <w:bookmarkEnd w:id="7"/>
    <w:p>
      <w:pPr>
        <w:jc w:val="center"/>
        <w:ind w:right="3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356"/>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56" w:lineRule="exact"/>
        <w:rPr>
          <w:sz w:val="20"/>
          <w:szCs w:val="20"/>
          <w:color w:val="auto"/>
        </w:rPr>
      </w:pPr>
    </w:p>
    <w:p>
      <w:pPr>
        <w:ind w:left="424" w:right="20" w:hanging="424"/>
        <w:spacing w:after="0" w:line="259"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Classes of Stock</w:t>
      </w:r>
      <w:r>
        <w:rPr>
          <w:rFonts w:ascii="Arial" w:cs="Arial" w:eastAsia="Arial" w:hAnsi="Arial"/>
          <w:sz w:val="18"/>
          <w:szCs w:val="18"/>
          <w:color w:val="auto"/>
        </w:rPr>
        <w:t>. The total number of shares of stock of all classes of capital stock that the Company is authorized to issue is 1,916,666,667 shares. The authorized capital stock is divided into: (i) 1,666,666,667 shares of common stock having a par value of $0.01 per share (hereinafter,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250,000,000 shares of preferred stock having a par value of $0.01 per share (hereinafter,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All shares of Common Stock of the Company shall be of one and the same class, shall be identical in all respects and shall have equal rights, powers and privileges.</w:t>
      </w:r>
    </w:p>
    <w:p>
      <w:pPr>
        <w:spacing w:after="0" w:line="197" w:lineRule="exact"/>
        <w:rPr>
          <w:rFonts w:ascii="Arial" w:cs="Arial" w:eastAsia="Arial" w:hAnsi="Arial"/>
          <w:sz w:val="18"/>
          <w:szCs w:val="18"/>
          <w:color w:val="auto"/>
        </w:rPr>
      </w:pPr>
    </w:p>
    <w:p>
      <w:pPr>
        <w:ind w:left="984" w:hanging="538"/>
        <w:spacing w:after="0" w:line="302" w:lineRule="auto"/>
        <w:tabs>
          <w:tab w:leader="none" w:pos="984" w:val="left"/>
        </w:tabs>
        <w:numPr>
          <w:ilvl w:val="1"/>
          <w:numId w:val="4"/>
        </w:numPr>
        <w:rPr>
          <w:rFonts w:ascii="Arial" w:cs="Arial" w:eastAsia="Arial" w:hAnsi="Arial"/>
          <w:sz w:val="16"/>
          <w:szCs w:val="16"/>
          <w:color w:val="auto"/>
        </w:rPr>
      </w:pPr>
      <w:r>
        <w:rPr>
          <w:rFonts w:ascii="Arial" w:cs="Arial" w:eastAsia="Arial" w:hAnsi="Arial"/>
          <w:sz w:val="16"/>
          <w:szCs w:val="16"/>
          <w:color w:val="auto"/>
        </w:rPr>
        <w:t>Except as otherwise provided for by resolution or resolutions of the Board of Directors pursuant to this Article IV with respect to the issuance of any series of Preferred Stock or by the General Corporation Law of the State of Delaware, the holders of outstanding shares of Common Stock shall have the exclusive right to vote on all matters requiring stockholder action. On each matter on which holders of Common Stock are entitled to vote, each outstanding share of such Common Stock will be entitled to one vote.</w:t>
      </w:r>
    </w:p>
    <w:p>
      <w:pPr>
        <w:spacing w:after="0" w:line="181" w:lineRule="exact"/>
        <w:rPr>
          <w:rFonts w:ascii="Arial" w:cs="Arial" w:eastAsia="Arial" w:hAnsi="Arial"/>
          <w:sz w:val="16"/>
          <w:szCs w:val="16"/>
          <w:color w:val="auto"/>
        </w:rPr>
      </w:pPr>
    </w:p>
    <w:p>
      <w:pPr>
        <w:ind w:left="984" w:right="40" w:hanging="538"/>
        <w:spacing w:after="0" w:line="276" w:lineRule="auto"/>
        <w:tabs>
          <w:tab w:leader="none" w:pos="984" w:val="left"/>
        </w:tabs>
        <w:numPr>
          <w:ilvl w:val="1"/>
          <w:numId w:val="4"/>
        </w:numPr>
        <w:rPr>
          <w:rFonts w:ascii="Arial" w:cs="Arial" w:eastAsia="Arial" w:hAnsi="Arial"/>
          <w:sz w:val="17"/>
          <w:szCs w:val="17"/>
          <w:color w:val="auto"/>
        </w:rPr>
      </w:pPr>
      <w:r>
        <w:rPr>
          <w:rFonts w:ascii="Arial" w:cs="Arial" w:eastAsia="Arial" w:hAnsi="Arial"/>
          <w:sz w:val="17"/>
          <w:szCs w:val="17"/>
          <w:color w:val="auto"/>
        </w:rPr>
        <w:t>Subject to the rights of holders of any series of outstanding Preferred Stock, holders of shares of Common Stock shall have equal rights of participation in the dividends and other distributions in cash, stock or property of the Company when, as and if declared thereon by the Board of Directors from time to time out of assets or funds of the Company legally available therefor and shall have equal rights to receive the assets and funds of the Company available for distribution to stockholders in the event of any liquidation, dissolution or winding up of the affairs of the Company, whether voluntary or involuntary.</w:t>
      </w:r>
    </w:p>
    <w:p>
      <w:pPr>
        <w:spacing w:after="0" w:line="199" w:lineRule="exact"/>
        <w:rPr>
          <w:rFonts w:ascii="Arial" w:cs="Arial" w:eastAsia="Arial" w:hAnsi="Arial"/>
          <w:sz w:val="17"/>
          <w:szCs w:val="17"/>
          <w:color w:val="auto"/>
        </w:rPr>
      </w:pPr>
    </w:p>
    <w:p>
      <w:pPr>
        <w:ind w:left="984" w:hanging="538"/>
        <w:spacing w:after="0"/>
        <w:tabs>
          <w:tab w:leader="none" w:pos="984" w:val="left"/>
        </w:tabs>
        <w:numPr>
          <w:ilvl w:val="1"/>
          <w:numId w:val="4"/>
        </w:numPr>
        <w:rPr>
          <w:rFonts w:ascii="Arial" w:cs="Arial" w:eastAsia="Arial" w:hAnsi="Arial"/>
          <w:sz w:val="17"/>
          <w:szCs w:val="17"/>
          <w:color w:val="auto"/>
        </w:rPr>
      </w:pPr>
      <w:r>
        <w:rPr>
          <w:rFonts w:ascii="Arial" w:cs="Arial" w:eastAsia="Arial" w:hAnsi="Arial"/>
          <w:sz w:val="17"/>
          <w:szCs w:val="17"/>
          <w:color w:val="auto"/>
        </w:rPr>
        <w:t>Upon this Certificate of Incorporation becoming effective upon filing with the filing with the Secretary of State of the State of</w:t>
      </w:r>
    </w:p>
    <w:p>
      <w:pPr>
        <w:spacing w:after="0" w:line="3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Delaware, pursuant to the DGCL (the “</w:t>
      </w:r>
      <w:r>
        <w:rPr>
          <w:rFonts w:ascii="Arial" w:cs="Arial" w:eastAsia="Arial" w:hAnsi="Arial"/>
          <w:sz w:val="16"/>
          <w:szCs w:val="16"/>
          <w:u w:val="single" w:color="auto"/>
          <w:color w:val="auto"/>
        </w:rPr>
        <w:t>Effective Time</w:t>
      </w:r>
      <w:r>
        <w:rPr>
          <w:rFonts w:ascii="Arial" w:cs="Arial" w:eastAsia="Arial" w:hAnsi="Arial"/>
          <w:sz w:val="16"/>
          <w:szCs w:val="16"/>
          <w:color w:val="auto"/>
        </w:rPr>
        <w:t>”), the 100 shares of the Common Stock, issued and outstanding immediately</w:t>
      </w:r>
    </w:p>
    <w:p>
      <w:pPr>
        <w:spacing w:after="0" w:line="32" w:lineRule="exact"/>
        <w:rPr>
          <w:sz w:val="20"/>
          <w:szCs w:val="20"/>
          <w:color w:val="auto"/>
        </w:rPr>
      </w:pPr>
    </w:p>
    <w:p>
      <w:pPr>
        <w:ind w:left="984"/>
        <w:spacing w:after="0"/>
        <w:tabs>
          <w:tab w:leader="none" w:pos="5564" w:val="left"/>
        </w:tabs>
        <w:rPr>
          <w:sz w:val="20"/>
          <w:szCs w:val="20"/>
          <w:color w:val="auto"/>
        </w:rPr>
      </w:pPr>
      <w:r>
        <w:rPr>
          <w:rFonts w:ascii="Arial" w:cs="Arial" w:eastAsia="Arial" w:hAnsi="Arial"/>
          <w:sz w:val="18"/>
          <w:szCs w:val="18"/>
          <w:color w:val="auto"/>
        </w:rPr>
        <w:t>prior to the Effective Time, shall thereafter constitute</w:t>
      </w:r>
      <w:r>
        <w:rPr>
          <w:sz w:val="20"/>
          <w:szCs w:val="20"/>
          <w:color w:val="auto"/>
        </w:rPr>
        <w:tab/>
      </w:r>
      <w:r>
        <w:rPr>
          <w:rFonts w:ascii="Arial" w:cs="Arial" w:eastAsia="Arial" w:hAnsi="Arial"/>
          <w:sz w:val="16"/>
          <w:szCs w:val="16"/>
          <w:color w:val="auto"/>
        </w:rPr>
        <w:t>shares of Common Stock.</w:t>
      </w:r>
    </w:p>
    <w:p>
      <w:pPr>
        <w:spacing w:after="0" w:line="359"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130" w:lineRule="exact"/>
        <w:rPr>
          <w:rFonts w:ascii="Arial" w:cs="Arial" w:eastAsia="Arial" w:hAnsi="Arial"/>
          <w:sz w:val="18"/>
          <w:szCs w:val="18"/>
          <w:color w:val="auto"/>
        </w:rPr>
      </w:pPr>
    </w:p>
    <w:p>
      <w:pPr>
        <w:ind w:left="984" w:right="160" w:hanging="538"/>
        <w:spacing w:after="0" w:line="279" w:lineRule="auto"/>
        <w:tabs>
          <w:tab w:leader="none" w:pos="984" w:val="left"/>
        </w:tabs>
        <w:numPr>
          <w:ilvl w:val="1"/>
          <w:numId w:val="5"/>
        </w:numPr>
        <w:rPr>
          <w:rFonts w:ascii="Arial" w:cs="Arial" w:eastAsia="Arial" w:hAnsi="Arial"/>
          <w:sz w:val="17"/>
          <w:szCs w:val="17"/>
          <w:color w:val="auto"/>
        </w:rPr>
      </w:pPr>
      <w:r>
        <w:rPr>
          <w:rFonts w:ascii="Arial" w:cs="Arial" w:eastAsia="Arial" w:hAnsi="Arial"/>
          <w:sz w:val="17"/>
          <w:szCs w:val="17"/>
          <w:color w:val="auto"/>
        </w:rPr>
        <w:t>Shares of Preferred Stock of the Company may be issued from time to time in one or more series, the shares of each series to have such voting powers, full or limited, if any, and such designations, preferences and relative, participating, optional or other special rights, and qualifications, limitations or restrictions thereof, as are stated and expressed herein or in the resolution or resolutions providing for the issue of such series, adopted by the Board of Directors as hereinafter provided.</w:t>
      </w:r>
    </w:p>
    <w:p>
      <w:pPr>
        <w:spacing w:after="0" w:line="104"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24"/>
          </w:cols>
          <w:pgMar w:left="876" w:top="270" w:right="499" w:bottom="1440" w:gutter="0" w:footer="0" w:header="0"/>
        </w:sectPr>
      </w:pPr>
    </w:p>
    <w:bookmarkStart w:id="8" w:name="page9"/>
    <w:bookmarkEnd w:id="8"/>
    <w:p>
      <w:pPr>
        <w:ind w:left="538" w:right="40" w:hanging="538"/>
        <w:spacing w:after="0" w:line="271" w:lineRule="auto"/>
        <w:tabs>
          <w:tab w:leader="none" w:pos="538"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 is hereby expressly granted to the Board of Directors of the Company, subject to the provisions of this Article IV and to the limitations prescribed by the General Corporation Law of the State of Delaware, to authorize by resolution or resolutions from time to time the issuance of one or more series of Preferred Stock out of the authorized but unissued shares of Preferred Stock and with respect to each such series to fix, by filing a certificate of designation pursuant to the General Corporation Law of the State of Delaware setting forth such resolution or resolutions and providing for the issuance of such series, the voting powers, full or limited, if any, of the shares of such series and the designations, preferences and relative, participating, optional or other special rights, and qualifications, limitations or restrictions thereof. The authority of the Board of Directors with respect to each series shall include, but not be limited to, the determination or fixing of the following:</w:t>
      </w:r>
    </w:p>
    <w:p>
      <w:pPr>
        <w:spacing w:after="0" w:line="84" w:lineRule="exact"/>
        <w:rPr>
          <w:rFonts w:ascii="Arial" w:cs="Arial" w:eastAsia="Arial" w:hAnsi="Arial"/>
          <w:sz w:val="17"/>
          <w:szCs w:val="17"/>
          <w:color w:val="auto"/>
        </w:rPr>
      </w:pPr>
    </w:p>
    <w:p>
      <w:pPr>
        <w:ind w:left="978" w:hanging="425"/>
        <w:spacing w:after="0"/>
        <w:tabs>
          <w:tab w:leader="none" w:pos="97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designation of such series;</w:t>
      </w:r>
    </w:p>
    <w:p>
      <w:pPr>
        <w:spacing w:after="0" w:line="130" w:lineRule="exact"/>
        <w:rPr>
          <w:rFonts w:ascii="Arial" w:cs="Arial" w:eastAsia="Arial" w:hAnsi="Arial"/>
          <w:sz w:val="18"/>
          <w:szCs w:val="18"/>
          <w:color w:val="auto"/>
        </w:rPr>
      </w:pPr>
    </w:p>
    <w:p>
      <w:pPr>
        <w:ind w:left="978" w:right="80" w:hanging="425"/>
        <w:spacing w:after="0" w:line="264" w:lineRule="auto"/>
        <w:tabs>
          <w:tab w:leader="none" w:pos="97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number of shares of such series, which number the Board of Directors may thereafter (except where otherwise provided in the certificate of designation for such series) increase or decrease (but not below the number of shares of such series then outstanding);</w:t>
      </w:r>
    </w:p>
    <w:p>
      <w:pPr>
        <w:spacing w:after="0" w:line="86" w:lineRule="exact"/>
        <w:rPr>
          <w:rFonts w:ascii="Arial" w:cs="Arial" w:eastAsia="Arial" w:hAnsi="Arial"/>
          <w:sz w:val="18"/>
          <w:szCs w:val="18"/>
          <w:color w:val="auto"/>
        </w:rPr>
      </w:pPr>
    </w:p>
    <w:p>
      <w:pPr>
        <w:ind w:left="978" w:right="60" w:hanging="425"/>
        <w:spacing w:after="0" w:line="312" w:lineRule="auto"/>
        <w:tabs>
          <w:tab w:leader="none" w:pos="978"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dividend rate, if any, payable to holders of shares of such series, any conditions and dates upon which such dividends shall be payable, the relation which such dividends shall bear to the dividends payable on any other class or classes of stock or any other series of any class of stock of the Company, and whether such dividends shall be cumulative or non-cumulative;</w:t>
      </w:r>
    </w:p>
    <w:p>
      <w:pPr>
        <w:spacing w:after="0" w:line="52" w:lineRule="exact"/>
        <w:rPr>
          <w:rFonts w:ascii="Arial" w:cs="Arial" w:eastAsia="Arial" w:hAnsi="Arial"/>
          <w:sz w:val="16"/>
          <w:szCs w:val="16"/>
          <w:color w:val="auto"/>
        </w:rPr>
      </w:pPr>
    </w:p>
    <w:p>
      <w:pPr>
        <w:ind w:left="978" w:right="40" w:hanging="425"/>
        <w:spacing w:after="0" w:line="264" w:lineRule="auto"/>
        <w:tabs>
          <w:tab w:leader="none" w:pos="978" w:val="left"/>
        </w:tabs>
        <w:numPr>
          <w:ilvl w:val="1"/>
          <w:numId w:val="6"/>
        </w:numPr>
        <w:rPr>
          <w:rFonts w:ascii="Arial" w:cs="Arial" w:eastAsia="Arial" w:hAnsi="Arial"/>
          <w:sz w:val="18"/>
          <w:szCs w:val="18"/>
          <w:color w:val="auto"/>
        </w:rPr>
      </w:pPr>
      <w:r>
        <w:rPr>
          <w:rFonts w:ascii="Arial" w:cs="Arial" w:eastAsia="Arial" w:hAnsi="Arial"/>
          <w:sz w:val="18"/>
          <w:szCs w:val="18"/>
          <w:color w:val="auto"/>
        </w:rPr>
        <w:t>whether the shares of such series shall be subject to redemption by the Company, in whole or in part, at the option of the Company or of the holder thereof, and, if made subject to such redemption, the times, prices, form of payment and other terms and conditions of such redemption;</w:t>
      </w:r>
    </w:p>
    <w:p>
      <w:pPr>
        <w:spacing w:after="0" w:line="86" w:lineRule="exact"/>
        <w:rPr>
          <w:rFonts w:ascii="Arial" w:cs="Arial" w:eastAsia="Arial" w:hAnsi="Arial"/>
          <w:sz w:val="18"/>
          <w:szCs w:val="18"/>
          <w:color w:val="auto"/>
        </w:rPr>
      </w:pPr>
    </w:p>
    <w:p>
      <w:pPr>
        <w:ind w:left="978" w:hanging="425"/>
        <w:spacing w:after="0"/>
        <w:tabs>
          <w:tab w:leader="none" w:pos="97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the shares of such series;</w:t>
      </w:r>
    </w:p>
    <w:p>
      <w:pPr>
        <w:spacing w:after="0" w:line="130" w:lineRule="exact"/>
        <w:rPr>
          <w:rFonts w:ascii="Arial" w:cs="Arial" w:eastAsia="Arial" w:hAnsi="Arial"/>
          <w:sz w:val="18"/>
          <w:szCs w:val="18"/>
          <w:color w:val="auto"/>
        </w:rPr>
      </w:pPr>
    </w:p>
    <w:p>
      <w:pPr>
        <w:jc w:val="both"/>
        <w:ind w:left="978" w:hanging="425"/>
        <w:spacing w:after="0" w:line="312" w:lineRule="auto"/>
        <w:tabs>
          <w:tab w:leader="none" w:pos="978" w:val="left"/>
        </w:tabs>
        <w:numPr>
          <w:ilvl w:val="1"/>
          <w:numId w:val="6"/>
        </w:numPr>
        <w:rPr>
          <w:rFonts w:ascii="Arial" w:cs="Arial" w:eastAsia="Arial" w:hAnsi="Arial"/>
          <w:sz w:val="16"/>
          <w:szCs w:val="16"/>
          <w:color w:val="auto"/>
        </w:rPr>
      </w:pPr>
      <w:r>
        <w:rPr>
          <w:rFonts w:ascii="Arial" w:cs="Arial" w:eastAsia="Arial" w:hAnsi="Arial"/>
          <w:sz w:val="16"/>
          <w:szCs w:val="16"/>
          <w:color w:val="auto"/>
        </w:rPr>
        <w:t>whether or not the shares of such series shall be convertible into or exchangeable for shares of any other class or classes of any stock or any other series of any class of stock of the Company or any other security, and, if provision is made for conversion or exchange, the times, prices, rates, adjustments, and other terms and conditions of such conversion or exchanges;</w:t>
      </w:r>
    </w:p>
    <w:p>
      <w:pPr>
        <w:spacing w:after="0" w:line="79" w:lineRule="exact"/>
        <w:rPr>
          <w:sz w:val="20"/>
          <w:szCs w:val="20"/>
          <w:color w:val="auto"/>
        </w:rPr>
      </w:pPr>
    </w:p>
    <w:p>
      <w:pPr>
        <w:ind w:left="4578"/>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8"/>
          </w:cols>
          <w:pgMar w:left="1322" w:top="274" w:right="439" w:bottom="1440" w:gutter="0" w:footer="0" w:header="0"/>
        </w:sectPr>
      </w:pPr>
    </w:p>
    <w:bookmarkStart w:id="9" w:name="page10"/>
    <w:bookmarkEnd w:id="9"/>
    <w:p>
      <w:pPr>
        <w:ind w:left="1424" w:right="20" w:hanging="425"/>
        <w:spacing w:after="0" w:line="277" w:lineRule="auto"/>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extent, if any, to which the holders of shares of such series shall be entitled to vote generally, with respect to the election of directors, upon specified events or otherwise;</w:t>
      </w:r>
    </w:p>
    <w:p>
      <w:pPr>
        <w:spacing w:after="0" w:line="75" w:lineRule="exact"/>
        <w:rPr>
          <w:rFonts w:ascii="Arial" w:cs="Arial" w:eastAsia="Arial" w:hAnsi="Arial"/>
          <w:sz w:val="18"/>
          <w:szCs w:val="18"/>
          <w:color w:val="auto"/>
        </w:rPr>
      </w:pPr>
    </w:p>
    <w:p>
      <w:pPr>
        <w:ind w:left="1424" w:hanging="425"/>
        <w:spacing w:after="0"/>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restrictions, if any, on the issue or reissue of any additional Preferred Stock; and</w:t>
      </w:r>
    </w:p>
    <w:p>
      <w:pPr>
        <w:spacing w:after="0" w:line="130" w:lineRule="exact"/>
        <w:rPr>
          <w:rFonts w:ascii="Arial" w:cs="Arial" w:eastAsia="Arial" w:hAnsi="Arial"/>
          <w:sz w:val="18"/>
          <w:szCs w:val="18"/>
          <w:color w:val="auto"/>
        </w:rPr>
      </w:pPr>
    </w:p>
    <w:p>
      <w:pPr>
        <w:ind w:left="1424" w:right="720" w:hanging="425"/>
        <w:spacing w:after="0" w:line="277" w:lineRule="auto"/>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rights and preferences of the holders of the shares of such series upon any voluntary or involuntary liquidation or dissolution of, or upon the distribution of assets of, the Company.</w:t>
      </w:r>
    </w:p>
    <w:p>
      <w:pPr>
        <w:spacing w:after="0" w:line="170" w:lineRule="exact"/>
        <w:rPr>
          <w:sz w:val="20"/>
          <w:szCs w:val="20"/>
          <w:color w:val="auto"/>
        </w:rPr>
      </w:pPr>
    </w:p>
    <w:p>
      <w:pPr>
        <w:ind w:left="444" w:right="180"/>
        <w:spacing w:after="0" w:line="264" w:lineRule="auto"/>
        <w:rPr>
          <w:sz w:val="20"/>
          <w:szCs w:val="20"/>
          <w:color w:val="auto"/>
        </w:rPr>
      </w:pPr>
      <w:r>
        <w:rPr>
          <w:rFonts w:ascii="Arial" w:cs="Arial" w:eastAsia="Arial" w:hAnsi="Arial"/>
          <w:sz w:val="18"/>
          <w:szCs w:val="18"/>
          <w:color w:val="auto"/>
        </w:rPr>
        <w:t>Without limiting the generality of the foregoing, the resolutions providing for issuance of any series of Preferred Stock may provide that such series shall be superior to, rank equally with or be junior to any other series of Preferred Stock to the extent permitted by law and the terms of any other series of Preferred Stock.</w:t>
      </w:r>
    </w:p>
    <w:p>
      <w:pPr>
        <w:spacing w:after="0" w:line="393" w:lineRule="exact"/>
        <w:rPr>
          <w:sz w:val="20"/>
          <w:szCs w:val="20"/>
          <w:color w:val="auto"/>
        </w:rPr>
      </w:pPr>
    </w:p>
    <w:p>
      <w:pPr>
        <w:jc w:val="center"/>
        <w:ind w:right="396"/>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6"/>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56" w:lineRule="exact"/>
        <w:rPr>
          <w:sz w:val="20"/>
          <w:szCs w:val="20"/>
          <w:color w:val="auto"/>
        </w:rPr>
      </w:pPr>
    </w:p>
    <w:p>
      <w:pPr>
        <w:ind w:left="424" w:right="40" w:hanging="424"/>
        <w:spacing w:after="0" w:line="264"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Power of the Board of Directors</w:t>
      </w:r>
      <w:r>
        <w:rPr>
          <w:rFonts w:ascii="Arial" w:cs="Arial" w:eastAsia="Arial" w:hAnsi="Arial"/>
          <w:sz w:val="18"/>
          <w:szCs w:val="18"/>
          <w:color w:val="auto"/>
        </w:rPr>
        <w:t>. The business and affairs of the Company shall be managed by or under the direction of the Board of Directors. In furtherance, and not in limitation, of the powers conferred by the laws of the State of Delaware, the Board of Directors shall be expressly authorized to:</w:t>
      </w:r>
    </w:p>
    <w:p>
      <w:pPr>
        <w:spacing w:after="0" w:line="86" w:lineRule="exact"/>
        <w:rPr>
          <w:rFonts w:ascii="Arial" w:cs="Arial" w:eastAsia="Arial" w:hAnsi="Arial"/>
          <w:sz w:val="18"/>
          <w:szCs w:val="18"/>
          <w:color w:val="auto"/>
        </w:rPr>
      </w:pPr>
    </w:p>
    <w:p>
      <w:pPr>
        <w:ind w:left="984" w:right="240" w:hanging="538"/>
        <w:spacing w:after="0" w:line="277" w:lineRule="auto"/>
        <w:tabs>
          <w:tab w:leader="none" w:pos="9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determine the rights, powers, duties, rules and procedures that affect the power of the Board of Directors to manage and direct the business and affairs of the Company;</w:t>
      </w:r>
    </w:p>
    <w:p>
      <w:pPr>
        <w:spacing w:after="0" w:line="75" w:lineRule="exact"/>
        <w:rPr>
          <w:rFonts w:ascii="Arial" w:cs="Arial" w:eastAsia="Arial" w:hAnsi="Arial"/>
          <w:sz w:val="18"/>
          <w:szCs w:val="18"/>
          <w:color w:val="auto"/>
        </w:rPr>
      </w:pPr>
    </w:p>
    <w:p>
      <w:pPr>
        <w:ind w:left="984" w:right="60" w:hanging="538"/>
        <w:spacing w:after="0" w:line="342" w:lineRule="auto"/>
        <w:tabs>
          <w:tab w:leader="none" w:pos="984" w:val="left"/>
        </w:tabs>
        <w:numPr>
          <w:ilvl w:val="1"/>
          <w:numId w:val="8"/>
        </w:numPr>
        <w:rPr>
          <w:rFonts w:ascii="Arial" w:cs="Arial" w:eastAsia="Arial" w:hAnsi="Arial"/>
          <w:sz w:val="16"/>
          <w:szCs w:val="16"/>
          <w:color w:val="auto"/>
        </w:rPr>
      </w:pPr>
      <w:r>
        <w:rPr>
          <w:rFonts w:ascii="Arial" w:cs="Arial" w:eastAsia="Arial" w:hAnsi="Arial"/>
          <w:sz w:val="16"/>
          <w:szCs w:val="16"/>
          <w:color w:val="auto"/>
        </w:rPr>
        <w:t>establish one or more committees of the Board of Directors, by the affirmative vote of a majority of the entire Board of Directors, to which may be delegated any or all of the powers and duties of the Board of Directors to the fullest extent permitted by law; and</w:t>
      </w:r>
    </w:p>
    <w:p>
      <w:pPr>
        <w:spacing w:after="0" w:line="29" w:lineRule="exact"/>
        <w:rPr>
          <w:rFonts w:ascii="Arial" w:cs="Arial" w:eastAsia="Arial" w:hAnsi="Arial"/>
          <w:sz w:val="16"/>
          <w:szCs w:val="16"/>
          <w:color w:val="auto"/>
        </w:rPr>
      </w:pPr>
    </w:p>
    <w:p>
      <w:pPr>
        <w:ind w:left="984" w:hanging="538"/>
        <w:spacing w:after="0" w:line="264" w:lineRule="auto"/>
        <w:tabs>
          <w:tab w:leader="none" w:pos="984" w:val="left"/>
        </w:tabs>
        <w:numPr>
          <w:ilvl w:val="1"/>
          <w:numId w:val="8"/>
        </w:numPr>
        <w:rPr>
          <w:rFonts w:ascii="Arial" w:cs="Arial" w:eastAsia="Arial" w:hAnsi="Arial"/>
          <w:sz w:val="18"/>
          <w:szCs w:val="18"/>
          <w:color w:val="auto"/>
        </w:rPr>
      </w:pPr>
      <w:r>
        <w:rPr>
          <w:rFonts w:ascii="Arial" w:cs="Arial" w:eastAsia="Arial" w:hAnsi="Arial"/>
          <w:sz w:val="18"/>
          <w:szCs w:val="18"/>
          <w:color w:val="auto"/>
        </w:rPr>
        <w:t>exercise all such powers and do all such acts as may be exercised by the Company, subject to the provisions of the laws of the State of Delaware, this Certificate of Incorporation, and the Amended and Restated Bylaws of the Company (as the same may be amended and/or restated from time to time, the “Bylaws”).</w:t>
      </w:r>
    </w:p>
    <w:p>
      <w:pPr>
        <w:spacing w:after="0" w:line="208" w:lineRule="exact"/>
        <w:rPr>
          <w:rFonts w:ascii="Arial" w:cs="Arial" w:eastAsia="Arial" w:hAnsi="Arial"/>
          <w:sz w:val="18"/>
          <w:szCs w:val="18"/>
          <w:color w:val="auto"/>
        </w:rPr>
      </w:pPr>
    </w:p>
    <w:p>
      <w:pPr>
        <w:ind w:left="424" w:right="220" w:hanging="424"/>
        <w:spacing w:after="0" w:line="312"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Number of Directors</w:t>
      </w:r>
      <w:r>
        <w:rPr>
          <w:rFonts w:ascii="Arial" w:cs="Arial" w:eastAsia="Arial" w:hAnsi="Arial"/>
          <w:sz w:val="16"/>
          <w:szCs w:val="16"/>
          <w:color w:val="auto"/>
        </w:rPr>
        <w:t>. The number of directors constituting the entire Board of Directors shall be fixed from time to time exclusively by a vote of a majority of the entire Board of Directors in the manner provided in the Bylaws. As used in this Certificate of Incorporation, the term “entire Board of Directors” means the total authorized number of directors that the Company would have if there were no vacancies.</w:t>
      </w:r>
    </w:p>
    <w:p>
      <w:pPr>
        <w:spacing w:after="0" w:line="7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4" w:right="459" w:bottom="1440" w:gutter="0" w:footer="0" w:header="0"/>
        </w:sectPr>
      </w:pPr>
    </w:p>
    <w:bookmarkStart w:id="10" w:name="page11"/>
    <w:bookmarkEnd w:id="10"/>
    <w:p>
      <w:pPr>
        <w:ind w:left="860" w:right="40" w:hanging="424"/>
        <w:spacing w:after="0" w:line="273" w:lineRule="auto"/>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Vacancies</w:t>
      </w:r>
      <w:r>
        <w:rPr>
          <w:rFonts w:ascii="Arial" w:cs="Arial" w:eastAsia="Arial" w:hAnsi="Arial"/>
          <w:sz w:val="17"/>
          <w:szCs w:val="17"/>
          <w:color w:val="auto"/>
        </w:rPr>
        <w:t>. Except as otherwise required by law and subject to the rights of the holders of any class or series of Preferred Stock to elect directors, any vacancies on the Board of Directors for any reason, including from the death, resignation, disqualification or removal of any director, and any newly created directorships resulting by reason of any increase in the number of directors shall be filled exclusively by the Board of Directors, acting by the affirmative vote of a majority of the remaining directors then in office, even if less than a quorum, or by a sole remaining director, and shall not be filled by stockholders. Any directors elected to fill a vacancy shall hold office until the next annual meeting of stockholders or until their successors are duly elected and qualified.</w:t>
      </w:r>
    </w:p>
    <w:p>
      <w:pPr>
        <w:spacing w:after="0" w:line="205" w:lineRule="exact"/>
        <w:rPr>
          <w:rFonts w:ascii="Arial" w:cs="Arial" w:eastAsia="Arial" w:hAnsi="Arial"/>
          <w:sz w:val="17"/>
          <w:szCs w:val="17"/>
          <w:color w:val="auto"/>
        </w:rPr>
      </w:pPr>
    </w:p>
    <w:p>
      <w:pPr>
        <w:ind w:left="860" w:right="20" w:hanging="424"/>
        <w:spacing w:after="0" w:line="259"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Removal of Directors</w:t>
      </w:r>
      <w:r>
        <w:rPr>
          <w:rFonts w:ascii="Arial" w:cs="Arial" w:eastAsia="Arial" w:hAnsi="Arial"/>
          <w:sz w:val="18"/>
          <w:szCs w:val="18"/>
          <w:color w:val="auto"/>
        </w:rPr>
        <w:t>. Except as otherwise required by law and subject to the rights of the holders of any class or series of Preferred Stock, any director, or the entire Board of Directors, may be removed from office at any time, with or without cause only by the affirmative vote of the holders of a majority of the voting power of all of the shares of capital stock of the Company then entitled to vote generally in the election of directors, voting as a single class.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LIMITATION OF LIABILITY AND INDEMNIFICATION</w:t>
      </w:r>
    </w:p>
    <w:p>
      <w:pPr>
        <w:spacing w:after="0" w:line="256" w:lineRule="exact"/>
        <w:rPr>
          <w:sz w:val="20"/>
          <w:szCs w:val="20"/>
          <w:color w:val="auto"/>
        </w:rPr>
      </w:pPr>
    </w:p>
    <w:p>
      <w:pPr>
        <w:ind w:left="860" w:hanging="424"/>
        <w:spacing w:after="0" w:line="297"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Limitation of Liability of Directors</w:t>
      </w:r>
      <w:r>
        <w:rPr>
          <w:rFonts w:ascii="Arial" w:cs="Arial" w:eastAsia="Arial" w:hAnsi="Arial"/>
          <w:sz w:val="16"/>
          <w:szCs w:val="16"/>
          <w:color w:val="auto"/>
        </w:rPr>
        <w:t>. A Director of the Company shall not be personally liable to the Company or its stockholders for monetary damages for breach of fiduciary duty as a Director to the fullest extent permitted by the General Corporation Law of Delaware as the same now exists or hereafter may be amended. No repeal or modification of this Article VI shall apply or have any adverse effect on any right or protection of, or any limitation of the liability of, any person entitled to any right or protection under this Article VI existing at the time of such repeal or modification with respect to acts or omissions occurring prior to such repeal or modification.</w:t>
      </w:r>
    </w:p>
    <w:p>
      <w:pPr>
        <w:spacing w:after="0" w:line="185" w:lineRule="exact"/>
        <w:rPr>
          <w:rFonts w:ascii="Arial" w:cs="Arial" w:eastAsia="Arial" w:hAnsi="Arial"/>
          <w:sz w:val="16"/>
          <w:szCs w:val="16"/>
          <w:color w:val="auto"/>
        </w:rPr>
      </w:pPr>
    </w:p>
    <w:p>
      <w:pPr>
        <w:ind w:left="860" w:right="100" w:hanging="424"/>
        <w:spacing w:after="0" w:line="264"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Directors, officers, employees and agents of the Company may be indemnified by the Company to the fullest extent as is permitted by the laws of the State of Delaware as it presently exists or may hereafter be amended and as the Bylaws may from time to time provide.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STOCKHOLDER ACTION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Any action required or permitted to be taken by the stockholders of the Company must be effected at a duly called annual or special meeting of stockholders of the Company and may not be effected by any written consent of the stockholders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for such series of Preferred Stock.</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256" w:lineRule="exact"/>
        <w:rPr>
          <w:sz w:val="20"/>
          <w:szCs w:val="20"/>
          <w:color w:val="auto"/>
        </w:rPr>
      </w:pPr>
    </w:p>
    <w:p>
      <w:pPr>
        <w:ind w:left="860" w:right="80" w:hanging="424"/>
        <w:spacing w:after="0" w:line="312" w:lineRule="auto"/>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Amendment by the Board of Directors</w:t>
      </w:r>
      <w:r>
        <w:rPr>
          <w:rFonts w:ascii="Arial" w:cs="Arial" w:eastAsia="Arial" w:hAnsi="Arial"/>
          <w:sz w:val="16"/>
          <w:szCs w:val="16"/>
          <w:color w:val="auto"/>
        </w:rPr>
        <w:t xml:space="preserve">. In furtherance, and not in limitation, of the powers conferred upon it by law, the Board of Directors is expressly authorized and empowered to amend, alter, change, adopt or repeal the Bylaws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Bylaws hereafter adopted shall invalidate any prior act of the directors that would have been valid if such Bylaws had not been adopted.</w:t>
      </w:r>
    </w:p>
    <w:p>
      <w:pPr>
        <w:spacing w:after="0" w:line="173" w:lineRule="exact"/>
        <w:rPr>
          <w:rFonts w:ascii="Arial" w:cs="Arial" w:eastAsia="Arial" w:hAnsi="Arial"/>
          <w:sz w:val="16"/>
          <w:szCs w:val="16"/>
          <w:color w:val="auto"/>
        </w:rPr>
      </w:pPr>
    </w:p>
    <w:p>
      <w:pPr>
        <w:ind w:left="860" w:right="160" w:hanging="424"/>
        <w:spacing w:after="0" w:line="297" w:lineRule="auto"/>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In addition to any requirements of the General Corporation Law of the State of Delaware (and notwithstanding the fact that a lesser percentage may be specified by the General Corporation Law of the State of Delaware), unless otherwise specified in the Bylaws, the affirmative vote of the holders of a majority of the voting power of all the shares of capital stock of the Company then entitled to vote generally in the election of directors, voting together as a single class, shall be required for the stockholders of the Company to amend, alter, change or repeal or to adopt any provision of the Bylaws of the Company.</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AMENDMENT OF CERTIFICATE OF INCORPORATION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hereby reserves the right at any time and from time to time to amend, alter, change or repeal any provision contained in this Certificate of Incorporation, and any other provisions authorized by the General Corporation Law of Delaware may be added or inserted, in the manner now or hereafter prescribed by the General Corporation Law of Delaware, and all rights, preferences and privileges of whatsoever nature conferred on stockholders, directors or any other persons whomsoever therein granted are subject to this reservation.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12" w:name="page13"/>
    <w:bookmarkEnd w:id="12"/>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has duly executed this Amended and Restated Certificate of Incorporation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00" w:lineRule="exact"/>
        <w:rPr>
          <w:sz w:val="20"/>
          <w:szCs w:val="20"/>
          <w:color w:val="auto"/>
        </w:rPr>
      </w:pP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440" w:top="270" w:right="8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CORTEVA, INC.</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 Delaware corporation)</w:t>
      </w:r>
    </w:p>
    <w:p>
      <w:pPr>
        <w:spacing w:after="0" w:line="225" w:lineRule="exact"/>
        <w:rPr>
          <w:sz w:val="20"/>
          <w:szCs w:val="20"/>
          <w:color w:val="auto"/>
        </w:rPr>
      </w:pPr>
    </w:p>
    <w:tbl>
      <w:tblPr>
        <w:tblLayout w:type="fixed"/>
        <w:tblInd w:w="310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b w:val="1"/>
                <w:bCs w:val="1"/>
                <w:color w:val="auto"/>
              </w:rPr>
              <w:t>EFFECTIVE AS OF</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ectPr>
          <w:pgSz w:w="11900" w:h="16838" w:orient="portrait"/>
          <w:cols w:equalWidth="0" w:num="1">
            <w:col w:w="10020"/>
          </w:cols>
          <w:pgMar w:left="1440" w:top="121" w:right="4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74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45"/>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CAPITAL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1.1</w:t>
            </w:r>
          </w:p>
        </w:tc>
        <w:tc>
          <w:tcPr>
            <w:tcW w:w="7740" w:type="dxa"/>
            <w:vAlign w:val="bottom"/>
          </w:tcPr>
          <w:p>
            <w:pPr>
              <w:ind w:left="40"/>
              <w:spacing w:after="0"/>
              <w:rPr>
                <w:sz w:val="20"/>
                <w:szCs w:val="20"/>
                <w:color w:val="auto"/>
              </w:rPr>
            </w:pPr>
            <w:r>
              <w:rPr>
                <w:rFonts w:ascii="Arial" w:cs="Arial" w:eastAsia="Arial" w:hAnsi="Arial"/>
                <w:sz w:val="18"/>
                <w:szCs w:val="18"/>
                <w:color w:val="auto"/>
              </w:rPr>
              <w:t>Certificates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1.2</w:t>
            </w:r>
          </w:p>
        </w:tc>
        <w:tc>
          <w:tcPr>
            <w:tcW w:w="7740" w:type="dxa"/>
            <w:vAlign w:val="bottom"/>
          </w:tcPr>
          <w:p>
            <w:pPr>
              <w:ind w:left="40"/>
              <w:spacing w:after="0"/>
              <w:rPr>
                <w:sz w:val="20"/>
                <w:szCs w:val="20"/>
                <w:color w:val="auto"/>
              </w:rPr>
            </w:pPr>
            <w:r>
              <w:rPr>
                <w:rFonts w:ascii="Arial" w:cs="Arial" w:eastAsia="Arial" w:hAnsi="Arial"/>
                <w:sz w:val="18"/>
                <w:szCs w:val="18"/>
                <w:color w:val="auto"/>
              </w:rPr>
              <w:t>Record Ownership</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1.3</w:t>
            </w:r>
          </w:p>
        </w:tc>
        <w:tc>
          <w:tcPr>
            <w:tcW w:w="7740" w:type="dxa"/>
            <w:vAlign w:val="bottom"/>
          </w:tcPr>
          <w:p>
            <w:pPr>
              <w:ind w:left="40"/>
              <w:spacing w:after="0"/>
              <w:rPr>
                <w:sz w:val="20"/>
                <w:szCs w:val="20"/>
                <w:color w:val="auto"/>
              </w:rPr>
            </w:pPr>
            <w:r>
              <w:rPr>
                <w:rFonts w:ascii="Arial" w:cs="Arial" w:eastAsia="Arial" w:hAnsi="Arial"/>
                <w:sz w:val="18"/>
                <w:szCs w:val="18"/>
                <w:color w:val="auto"/>
              </w:rPr>
              <w:t>Transfer of Record Ownership</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1.4</w:t>
            </w:r>
          </w:p>
        </w:tc>
        <w:tc>
          <w:tcPr>
            <w:tcW w:w="7740" w:type="dxa"/>
            <w:vAlign w:val="bottom"/>
          </w:tcPr>
          <w:p>
            <w:pPr>
              <w:ind w:left="40"/>
              <w:spacing w:after="0"/>
              <w:rPr>
                <w:sz w:val="20"/>
                <w:szCs w:val="20"/>
                <w:color w:val="auto"/>
              </w:rPr>
            </w:pPr>
            <w:r>
              <w:rPr>
                <w:rFonts w:ascii="Arial" w:cs="Arial" w:eastAsia="Arial" w:hAnsi="Arial"/>
                <w:sz w:val="18"/>
                <w:szCs w:val="18"/>
                <w:color w:val="auto"/>
              </w:rPr>
              <w:t>Lost Certificates</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1.5</w:t>
            </w:r>
          </w:p>
        </w:tc>
        <w:tc>
          <w:tcPr>
            <w:tcW w:w="7740" w:type="dxa"/>
            <w:vAlign w:val="bottom"/>
          </w:tcPr>
          <w:p>
            <w:pPr>
              <w:ind w:left="40"/>
              <w:spacing w:after="0"/>
              <w:rPr>
                <w:sz w:val="20"/>
                <w:szCs w:val="20"/>
                <w:color w:val="auto"/>
              </w:rPr>
            </w:pPr>
            <w:r>
              <w:rPr>
                <w:rFonts w:ascii="Arial" w:cs="Arial" w:eastAsia="Arial" w:hAnsi="Arial"/>
                <w:sz w:val="18"/>
                <w:szCs w:val="18"/>
                <w:color w:val="auto"/>
              </w:rPr>
              <w:t>Transfer Agents; Registrars; Rules Respecting Certificates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2"/>
        </w:trPr>
        <w:tc>
          <w:tcPr>
            <w:tcW w:w="900" w:type="dxa"/>
            <w:vAlign w:val="bottom"/>
          </w:tcPr>
          <w:p>
            <w:pPr>
              <w:ind w:left="540"/>
              <w:spacing w:after="0"/>
              <w:rPr>
                <w:sz w:val="20"/>
                <w:szCs w:val="20"/>
                <w:color w:val="auto"/>
              </w:rPr>
            </w:pPr>
            <w:r>
              <w:rPr>
                <w:rFonts w:ascii="Arial" w:cs="Arial" w:eastAsia="Arial" w:hAnsi="Arial"/>
                <w:sz w:val="18"/>
                <w:szCs w:val="18"/>
                <w:color w:val="auto"/>
              </w:rPr>
              <w:t>1.6</w:t>
            </w:r>
          </w:p>
        </w:tc>
        <w:tc>
          <w:tcPr>
            <w:tcW w:w="7740" w:type="dxa"/>
            <w:vAlign w:val="bottom"/>
          </w:tcPr>
          <w:p>
            <w:pPr>
              <w:ind w:left="40"/>
              <w:spacing w:after="0"/>
              <w:rPr>
                <w:sz w:val="20"/>
                <w:szCs w:val="20"/>
                <w:color w:val="auto"/>
              </w:rPr>
            </w:pPr>
            <w:r>
              <w:rPr>
                <w:rFonts w:ascii="Arial" w:cs="Arial" w:eastAsia="Arial" w:hAnsi="Arial"/>
                <w:sz w:val="18"/>
                <w:szCs w:val="18"/>
                <w:color w:val="auto"/>
              </w:rPr>
              <w:t>Record Date</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0"/>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MEETINGS OF STOCKHOLDERS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2.1</w:t>
            </w:r>
          </w:p>
        </w:tc>
        <w:tc>
          <w:tcPr>
            <w:tcW w:w="7740" w:type="dxa"/>
            <w:vAlign w:val="bottom"/>
          </w:tcPr>
          <w:p>
            <w:pPr>
              <w:ind w:left="40"/>
              <w:spacing w:after="0"/>
              <w:rPr>
                <w:sz w:val="20"/>
                <w:szCs w:val="20"/>
                <w:color w:val="auto"/>
              </w:rPr>
            </w:pPr>
            <w:r>
              <w:rPr>
                <w:rFonts w:ascii="Arial" w:cs="Arial" w:eastAsia="Arial" w:hAnsi="Arial"/>
                <w:sz w:val="18"/>
                <w:szCs w:val="18"/>
                <w:color w:val="auto"/>
              </w:rPr>
              <w:t>Annual Meeting</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2.2</w:t>
            </w:r>
          </w:p>
        </w:tc>
        <w:tc>
          <w:tcPr>
            <w:tcW w:w="77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2.3</w:t>
            </w:r>
          </w:p>
        </w:tc>
        <w:tc>
          <w:tcPr>
            <w:tcW w:w="7740" w:type="dxa"/>
            <w:vAlign w:val="bottom"/>
          </w:tcPr>
          <w:p>
            <w:pPr>
              <w:ind w:left="40"/>
              <w:spacing w:after="0"/>
              <w:rPr>
                <w:sz w:val="20"/>
                <w:szCs w:val="20"/>
                <w:color w:val="auto"/>
              </w:rPr>
            </w:pPr>
            <w:r>
              <w:rPr>
                <w:rFonts w:ascii="Arial" w:cs="Arial" w:eastAsia="Arial" w:hAnsi="Arial"/>
                <w:sz w:val="18"/>
                <w:szCs w:val="18"/>
                <w:color w:val="auto"/>
              </w:rPr>
              <w:t>Notice</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2.4</w:t>
            </w:r>
          </w:p>
        </w:tc>
        <w:tc>
          <w:tcPr>
            <w:tcW w:w="7740" w:type="dxa"/>
            <w:vAlign w:val="bottom"/>
          </w:tcPr>
          <w:p>
            <w:pPr>
              <w:ind w:left="40"/>
              <w:spacing w:after="0"/>
              <w:rPr>
                <w:sz w:val="20"/>
                <w:szCs w:val="20"/>
                <w:color w:val="auto"/>
              </w:rPr>
            </w:pPr>
            <w:r>
              <w:rPr>
                <w:rFonts w:ascii="Arial" w:cs="Arial" w:eastAsia="Arial" w:hAnsi="Arial"/>
                <w:sz w:val="18"/>
                <w:szCs w:val="18"/>
                <w:color w:val="auto"/>
              </w:rPr>
              <w:t>List of Stockholders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2.5</w:t>
            </w:r>
          </w:p>
        </w:tc>
        <w:tc>
          <w:tcPr>
            <w:tcW w:w="7740" w:type="dxa"/>
            <w:vAlign w:val="bottom"/>
          </w:tcPr>
          <w:p>
            <w:pPr>
              <w:ind w:left="40"/>
              <w:spacing w:after="0"/>
              <w:rPr>
                <w:sz w:val="20"/>
                <w:szCs w:val="20"/>
                <w:color w:val="auto"/>
              </w:rPr>
            </w:pPr>
            <w:r>
              <w:rPr>
                <w:rFonts w:ascii="Arial" w:cs="Arial" w:eastAsia="Arial" w:hAnsi="Arial"/>
                <w:sz w:val="18"/>
                <w:szCs w:val="18"/>
                <w:color w:val="auto"/>
              </w:rPr>
              <w:t>Quorum</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2.6</w:t>
            </w:r>
          </w:p>
        </w:tc>
        <w:tc>
          <w:tcPr>
            <w:tcW w:w="774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2.7</w:t>
            </w:r>
          </w:p>
        </w:tc>
        <w:tc>
          <w:tcPr>
            <w:tcW w:w="7740" w:type="dxa"/>
            <w:vAlign w:val="bottom"/>
          </w:tcPr>
          <w:p>
            <w:pPr>
              <w:ind w:left="40"/>
              <w:spacing w:after="0"/>
              <w:rPr>
                <w:sz w:val="20"/>
                <w:szCs w:val="20"/>
                <w:color w:val="auto"/>
              </w:rPr>
            </w:pPr>
            <w:r>
              <w:rPr>
                <w:rFonts w:ascii="Arial" w:cs="Arial" w:eastAsia="Arial" w:hAnsi="Arial"/>
                <w:sz w:val="18"/>
                <w:szCs w:val="18"/>
                <w:color w:val="auto"/>
              </w:rPr>
              <w:t>Voting</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2.8</w:t>
            </w:r>
          </w:p>
        </w:tc>
        <w:tc>
          <w:tcPr>
            <w:tcW w:w="7740" w:type="dxa"/>
            <w:vAlign w:val="bottom"/>
          </w:tcPr>
          <w:p>
            <w:pPr>
              <w:ind w:left="40"/>
              <w:spacing w:after="0"/>
              <w:rPr>
                <w:sz w:val="20"/>
                <w:szCs w:val="20"/>
                <w:color w:val="auto"/>
              </w:rPr>
            </w:pPr>
            <w:r>
              <w:rPr>
                <w:rFonts w:ascii="Arial" w:cs="Arial" w:eastAsia="Arial" w:hAnsi="Arial"/>
                <w:sz w:val="18"/>
                <w:szCs w:val="18"/>
                <w:color w:val="auto"/>
              </w:rPr>
              <w:t>Inspectors of Election</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2.9</w:t>
            </w:r>
          </w:p>
        </w:tc>
        <w:tc>
          <w:tcPr>
            <w:tcW w:w="7740" w:type="dxa"/>
            <w:vAlign w:val="bottom"/>
          </w:tcPr>
          <w:p>
            <w:pPr>
              <w:ind w:left="40"/>
              <w:spacing w:after="0"/>
              <w:rPr>
                <w:sz w:val="20"/>
                <w:szCs w:val="20"/>
                <w:color w:val="auto"/>
              </w:rPr>
            </w:pPr>
            <w:r>
              <w:rPr>
                <w:rFonts w:ascii="Arial" w:cs="Arial" w:eastAsia="Arial" w:hAnsi="Arial"/>
                <w:sz w:val="18"/>
                <w:szCs w:val="18"/>
                <w:color w:val="auto"/>
              </w:rPr>
              <w:t>Notification of Stockholder Nominations and Other Business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900" w:type="dxa"/>
            <w:vAlign w:val="bottom"/>
          </w:tcPr>
          <w:p>
            <w:pPr>
              <w:ind w:left="540"/>
              <w:spacing w:after="0"/>
              <w:rPr>
                <w:sz w:val="20"/>
                <w:szCs w:val="20"/>
                <w:color w:val="auto"/>
              </w:rPr>
            </w:pPr>
            <w:r>
              <w:rPr>
                <w:rFonts w:ascii="Arial" w:cs="Arial" w:eastAsia="Arial" w:hAnsi="Arial"/>
                <w:sz w:val="18"/>
                <w:szCs w:val="18"/>
                <w:color w:val="auto"/>
                <w:w w:val="96"/>
              </w:rPr>
              <w:t>2.10</w:t>
            </w:r>
          </w:p>
        </w:tc>
        <w:tc>
          <w:tcPr>
            <w:tcW w:w="7740" w:type="dxa"/>
            <w:vAlign w:val="bottom"/>
          </w:tcPr>
          <w:p>
            <w:pPr>
              <w:ind w:left="40"/>
              <w:spacing w:after="0"/>
              <w:rPr>
                <w:sz w:val="20"/>
                <w:szCs w:val="20"/>
                <w:color w:val="auto"/>
              </w:rPr>
            </w:pPr>
            <w:r>
              <w:rPr>
                <w:rFonts w:ascii="Arial" w:cs="Arial" w:eastAsia="Arial" w:hAnsi="Arial"/>
                <w:sz w:val="18"/>
                <w:szCs w:val="18"/>
                <w:color w:val="auto"/>
              </w:rPr>
              <w:t>Proxy Access for Director Nominations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0"/>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BOARD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3.1</w:t>
            </w:r>
          </w:p>
        </w:tc>
        <w:tc>
          <w:tcPr>
            <w:tcW w:w="7740" w:type="dxa"/>
            <w:vAlign w:val="bottom"/>
          </w:tcPr>
          <w:p>
            <w:pPr>
              <w:ind w:left="40"/>
              <w:spacing w:after="0"/>
              <w:rPr>
                <w:sz w:val="20"/>
                <w:szCs w:val="20"/>
                <w:color w:val="auto"/>
              </w:rPr>
            </w:pPr>
            <w:r>
              <w:rPr>
                <w:rFonts w:ascii="Arial" w:cs="Arial" w:eastAsia="Arial" w:hAnsi="Arial"/>
                <w:sz w:val="18"/>
                <w:szCs w:val="18"/>
                <w:color w:val="auto"/>
              </w:rPr>
              <w:t>Number and Qualifications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3.2</w:t>
            </w:r>
          </w:p>
        </w:tc>
        <w:tc>
          <w:tcPr>
            <w:tcW w:w="7740" w:type="dxa"/>
            <w:vAlign w:val="bottom"/>
          </w:tcPr>
          <w:p>
            <w:pPr>
              <w:ind w:left="40"/>
              <w:spacing w:after="0"/>
              <w:rPr>
                <w:sz w:val="20"/>
                <w:szCs w:val="20"/>
                <w:color w:val="auto"/>
              </w:rPr>
            </w:pPr>
            <w:r>
              <w:rPr>
                <w:rFonts w:ascii="Arial" w:cs="Arial" w:eastAsia="Arial" w:hAnsi="Arial"/>
                <w:sz w:val="18"/>
                <w:szCs w:val="18"/>
                <w:color w:val="auto"/>
              </w:rPr>
              <w:t>Term</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3.3</w:t>
            </w:r>
          </w:p>
        </w:tc>
        <w:tc>
          <w:tcPr>
            <w:tcW w:w="7740" w:type="dxa"/>
            <w:vAlign w:val="bottom"/>
          </w:tcPr>
          <w:p>
            <w:pPr>
              <w:ind w:left="40"/>
              <w:spacing w:after="0"/>
              <w:rPr>
                <w:sz w:val="20"/>
                <w:szCs w:val="20"/>
                <w:color w:val="auto"/>
              </w:rPr>
            </w:pPr>
            <w:r>
              <w:rPr>
                <w:rFonts w:ascii="Arial" w:cs="Arial" w:eastAsia="Arial" w:hAnsi="Arial"/>
                <w:sz w:val="18"/>
                <w:szCs w:val="18"/>
                <w:color w:val="auto"/>
              </w:rPr>
              <w:t>Resignation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3.4</w:t>
            </w:r>
          </w:p>
        </w:tc>
        <w:tc>
          <w:tcPr>
            <w:tcW w:w="7740" w:type="dxa"/>
            <w:vAlign w:val="bottom"/>
          </w:tcPr>
          <w:p>
            <w:pPr>
              <w:ind w:left="40"/>
              <w:spacing w:after="0"/>
              <w:rPr>
                <w:sz w:val="20"/>
                <w:szCs w:val="20"/>
                <w:color w:val="auto"/>
              </w:rPr>
            </w:pPr>
            <w:r>
              <w:rPr>
                <w:rFonts w:ascii="Arial" w:cs="Arial" w:eastAsia="Arial" w:hAnsi="Arial"/>
                <w:sz w:val="18"/>
                <w:szCs w:val="18"/>
                <w:color w:val="auto"/>
              </w:rPr>
              <w:t>Vacancies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3.5</w:t>
            </w:r>
          </w:p>
        </w:tc>
        <w:tc>
          <w:tcPr>
            <w:tcW w:w="7740" w:type="dxa"/>
            <w:vAlign w:val="bottom"/>
          </w:tcPr>
          <w:p>
            <w:pPr>
              <w:ind w:left="40"/>
              <w:spacing w:after="0"/>
              <w:rPr>
                <w:sz w:val="20"/>
                <w:szCs w:val="20"/>
                <w:color w:val="auto"/>
              </w:rPr>
            </w:pPr>
            <w:r>
              <w:rPr>
                <w:rFonts w:ascii="Arial" w:cs="Arial" w:eastAsia="Arial" w:hAnsi="Arial"/>
                <w:sz w:val="18"/>
                <w:szCs w:val="18"/>
                <w:color w:val="auto"/>
              </w:rPr>
              <w:t>Regular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3.6</w:t>
            </w:r>
          </w:p>
        </w:tc>
        <w:tc>
          <w:tcPr>
            <w:tcW w:w="77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3.7</w:t>
            </w:r>
          </w:p>
        </w:tc>
        <w:tc>
          <w:tcPr>
            <w:tcW w:w="7740" w:type="dxa"/>
            <w:vAlign w:val="bottom"/>
          </w:tcPr>
          <w:p>
            <w:pPr>
              <w:ind w:left="40"/>
              <w:spacing w:after="0"/>
              <w:rPr>
                <w:sz w:val="20"/>
                <w:szCs w:val="20"/>
                <w:color w:val="auto"/>
              </w:rPr>
            </w:pPr>
            <w:r>
              <w:rPr>
                <w:rFonts w:ascii="Arial" w:cs="Arial" w:eastAsia="Arial" w:hAnsi="Arial"/>
                <w:sz w:val="18"/>
                <w:szCs w:val="18"/>
                <w:color w:val="auto"/>
              </w:rPr>
              <w:t>Notice of Special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3.8</w:t>
            </w:r>
          </w:p>
        </w:tc>
        <w:tc>
          <w:tcPr>
            <w:tcW w:w="7740" w:type="dxa"/>
            <w:vAlign w:val="bottom"/>
          </w:tcPr>
          <w:p>
            <w:pPr>
              <w:ind w:left="40"/>
              <w:spacing w:after="0"/>
              <w:rPr>
                <w:sz w:val="20"/>
                <w:szCs w:val="20"/>
                <w:color w:val="auto"/>
              </w:rPr>
            </w:pPr>
            <w:r>
              <w:rPr>
                <w:rFonts w:ascii="Arial" w:cs="Arial" w:eastAsia="Arial" w:hAnsi="Arial"/>
                <w:sz w:val="18"/>
                <w:szCs w:val="18"/>
                <w:color w:val="auto"/>
              </w:rPr>
              <w:t>Place of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3.9</w:t>
            </w:r>
          </w:p>
        </w:tc>
        <w:tc>
          <w:tcPr>
            <w:tcW w:w="7740" w:type="dxa"/>
            <w:vAlign w:val="bottom"/>
          </w:tcPr>
          <w:p>
            <w:pPr>
              <w:ind w:left="40"/>
              <w:spacing w:after="0"/>
              <w:rPr>
                <w:sz w:val="20"/>
                <w:szCs w:val="20"/>
                <w:color w:val="auto"/>
              </w:rPr>
            </w:pPr>
            <w:r>
              <w:rPr>
                <w:rFonts w:ascii="Arial" w:cs="Arial" w:eastAsia="Arial" w:hAnsi="Arial"/>
                <w:sz w:val="18"/>
                <w:szCs w:val="18"/>
                <w:color w:val="auto"/>
              </w:rPr>
              <w:t>Participation in Meetings by Conference Telephone</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w w:val="96"/>
              </w:rPr>
              <w:t>3.10</w:t>
            </w:r>
          </w:p>
        </w:tc>
        <w:tc>
          <w:tcPr>
            <w:tcW w:w="7740" w:type="dxa"/>
            <w:vAlign w:val="bottom"/>
          </w:tcPr>
          <w:p>
            <w:pPr>
              <w:ind w:left="40"/>
              <w:spacing w:after="0"/>
              <w:rPr>
                <w:sz w:val="20"/>
                <w:szCs w:val="20"/>
                <w:color w:val="auto"/>
              </w:rPr>
            </w:pPr>
            <w:r>
              <w:rPr>
                <w:rFonts w:ascii="Arial" w:cs="Arial" w:eastAsia="Arial" w:hAnsi="Arial"/>
                <w:sz w:val="18"/>
                <w:szCs w:val="18"/>
                <w:color w:val="auto"/>
              </w:rPr>
              <w:t>Quorum</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w w:val="96"/>
              </w:rPr>
              <w:t>3.11</w:t>
            </w:r>
          </w:p>
        </w:tc>
        <w:tc>
          <w:tcPr>
            <w:tcW w:w="774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w w:val="96"/>
              </w:rPr>
              <w:t>3.12</w:t>
            </w:r>
          </w:p>
        </w:tc>
        <w:tc>
          <w:tcPr>
            <w:tcW w:w="7740" w:type="dxa"/>
            <w:vAlign w:val="bottom"/>
          </w:tcPr>
          <w:p>
            <w:pPr>
              <w:ind w:left="40"/>
              <w:spacing w:after="0"/>
              <w:rPr>
                <w:sz w:val="20"/>
                <w:szCs w:val="20"/>
                <w:color w:val="auto"/>
              </w:rPr>
            </w:pPr>
            <w:r>
              <w:rPr>
                <w:rFonts w:ascii="Arial" w:cs="Arial" w:eastAsia="Arial" w:hAnsi="Arial"/>
                <w:sz w:val="18"/>
                <w:szCs w:val="18"/>
                <w:color w:val="auto"/>
              </w:rPr>
              <w:t>Compensation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640" w:type="dxa"/>
            <w:vAlign w:val="bottom"/>
            <w:gridSpan w:val="2"/>
          </w:tcPr>
          <w:p>
            <w:pPr>
              <w:ind w:left="540"/>
              <w:spacing w:after="0"/>
              <w:rPr>
                <w:sz w:val="20"/>
                <w:szCs w:val="20"/>
                <w:color w:val="auto"/>
              </w:rPr>
            </w:pPr>
            <w:r>
              <w:rPr>
                <w:rFonts w:ascii="Arial" w:cs="Arial" w:eastAsia="Arial" w:hAnsi="Arial"/>
                <w:sz w:val="18"/>
                <w:szCs w:val="18"/>
                <w:color w:val="auto"/>
              </w:rPr>
              <w:t>3.13 Action by Written Consent</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w w:val="96"/>
              </w:rPr>
              <w:t>3.14</w:t>
            </w:r>
          </w:p>
        </w:tc>
        <w:tc>
          <w:tcPr>
            <w:tcW w:w="7740" w:type="dxa"/>
            <w:vAlign w:val="bottom"/>
          </w:tcPr>
          <w:p>
            <w:pPr>
              <w:ind w:left="40"/>
              <w:spacing w:after="0"/>
              <w:rPr>
                <w:sz w:val="20"/>
                <w:szCs w:val="20"/>
                <w:color w:val="auto"/>
              </w:rPr>
            </w:pPr>
            <w:r>
              <w:rPr>
                <w:rFonts w:ascii="Arial" w:cs="Arial" w:eastAsia="Arial" w:hAnsi="Arial"/>
                <w:sz w:val="18"/>
                <w:szCs w:val="18"/>
                <w:color w:val="auto"/>
              </w:rPr>
              <w:t>Interested Transactions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2"/>
        </w:trPr>
        <w:tc>
          <w:tcPr>
            <w:tcW w:w="900" w:type="dxa"/>
            <w:vAlign w:val="bottom"/>
          </w:tcPr>
          <w:p>
            <w:pPr>
              <w:ind w:left="540"/>
              <w:spacing w:after="0"/>
              <w:rPr>
                <w:sz w:val="20"/>
                <w:szCs w:val="20"/>
                <w:color w:val="auto"/>
              </w:rPr>
            </w:pPr>
            <w:r>
              <w:rPr>
                <w:rFonts w:ascii="Arial" w:cs="Arial" w:eastAsia="Arial" w:hAnsi="Arial"/>
                <w:sz w:val="18"/>
                <w:szCs w:val="18"/>
                <w:color w:val="auto"/>
                <w:w w:val="96"/>
              </w:rPr>
              <w:t>3.15</w:t>
            </w:r>
          </w:p>
        </w:tc>
        <w:tc>
          <w:tcPr>
            <w:tcW w:w="7740" w:type="dxa"/>
            <w:vAlign w:val="bottom"/>
          </w:tcPr>
          <w:p>
            <w:pPr>
              <w:ind w:left="40"/>
              <w:spacing w:after="0"/>
              <w:rPr>
                <w:sz w:val="20"/>
                <w:szCs w:val="20"/>
                <w:color w:val="auto"/>
              </w:rPr>
            </w:pPr>
            <w:r>
              <w:rPr>
                <w:rFonts w:ascii="Arial" w:cs="Arial" w:eastAsia="Arial" w:hAnsi="Arial"/>
                <w:sz w:val="18"/>
                <w:szCs w:val="18"/>
                <w:color w:val="auto"/>
              </w:rPr>
              <w:t>Committees of the Board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0"/>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OFFICERS</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4.1</w:t>
            </w:r>
          </w:p>
        </w:tc>
        <w:tc>
          <w:tcPr>
            <w:tcW w:w="7740" w:type="dxa"/>
            <w:vAlign w:val="bottom"/>
          </w:tcPr>
          <w:p>
            <w:pPr>
              <w:ind w:left="40"/>
              <w:spacing w:after="0"/>
              <w:rPr>
                <w:sz w:val="20"/>
                <w:szCs w:val="20"/>
                <w:color w:val="auto"/>
              </w:rPr>
            </w:pPr>
            <w:r>
              <w:rPr>
                <w:rFonts w:ascii="Arial" w:cs="Arial" w:eastAsia="Arial" w:hAnsi="Arial"/>
                <w:sz w:val="18"/>
                <w:szCs w:val="18"/>
                <w:color w:val="auto"/>
              </w:rPr>
              <w:t>Positions and Election</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4.2</w:t>
            </w:r>
          </w:p>
        </w:tc>
        <w:tc>
          <w:tcPr>
            <w:tcW w:w="7740" w:type="dxa"/>
            <w:vAlign w:val="bottom"/>
          </w:tcPr>
          <w:p>
            <w:pPr>
              <w:ind w:left="40"/>
              <w:spacing w:after="0"/>
              <w:rPr>
                <w:sz w:val="20"/>
                <w:szCs w:val="20"/>
                <w:color w:val="auto"/>
              </w:rPr>
            </w:pPr>
            <w:r>
              <w:rPr>
                <w:rFonts w:ascii="Arial" w:cs="Arial" w:eastAsia="Arial" w:hAnsi="Arial"/>
                <w:sz w:val="18"/>
                <w:szCs w:val="18"/>
                <w:color w:val="auto"/>
              </w:rPr>
              <w:t>Term</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4.3</w:t>
            </w:r>
          </w:p>
        </w:tc>
        <w:tc>
          <w:tcPr>
            <w:tcW w:w="7740" w:type="dxa"/>
            <w:vAlign w:val="bottom"/>
          </w:tcPr>
          <w:p>
            <w:pPr>
              <w:ind w:left="40"/>
              <w:spacing w:after="0"/>
              <w:rPr>
                <w:sz w:val="20"/>
                <w:szCs w:val="20"/>
                <w:color w:val="auto"/>
              </w:rPr>
            </w:pPr>
            <w:r>
              <w:rPr>
                <w:rFonts w:ascii="Arial" w:cs="Arial" w:eastAsia="Arial" w:hAnsi="Arial"/>
                <w:sz w:val="18"/>
                <w:szCs w:val="18"/>
                <w:color w:val="auto"/>
              </w:rPr>
              <w:t>Resignation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4.4</w:t>
            </w:r>
          </w:p>
        </w:tc>
        <w:tc>
          <w:tcPr>
            <w:tcW w:w="7740" w:type="dxa"/>
            <w:vAlign w:val="bottom"/>
          </w:tcPr>
          <w:p>
            <w:pPr>
              <w:ind w:left="40"/>
              <w:spacing w:after="0"/>
              <w:rPr>
                <w:sz w:val="20"/>
                <w:szCs w:val="20"/>
                <w:color w:val="auto"/>
              </w:rPr>
            </w:pPr>
            <w:r>
              <w:rPr>
                <w:rFonts w:ascii="Arial" w:cs="Arial" w:eastAsia="Arial" w:hAnsi="Arial"/>
                <w:sz w:val="18"/>
                <w:szCs w:val="18"/>
                <w:color w:val="auto"/>
              </w:rPr>
              <w:t>Vacancies</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4.5</w:t>
            </w:r>
          </w:p>
        </w:tc>
        <w:tc>
          <w:tcPr>
            <w:tcW w:w="7740" w:type="dxa"/>
            <w:vAlign w:val="bottom"/>
          </w:tcPr>
          <w:p>
            <w:pPr>
              <w:ind w:left="40"/>
              <w:spacing w:after="0"/>
              <w:rPr>
                <w:sz w:val="20"/>
                <w:szCs w:val="20"/>
                <w:color w:val="auto"/>
              </w:rPr>
            </w:pPr>
            <w:r>
              <w:rPr>
                <w:rFonts w:ascii="Arial" w:cs="Arial" w:eastAsia="Arial" w:hAnsi="Arial"/>
                <w:sz w:val="18"/>
                <w:szCs w:val="18"/>
                <w:color w:val="auto"/>
              </w:rPr>
              <w:t>Chief Executive Officer; President</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4.6</w:t>
            </w:r>
          </w:p>
        </w:tc>
        <w:tc>
          <w:tcPr>
            <w:tcW w:w="7740" w:type="dxa"/>
            <w:vAlign w:val="bottom"/>
          </w:tcPr>
          <w:p>
            <w:pPr>
              <w:ind w:left="40"/>
              <w:spacing w:after="0"/>
              <w:rPr>
                <w:sz w:val="20"/>
                <w:szCs w:val="20"/>
                <w:color w:val="auto"/>
              </w:rPr>
            </w:pPr>
            <w:r>
              <w:rPr>
                <w:rFonts w:ascii="Arial" w:cs="Arial" w:eastAsia="Arial" w:hAnsi="Arial"/>
                <w:sz w:val="18"/>
                <w:szCs w:val="18"/>
                <w:color w:val="auto"/>
              </w:rPr>
              <w:t>Vice Presidents</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4.7</w:t>
            </w:r>
          </w:p>
        </w:tc>
        <w:tc>
          <w:tcPr>
            <w:tcW w:w="7740" w:type="dxa"/>
            <w:vAlign w:val="bottom"/>
          </w:tcPr>
          <w:p>
            <w:pPr>
              <w:ind w:left="40"/>
              <w:spacing w:after="0"/>
              <w:rPr>
                <w:sz w:val="20"/>
                <w:szCs w:val="20"/>
                <w:color w:val="auto"/>
              </w:rPr>
            </w:pPr>
            <w:r>
              <w:rPr>
                <w:rFonts w:ascii="Arial" w:cs="Arial" w:eastAsia="Arial" w:hAnsi="Arial"/>
                <w:sz w:val="18"/>
                <w:szCs w:val="18"/>
                <w:color w:val="auto"/>
              </w:rPr>
              <w:t>Secretary; Assistant Secretary</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4.8</w:t>
            </w:r>
          </w:p>
        </w:tc>
        <w:tc>
          <w:tcPr>
            <w:tcW w:w="7740" w:type="dxa"/>
            <w:vAlign w:val="bottom"/>
          </w:tcPr>
          <w:p>
            <w:pPr>
              <w:ind w:left="40"/>
              <w:spacing w:after="0"/>
              <w:rPr>
                <w:sz w:val="20"/>
                <w:szCs w:val="20"/>
                <w:color w:val="auto"/>
              </w:rPr>
            </w:pPr>
            <w:r>
              <w:rPr>
                <w:rFonts w:ascii="Arial" w:cs="Arial" w:eastAsia="Arial" w:hAnsi="Arial"/>
                <w:sz w:val="18"/>
                <w:szCs w:val="18"/>
                <w:color w:val="auto"/>
              </w:rPr>
              <w:t>Treasurer; Assistant Treasurer</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00" w:type="dxa"/>
            <w:vAlign w:val="bottom"/>
          </w:tcPr>
          <w:p>
            <w:pPr>
              <w:ind w:left="540"/>
              <w:spacing w:after="0"/>
              <w:rPr>
                <w:sz w:val="20"/>
                <w:szCs w:val="20"/>
                <w:color w:val="auto"/>
              </w:rPr>
            </w:pPr>
            <w:r>
              <w:rPr>
                <w:rFonts w:ascii="Arial" w:cs="Arial" w:eastAsia="Arial" w:hAnsi="Arial"/>
                <w:sz w:val="18"/>
                <w:szCs w:val="18"/>
                <w:color w:val="auto"/>
              </w:rPr>
              <w:t>4.9</w:t>
            </w:r>
          </w:p>
        </w:tc>
        <w:tc>
          <w:tcPr>
            <w:tcW w:w="7740" w:type="dxa"/>
            <w:vAlign w:val="bottom"/>
          </w:tcPr>
          <w:p>
            <w:pPr>
              <w:ind w:left="40"/>
              <w:spacing w:after="0"/>
              <w:rPr>
                <w:sz w:val="20"/>
                <w:szCs w:val="20"/>
                <w:color w:val="auto"/>
              </w:rPr>
            </w:pPr>
            <w:r>
              <w:rPr>
                <w:rFonts w:ascii="Arial" w:cs="Arial" w:eastAsia="Arial" w:hAnsi="Arial"/>
                <w:sz w:val="18"/>
                <w:szCs w:val="18"/>
                <w:color w:val="auto"/>
              </w:rPr>
              <w:t>Delegation of Authority</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0980"/>
          </w:cols>
          <w:pgMar w:left="440" w:top="270" w:right="47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300" w:type="dxa"/>
            <w:vAlign w:val="bottom"/>
            <w:gridSpan w:val="2"/>
          </w:tcPr>
          <w:p>
            <w:pPr>
              <w:ind w:left="540"/>
              <w:spacing w:after="0"/>
              <w:rPr>
                <w:sz w:val="20"/>
                <w:szCs w:val="20"/>
                <w:color w:val="auto"/>
              </w:rPr>
            </w:pPr>
            <w:r>
              <w:rPr>
                <w:rFonts w:ascii="Arial" w:cs="Arial" w:eastAsia="Arial" w:hAnsi="Arial"/>
                <w:sz w:val="18"/>
                <w:szCs w:val="18"/>
                <w:color w:val="auto"/>
              </w:rPr>
              <w:t>4.10 Voting Securities Owned by the Company</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2"/>
        </w:trPr>
        <w:tc>
          <w:tcPr>
            <w:tcW w:w="900" w:type="dxa"/>
            <w:vAlign w:val="bottom"/>
          </w:tcPr>
          <w:p>
            <w:pPr>
              <w:ind w:left="540"/>
              <w:spacing w:after="0"/>
              <w:rPr>
                <w:sz w:val="20"/>
                <w:szCs w:val="20"/>
                <w:color w:val="auto"/>
              </w:rPr>
            </w:pPr>
            <w:r>
              <w:rPr>
                <w:rFonts w:ascii="Arial" w:cs="Arial" w:eastAsia="Arial" w:hAnsi="Arial"/>
                <w:sz w:val="18"/>
                <w:szCs w:val="18"/>
                <w:color w:val="auto"/>
                <w:w w:val="96"/>
              </w:rPr>
              <w:t>4.11</w:t>
            </w:r>
          </w:p>
        </w:tc>
        <w:tc>
          <w:tcPr>
            <w:tcW w:w="8400" w:type="dxa"/>
            <w:vAlign w:val="bottom"/>
          </w:tcPr>
          <w:p>
            <w:pPr>
              <w:ind w:left="40"/>
              <w:spacing w:after="0"/>
              <w:rPr>
                <w:sz w:val="20"/>
                <w:szCs w:val="20"/>
                <w:color w:val="auto"/>
              </w:rPr>
            </w:pPr>
            <w:r>
              <w:rPr>
                <w:rFonts w:ascii="Arial" w:cs="Arial" w:eastAsia="Arial" w:hAnsi="Arial"/>
                <w:sz w:val="18"/>
                <w:szCs w:val="18"/>
                <w:color w:val="auto"/>
              </w:rPr>
              <w:t>Chairman of the Board of Directors</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0"/>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INDEMNIFICATION</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5.1</w:t>
            </w:r>
          </w:p>
        </w:tc>
        <w:tc>
          <w:tcPr>
            <w:tcW w:w="8400" w:type="dxa"/>
            <w:vAlign w:val="bottom"/>
          </w:tcPr>
          <w:p>
            <w:pPr>
              <w:ind w:left="40"/>
              <w:spacing w:after="0"/>
              <w:rPr>
                <w:sz w:val="20"/>
                <w:szCs w:val="20"/>
                <w:color w:val="auto"/>
              </w:rPr>
            </w:pPr>
            <w:r>
              <w:rPr>
                <w:rFonts w:ascii="Arial" w:cs="Arial" w:eastAsia="Arial" w:hAnsi="Arial"/>
                <w:sz w:val="18"/>
                <w:szCs w:val="18"/>
                <w:color w:val="auto"/>
              </w:rPr>
              <w:t>Mandatory Indemnification</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5.2</w:t>
            </w:r>
          </w:p>
        </w:tc>
        <w:tc>
          <w:tcPr>
            <w:tcW w:w="8400" w:type="dxa"/>
            <w:vAlign w:val="bottom"/>
          </w:tcPr>
          <w:p>
            <w:pPr>
              <w:ind w:left="40"/>
              <w:spacing w:after="0"/>
              <w:rPr>
                <w:sz w:val="20"/>
                <w:szCs w:val="20"/>
                <w:color w:val="auto"/>
              </w:rPr>
            </w:pPr>
            <w:r>
              <w:rPr>
                <w:rFonts w:ascii="Arial" w:cs="Arial" w:eastAsia="Arial" w:hAnsi="Arial"/>
                <w:sz w:val="18"/>
                <w:szCs w:val="18"/>
                <w:color w:val="auto"/>
              </w:rPr>
              <w:t>Permitted Indemnification</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5.3</w:t>
            </w:r>
          </w:p>
        </w:tc>
        <w:tc>
          <w:tcPr>
            <w:tcW w:w="8400" w:type="dxa"/>
            <w:vAlign w:val="bottom"/>
          </w:tcPr>
          <w:p>
            <w:pPr>
              <w:ind w:left="40"/>
              <w:spacing w:after="0"/>
              <w:rPr>
                <w:sz w:val="20"/>
                <w:szCs w:val="20"/>
                <w:color w:val="auto"/>
              </w:rPr>
            </w:pPr>
            <w:r>
              <w:rPr>
                <w:rFonts w:ascii="Arial" w:cs="Arial" w:eastAsia="Arial" w:hAnsi="Arial"/>
                <w:sz w:val="18"/>
                <w:szCs w:val="18"/>
                <w:color w:val="auto"/>
              </w:rPr>
              <w:t>Expenses Payable in Advance</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5.4</w:t>
            </w:r>
          </w:p>
        </w:tc>
        <w:tc>
          <w:tcPr>
            <w:tcW w:w="8400" w:type="dxa"/>
            <w:vAlign w:val="bottom"/>
          </w:tcPr>
          <w:p>
            <w:pPr>
              <w:ind w:left="40"/>
              <w:spacing w:after="0"/>
              <w:rPr>
                <w:sz w:val="20"/>
                <w:szCs w:val="20"/>
                <w:color w:val="auto"/>
              </w:rPr>
            </w:pPr>
            <w:r>
              <w:rPr>
                <w:rFonts w:ascii="Arial" w:cs="Arial" w:eastAsia="Arial" w:hAnsi="Arial"/>
                <w:sz w:val="18"/>
                <w:szCs w:val="18"/>
                <w:color w:val="auto"/>
              </w:rPr>
              <w:t>Judicial Determination of Mandatory Indemnification or Mandatory Advancement of Expenses</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5.5</w:t>
            </w:r>
          </w:p>
        </w:tc>
        <w:tc>
          <w:tcPr>
            <w:tcW w:w="8400" w:type="dxa"/>
            <w:vAlign w:val="bottom"/>
          </w:tcPr>
          <w:p>
            <w:pPr>
              <w:ind w:left="40"/>
              <w:spacing w:after="0"/>
              <w:rPr>
                <w:sz w:val="20"/>
                <w:szCs w:val="20"/>
                <w:color w:val="auto"/>
              </w:rPr>
            </w:pPr>
            <w:r>
              <w:rPr>
                <w:rFonts w:ascii="Arial" w:cs="Arial" w:eastAsia="Arial" w:hAnsi="Arial"/>
                <w:sz w:val="18"/>
                <w:szCs w:val="18"/>
                <w:color w:val="auto"/>
              </w:rPr>
              <w:t>Nonexclusivity</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5.6</w:t>
            </w:r>
          </w:p>
        </w:tc>
        <w:tc>
          <w:tcPr>
            <w:tcW w:w="840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5.7</w:t>
            </w:r>
          </w:p>
        </w:tc>
        <w:tc>
          <w:tcPr>
            <w:tcW w:w="840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5.8</w:t>
            </w:r>
          </w:p>
        </w:tc>
        <w:tc>
          <w:tcPr>
            <w:tcW w:w="8400" w:type="dxa"/>
            <w:vAlign w:val="bottom"/>
          </w:tcPr>
          <w:p>
            <w:pPr>
              <w:ind w:left="40"/>
              <w:spacing w:after="0"/>
              <w:rPr>
                <w:sz w:val="20"/>
                <w:szCs w:val="20"/>
                <w:color w:val="auto"/>
              </w:rPr>
            </w:pPr>
            <w:r>
              <w:rPr>
                <w:rFonts w:ascii="Arial" w:cs="Arial" w:eastAsia="Arial" w:hAnsi="Arial"/>
                <w:sz w:val="18"/>
                <w:szCs w:val="18"/>
                <w:color w:val="auto"/>
              </w:rPr>
              <w:t>Survival</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2"/>
        </w:trPr>
        <w:tc>
          <w:tcPr>
            <w:tcW w:w="900" w:type="dxa"/>
            <w:vAlign w:val="bottom"/>
          </w:tcPr>
          <w:p>
            <w:pPr>
              <w:ind w:left="540"/>
              <w:spacing w:after="0"/>
              <w:rPr>
                <w:sz w:val="20"/>
                <w:szCs w:val="20"/>
                <w:color w:val="auto"/>
              </w:rPr>
            </w:pPr>
            <w:r>
              <w:rPr>
                <w:rFonts w:ascii="Arial" w:cs="Arial" w:eastAsia="Arial" w:hAnsi="Arial"/>
                <w:sz w:val="18"/>
                <w:szCs w:val="18"/>
                <w:color w:val="auto"/>
              </w:rPr>
              <w:t>5.9</w:t>
            </w:r>
          </w:p>
        </w:tc>
        <w:tc>
          <w:tcPr>
            <w:tcW w:w="8400" w:type="dxa"/>
            <w:vAlign w:val="bottom"/>
          </w:tcPr>
          <w:p>
            <w:pPr>
              <w:ind w:left="40"/>
              <w:spacing w:after="0"/>
              <w:rPr>
                <w:sz w:val="20"/>
                <w:szCs w:val="20"/>
                <w:color w:val="auto"/>
              </w:rPr>
            </w:pPr>
            <w:r>
              <w:rPr>
                <w:rFonts w:ascii="Arial" w:cs="Arial" w:eastAsia="Arial" w:hAnsi="Arial"/>
                <w:sz w:val="18"/>
                <w:szCs w:val="18"/>
                <w:color w:val="auto"/>
              </w:rPr>
              <w:t>Repeal, Amendment or Modification</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0"/>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MISCELLANEOUS</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6.1</w:t>
            </w:r>
          </w:p>
        </w:tc>
        <w:tc>
          <w:tcPr>
            <w:tcW w:w="8400" w:type="dxa"/>
            <w:vAlign w:val="bottom"/>
          </w:tcPr>
          <w:p>
            <w:pPr>
              <w:ind w:left="40"/>
              <w:spacing w:after="0"/>
              <w:rPr>
                <w:sz w:val="20"/>
                <w:szCs w:val="20"/>
                <w:color w:val="auto"/>
              </w:rPr>
            </w:pPr>
            <w:r>
              <w:rPr>
                <w:rFonts w:ascii="Arial" w:cs="Arial" w:eastAsia="Arial" w:hAnsi="Arial"/>
                <w:sz w:val="18"/>
                <w:szCs w:val="18"/>
                <w:color w:val="auto"/>
              </w:rPr>
              <w:t>Seal</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6.2</w:t>
            </w:r>
          </w:p>
        </w:tc>
        <w:tc>
          <w:tcPr>
            <w:tcW w:w="8400" w:type="dxa"/>
            <w:vAlign w:val="bottom"/>
          </w:tcPr>
          <w:p>
            <w:pPr>
              <w:ind w:left="40"/>
              <w:spacing w:after="0"/>
              <w:rPr>
                <w:sz w:val="20"/>
                <w:szCs w:val="20"/>
                <w:color w:val="auto"/>
              </w:rPr>
            </w:pPr>
            <w:r>
              <w:rPr>
                <w:rFonts w:ascii="Arial" w:cs="Arial" w:eastAsia="Arial" w:hAnsi="Arial"/>
                <w:sz w:val="18"/>
                <w:szCs w:val="18"/>
                <w:color w:val="auto"/>
              </w:rPr>
              <w:t>Waiver of Notice</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6.3</w:t>
            </w:r>
          </w:p>
        </w:tc>
        <w:tc>
          <w:tcPr>
            <w:tcW w:w="8400" w:type="dxa"/>
            <w:vAlign w:val="bottom"/>
          </w:tcPr>
          <w:p>
            <w:pPr>
              <w:ind w:left="40"/>
              <w:spacing w:after="0"/>
              <w:rPr>
                <w:sz w:val="20"/>
                <w:szCs w:val="20"/>
                <w:color w:val="auto"/>
              </w:rPr>
            </w:pPr>
            <w:r>
              <w:rPr>
                <w:rFonts w:ascii="Arial" w:cs="Arial" w:eastAsia="Arial" w:hAnsi="Arial"/>
                <w:sz w:val="18"/>
                <w:szCs w:val="18"/>
                <w:color w:val="auto"/>
              </w:rPr>
              <w:t>Forum for Adjudication of Certain Disputes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6.4</w:t>
            </w:r>
          </w:p>
        </w:tc>
        <w:tc>
          <w:tcPr>
            <w:tcW w:w="8400" w:type="dxa"/>
            <w:vAlign w:val="bottom"/>
          </w:tcPr>
          <w:p>
            <w:pPr>
              <w:ind w:left="40"/>
              <w:spacing w:after="0"/>
              <w:rPr>
                <w:sz w:val="20"/>
                <w:szCs w:val="20"/>
                <w:color w:val="auto"/>
              </w:rPr>
            </w:pPr>
            <w:r>
              <w:rPr>
                <w:rFonts w:ascii="Arial" w:cs="Arial" w:eastAsia="Arial" w:hAnsi="Arial"/>
                <w:sz w:val="18"/>
                <w:szCs w:val="18"/>
                <w:color w:val="auto"/>
              </w:rPr>
              <w:t>Offices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6.5</w:t>
            </w:r>
          </w:p>
        </w:tc>
        <w:tc>
          <w:tcPr>
            <w:tcW w:w="840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6.6</w:t>
            </w:r>
          </w:p>
        </w:tc>
        <w:tc>
          <w:tcPr>
            <w:tcW w:w="84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6.7</w:t>
            </w:r>
          </w:p>
        </w:tc>
        <w:tc>
          <w:tcPr>
            <w:tcW w:w="8400" w:type="dxa"/>
            <w:vAlign w:val="bottom"/>
          </w:tcPr>
          <w:p>
            <w:pPr>
              <w:ind w:left="40"/>
              <w:spacing w:after="0"/>
              <w:rPr>
                <w:sz w:val="20"/>
                <w:szCs w:val="20"/>
                <w:color w:val="auto"/>
              </w:rPr>
            </w:pPr>
            <w:r>
              <w:rPr>
                <w:rFonts w:ascii="Arial" w:cs="Arial" w:eastAsia="Arial" w:hAnsi="Arial"/>
                <w:sz w:val="18"/>
                <w:szCs w:val="18"/>
                <w:color w:val="auto"/>
              </w:rPr>
              <w:t>Checks, Notes, Drafts, Etc</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540"/>
              <w:spacing w:after="0"/>
              <w:rPr>
                <w:sz w:val="20"/>
                <w:szCs w:val="20"/>
                <w:color w:val="auto"/>
              </w:rPr>
            </w:pPr>
            <w:r>
              <w:rPr>
                <w:rFonts w:ascii="Arial" w:cs="Arial" w:eastAsia="Arial" w:hAnsi="Arial"/>
                <w:sz w:val="18"/>
                <w:szCs w:val="18"/>
                <w:color w:val="auto"/>
              </w:rPr>
              <w:t>6.8</w:t>
            </w:r>
          </w:p>
        </w:tc>
        <w:tc>
          <w:tcPr>
            <w:tcW w:w="840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900" w:type="dxa"/>
            <w:vAlign w:val="bottom"/>
          </w:tcPr>
          <w:p>
            <w:pPr>
              <w:ind w:left="540"/>
              <w:spacing w:after="0"/>
              <w:rPr>
                <w:sz w:val="20"/>
                <w:szCs w:val="20"/>
                <w:color w:val="auto"/>
              </w:rPr>
            </w:pPr>
            <w:r>
              <w:rPr>
                <w:rFonts w:ascii="Arial" w:cs="Arial" w:eastAsia="Arial" w:hAnsi="Arial"/>
                <w:sz w:val="18"/>
                <w:szCs w:val="18"/>
                <w:color w:val="auto"/>
              </w:rPr>
              <w:t>6.9</w:t>
            </w:r>
          </w:p>
        </w:tc>
        <w:tc>
          <w:tcPr>
            <w:tcW w:w="8400" w:type="dxa"/>
            <w:vAlign w:val="bottom"/>
          </w:tcPr>
          <w:p>
            <w:pPr>
              <w:ind w:left="40"/>
              <w:spacing w:after="0"/>
              <w:rPr>
                <w:sz w:val="20"/>
                <w:szCs w:val="20"/>
                <w:color w:val="auto"/>
              </w:rPr>
            </w:pPr>
            <w:r>
              <w:rPr>
                <w:rFonts w:ascii="Arial" w:cs="Arial" w:eastAsia="Arial" w:hAnsi="Arial"/>
                <w:sz w:val="18"/>
                <w:szCs w:val="18"/>
                <w:color w:val="auto"/>
              </w:rPr>
              <w:t>Conflict with Applicable Law or Certificate of Incorporation</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0"/>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AMENDMENT OF BYLAWS</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00" w:type="dxa"/>
            <w:vAlign w:val="bottom"/>
          </w:tcPr>
          <w:p>
            <w:pPr>
              <w:ind w:left="540"/>
              <w:spacing w:after="0"/>
              <w:rPr>
                <w:sz w:val="20"/>
                <w:szCs w:val="20"/>
                <w:color w:val="auto"/>
              </w:rPr>
            </w:pPr>
            <w:r>
              <w:rPr>
                <w:rFonts w:ascii="Arial" w:cs="Arial" w:eastAsia="Arial" w:hAnsi="Arial"/>
                <w:sz w:val="18"/>
                <w:szCs w:val="18"/>
                <w:color w:val="auto"/>
              </w:rPr>
              <w:t>7.1</w:t>
            </w:r>
          </w:p>
        </w:tc>
        <w:tc>
          <w:tcPr>
            <w:tcW w:w="8400" w:type="dxa"/>
            <w:vAlign w:val="bottom"/>
          </w:tcPr>
          <w:p>
            <w:pPr>
              <w:ind w:left="40"/>
              <w:spacing w:after="0"/>
              <w:rPr>
                <w:sz w:val="20"/>
                <w:szCs w:val="20"/>
                <w:color w:val="auto"/>
              </w:rPr>
            </w:pPr>
            <w:r>
              <w:rPr>
                <w:rFonts w:ascii="Arial" w:cs="Arial" w:eastAsia="Arial" w:hAnsi="Arial"/>
                <w:sz w:val="18"/>
                <w:szCs w:val="18"/>
                <w:color w:val="auto"/>
              </w:rPr>
              <w:t>Amendment of Bylaws</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65"/>
        </w:trPr>
        <w:tc>
          <w:tcPr>
            <w:tcW w:w="900" w:type="dxa"/>
            <w:vAlign w:val="bottom"/>
          </w:tcPr>
          <w:p>
            <w:pPr>
              <w:spacing w:after="0"/>
              <w:rPr>
                <w:sz w:val="24"/>
                <w:szCs w:val="24"/>
                <w:color w:val="auto"/>
              </w:rPr>
            </w:pPr>
          </w:p>
        </w:tc>
        <w:tc>
          <w:tcPr>
            <w:tcW w:w="8400" w:type="dxa"/>
            <w:vAlign w:val="bottom"/>
          </w:tcPr>
          <w:p>
            <w:pPr>
              <w:ind w:left="456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bl>
    <w:p>
      <w:pPr>
        <w:sectPr>
          <w:pgSz w:w="11900" w:h="16838" w:orient="portrait"/>
          <w:cols w:equalWidth="0" w:num="1">
            <w:col w:w="10980"/>
          </w:cols>
          <w:pgMar w:left="440" w:top="274" w:right="4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52" w:lineRule="exact"/>
        <w:rPr>
          <w:sz w:val="20"/>
          <w:szCs w:val="20"/>
          <w:color w:val="auto"/>
        </w:rPr>
      </w:pPr>
    </w:p>
    <w:p>
      <w:pPr>
        <w:ind w:left="540" w:hanging="539"/>
        <w:spacing w:after="0" w:line="288" w:lineRule="auto"/>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Certificates. </w:t>
      </w:r>
      <w:r>
        <w:rPr>
          <w:rFonts w:ascii="Arial" w:cs="Arial" w:eastAsia="Arial" w:hAnsi="Arial"/>
          <w:sz w:val="16"/>
          <w:szCs w:val="16"/>
          <w:color w:val="auto"/>
        </w:rPr>
        <w:t>Shares of the capital stock of CORTEVA, INC., (the “</w:t>
      </w:r>
      <w:r>
        <w:rPr>
          <w:rFonts w:ascii="Arial" w:cs="Arial" w:eastAsia="Arial" w:hAnsi="Arial"/>
          <w:sz w:val="16"/>
          <w:szCs w:val="16"/>
          <w:u w:val="single" w:color="auto"/>
          <w:color w:val="auto"/>
        </w:rPr>
        <w:t>Company</w:t>
      </w:r>
      <w:r>
        <w:rPr>
          <w:rFonts w:ascii="Arial" w:cs="Arial" w:eastAsia="Arial" w:hAnsi="Arial"/>
          <w:sz w:val="16"/>
          <w:szCs w:val="16"/>
          <w:color w:val="auto"/>
        </w:rPr>
        <w:t>”) may be certificated or uncertificated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Corporation Law of the State of Delaware; provided, that, commencing on or prior to the date of these Bylaws, the shares of common stock, par value $0.01 per share, of the Company shall be uncertificated, as provided by resolutions adopted by the Board of Directors of the Company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and each member thereof, a “</w:t>
      </w:r>
      <w:r>
        <w:rPr>
          <w:rFonts w:ascii="Arial" w:cs="Arial" w:eastAsia="Arial" w:hAnsi="Arial"/>
          <w:sz w:val="16"/>
          <w:szCs w:val="16"/>
          <w:u w:val="single" w:color="auto"/>
          <w:color w:val="auto"/>
        </w:rPr>
        <w:t>Director</w:t>
      </w:r>
      <w:r>
        <w:rPr>
          <w:rFonts w:ascii="Arial" w:cs="Arial" w:eastAsia="Arial" w:hAnsi="Arial"/>
          <w:sz w:val="16"/>
          <w:szCs w:val="16"/>
          <w:color w:val="auto"/>
        </w:rPr>
        <w:t>”). To the extent any certificates are ever issued with respect to any class or series of a class of capital stock of the Company, every holder of stock represented by certificates shall be entitled to have a certificate, in such form as may be prescribed by law and the Board of Directors, signed in the name of the Company by the Chairman of the Board of Directors (the “</w:t>
      </w:r>
      <w:r>
        <w:rPr>
          <w:rFonts w:ascii="Arial" w:cs="Arial" w:eastAsia="Arial" w:hAnsi="Arial"/>
          <w:sz w:val="16"/>
          <w:szCs w:val="16"/>
          <w:u w:val="single" w:color="auto"/>
          <w:color w:val="auto"/>
        </w:rPr>
        <w:t>Chairman</w:t>
      </w:r>
      <w:r>
        <w:rPr>
          <w:rFonts w:ascii="Arial" w:cs="Arial" w:eastAsia="Arial" w:hAnsi="Arial"/>
          <w:sz w:val="16"/>
          <w:szCs w:val="16"/>
          <w:color w:val="auto"/>
        </w:rPr>
        <w:t>”) or the Chief Executive Officer or a Vice President, and by the Treasurer or an Assistant Treasurer or the Secretary or an Assistant Secretary of the Company, representing the number of shares registered in certificate form held by such holder. Any or all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Company with the same effect as if such person were such officer, transfer agent or registrar at the date of issue.</w:t>
      </w:r>
    </w:p>
    <w:p>
      <w:pPr>
        <w:spacing w:after="0" w:line="191"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b w:val="1"/>
          <w:bCs w:val="1"/>
          <w:color w:val="auto"/>
        </w:rPr>
        <w:t xml:space="preserve">Record Ownership. </w:t>
      </w:r>
      <w:r>
        <w:rPr>
          <w:rFonts w:ascii="Arial" w:cs="Arial" w:eastAsia="Arial" w:hAnsi="Arial"/>
          <w:sz w:val="17"/>
          <w:szCs w:val="17"/>
          <w:color w:val="auto"/>
        </w:rPr>
        <w:t>A record of the name and address of the holder of each certificate, the number of shares represented thereby and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issue thereof shall be made on the Company’s books. The Company shall be entitled to treat the holder of record of any share of stock as the holder in fact thereof, and accordingly shall not be bound to recognize any equitable or other claim to or interest in any share on the part of any other person, whether or not it shall have express or other notice thereof, except as required by the laws of the State of Delaware. If certificated, the certificates of each class or series of a class of stock shall be numbered consecutively.</w:t>
      </w:r>
    </w:p>
    <w:p>
      <w:pPr>
        <w:spacing w:after="0" w:line="195"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b w:val="1"/>
          <w:bCs w:val="1"/>
          <w:color w:val="auto"/>
        </w:rPr>
        <w:t xml:space="preserve">Transfer of Record Ownership. </w:t>
      </w:r>
      <w:r>
        <w:rPr>
          <w:rFonts w:ascii="Arial" w:cs="Arial" w:eastAsia="Arial" w:hAnsi="Arial"/>
          <w:sz w:val="17"/>
          <w:szCs w:val="17"/>
          <w:color w:val="auto"/>
        </w:rPr>
        <w:t>Subject to applicable laws, transfers of shares of stock of the Company shall be made on the books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only by direction of the registered holder thereof or such person’s attorney, lawfully constituted in writing, and, if such shares are represented by a certificate, only upon the surrender to the Company or its transfer agent or other designated agent of the certificate representing such shares properly endorsed or accompanied by a properly executed written assignment of the shares evidenced thereby, which certificate shall be canceled before a new certificate or uncertificated shares are issued.</w:t>
      </w:r>
    </w:p>
    <w:p>
      <w:pPr>
        <w:spacing w:after="0" w:line="195" w:lineRule="exact"/>
        <w:rPr>
          <w:sz w:val="20"/>
          <w:szCs w:val="20"/>
          <w:color w:val="auto"/>
        </w:rPr>
      </w:pPr>
    </w:p>
    <w:p>
      <w:pPr>
        <w:ind w:left="540" w:right="160" w:hanging="539"/>
        <w:spacing w:after="0" w:line="303"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 xml:space="preserve">Lost Certificates. </w:t>
      </w:r>
      <w:r>
        <w:rPr>
          <w:rFonts w:ascii="Arial" w:cs="Arial" w:eastAsia="Arial" w:hAnsi="Arial"/>
          <w:sz w:val="16"/>
          <w:szCs w:val="16"/>
          <w:color w:val="auto"/>
        </w:rPr>
        <w:t>Any person claiming a stock certificate in lieu of one lost, stolen or destroyed shall give the Company an affidavit as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ownership of the certificate and of the facts which go to prove its loss, theft or destruction. Such person shall also, if required by policies adopted by the Board of Directors, give the Company a bond sufficient to indemnify the Company against any claim that may be made against it on account of the alleged loss of the certificate or the issuance of a new certificate or of uncertificated shares.</w:t>
      </w:r>
    </w:p>
    <w:p>
      <w:pPr>
        <w:sectPr>
          <w:pgSz w:w="11900" w:h="16838" w:orient="portrait"/>
          <w:cols w:equalWidth="0" w:num="1">
            <w:col w:w="11020"/>
          </w:cols>
          <w:pgMar w:left="440" w:top="270" w:right="439" w:bottom="1440" w:gutter="0" w:footer="0" w:header="0"/>
        </w:sectPr>
      </w:pPr>
    </w:p>
    <w:bookmarkStart w:id="17" w:name="page18"/>
    <w:bookmarkEnd w:id="17"/>
    <w:p>
      <w:pPr>
        <w:ind w:left="540" w:right="220" w:hanging="539"/>
        <w:spacing w:after="0" w:line="26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r>
        <w:rPr>
          <w:sz w:val="20"/>
          <w:szCs w:val="20"/>
          <w:color w:val="auto"/>
        </w:rPr>
        <w:tab/>
      </w:r>
      <w:r>
        <w:rPr>
          <w:rFonts w:ascii="Arial" w:cs="Arial" w:eastAsia="Arial" w:hAnsi="Arial"/>
          <w:sz w:val="18"/>
          <w:szCs w:val="18"/>
          <w:b w:val="1"/>
          <w:bCs w:val="1"/>
          <w:color w:val="auto"/>
        </w:rPr>
        <w:t xml:space="preserve">Transfer Agents; Registrars; Rules Respecting Certificates. </w:t>
      </w:r>
      <w:r>
        <w:rPr>
          <w:rFonts w:ascii="Arial" w:cs="Arial" w:eastAsia="Arial" w:hAnsi="Arial"/>
          <w:sz w:val="18"/>
          <w:szCs w:val="18"/>
          <w:color w:val="auto"/>
        </w:rPr>
        <w:t>The Board of Directors may appoint, or authorize any officer or officers to</w:t>
      </w:r>
      <w:r>
        <w:rPr>
          <w:rFonts w:ascii="Arial" w:cs="Arial" w:eastAsia="Arial" w:hAnsi="Arial"/>
          <w:sz w:val="18"/>
          <w:szCs w:val="18"/>
          <w:b w:val="1"/>
          <w:bCs w:val="1"/>
          <w:color w:val="auto"/>
        </w:rPr>
        <w:t xml:space="preserve"> </w:t>
      </w:r>
      <w:r>
        <w:rPr>
          <w:rFonts w:ascii="Arial" w:cs="Arial" w:eastAsia="Arial" w:hAnsi="Arial"/>
          <w:sz w:val="18"/>
          <w:szCs w:val="18"/>
          <w:color w:val="auto"/>
        </w:rPr>
        <w:t>appoint, one or more transfer agents and one or more registrars. The Board of Directors may make such further rules and regulations as it may deem expedient concerning the issue, transfer and registration of shares of stock of the Company.</w:t>
      </w:r>
    </w:p>
    <w:p>
      <w:pPr>
        <w:spacing w:after="0" w:line="203" w:lineRule="exact"/>
        <w:rPr>
          <w:sz w:val="20"/>
          <w:szCs w:val="20"/>
          <w:color w:val="auto"/>
        </w:rPr>
      </w:pPr>
    </w:p>
    <w:p>
      <w:pPr>
        <w:ind w:left="540" w:hanging="539"/>
        <w:spacing w:after="0" w:line="290"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 xml:space="preserve">Record Date. </w:t>
      </w:r>
      <w:r>
        <w:rPr>
          <w:rFonts w:ascii="Arial" w:cs="Arial" w:eastAsia="Arial" w:hAnsi="Arial"/>
          <w:sz w:val="16"/>
          <w:szCs w:val="16"/>
          <w:color w:val="auto"/>
        </w:rPr>
        <w:t>The Board of Directors may fix in advance a date, not more than sixty (60) days or less than ten (10) days preceding the date of an</w:t>
      </w:r>
      <w:r>
        <w:rPr>
          <w:rFonts w:ascii="Arial" w:cs="Arial" w:eastAsia="Arial" w:hAnsi="Arial"/>
          <w:sz w:val="16"/>
          <w:szCs w:val="16"/>
          <w:b w:val="1"/>
          <w:bCs w:val="1"/>
          <w:color w:val="auto"/>
        </w:rPr>
        <w:t xml:space="preserve"> </w:t>
      </w:r>
      <w:r>
        <w:rPr>
          <w:rFonts w:ascii="Arial" w:cs="Arial" w:eastAsia="Arial" w:hAnsi="Arial"/>
          <w:sz w:val="16"/>
          <w:szCs w:val="16"/>
          <w:color w:val="auto"/>
        </w:rPr>
        <w:t>annual or special meeting of stockholders and not more than sixty (60) days preceding the date of payment of a dividend or other distribution, allotment of rights or the date when any change, conversion or exchange of capital stock shall go into effect or for the purpose of any other lawful action, as the record date for determination of the stockholders entitled to notice of and to vote at any such meeting and any adjournment thereof, or to receive any such dividend or other distribution or allotment of rights, or to exercise the rights in respect of any such change, conversion or exchange of capital stock, or to participate in any such other lawful action. Such stockholders and only such stockholders as shall be stockholders of record on the date so fixed shall be entitled to such notice of and to vote at such meeting and any adjournment thereof, or to receive such dividend or other distribution or allotment of rights, or to exercise such rights, or to participate in any such other lawful action, as the case may be, notwithstanding any transfer of any stock on the books of the Company after any such record date fixed as aforesaid.</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MEETINGS OF STOCKHOLDERS</w:t>
      </w:r>
    </w:p>
    <w:p>
      <w:pPr>
        <w:spacing w:after="0" w:line="252" w:lineRule="exact"/>
        <w:rPr>
          <w:sz w:val="20"/>
          <w:szCs w:val="20"/>
          <w:color w:val="auto"/>
        </w:rPr>
      </w:pPr>
    </w:p>
    <w:p>
      <w:pPr>
        <w:ind w:left="540" w:right="40" w:hanging="539"/>
        <w:spacing w:after="0" w:line="314"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 xml:space="preserve">Annual Meeting. </w:t>
      </w:r>
      <w:r>
        <w:rPr>
          <w:rFonts w:ascii="Arial" w:cs="Arial" w:eastAsia="Arial" w:hAnsi="Arial"/>
          <w:sz w:val="16"/>
          <w:szCs w:val="16"/>
          <w:color w:val="auto"/>
        </w:rPr>
        <w:t>The annual meeting of stockholders for the election of Directors and the transaction of such other business as may properly be</w:t>
      </w:r>
      <w:r>
        <w:rPr>
          <w:rFonts w:ascii="Arial" w:cs="Arial" w:eastAsia="Arial" w:hAnsi="Arial"/>
          <w:sz w:val="16"/>
          <w:szCs w:val="16"/>
          <w:b w:val="1"/>
          <w:bCs w:val="1"/>
          <w:color w:val="auto"/>
        </w:rPr>
        <w:t xml:space="preserve"> </w:t>
      </w:r>
      <w:r>
        <w:rPr>
          <w:rFonts w:ascii="Arial" w:cs="Arial" w:eastAsia="Arial" w:hAnsi="Arial"/>
          <w:sz w:val="16"/>
          <w:szCs w:val="16"/>
          <w:color w:val="auto"/>
        </w:rPr>
        <w:t>brought before the meeting shall be held annually on a date and at a time and place, within or without Delaware, as determined by the Board of Directors. The Board of Directors may postpone, reschedule or adjourn any previously scheduled annual meeting of stockholders.</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Special Meetings</w:t>
      </w:r>
      <w:r>
        <w:rPr>
          <w:rFonts w:ascii="Arial" w:cs="Arial" w:eastAsia="Arial" w:hAnsi="Arial"/>
          <w:sz w:val="15"/>
          <w:szCs w:val="15"/>
          <w:color w:val="auto"/>
        </w:rPr>
        <w:t>.</w:t>
      </w:r>
    </w:p>
    <w:p>
      <w:pPr>
        <w:spacing w:after="0" w:line="256" w:lineRule="exact"/>
        <w:rPr>
          <w:sz w:val="20"/>
          <w:szCs w:val="20"/>
          <w:color w:val="auto"/>
        </w:rPr>
      </w:pPr>
    </w:p>
    <w:p>
      <w:pPr>
        <w:ind w:left="1080" w:right="20" w:hanging="536"/>
        <w:spacing w:after="0" w:line="293"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Special meetings of stockholders for any purpose or purposes (i) may be called by the Board of Directors, pursuant to a resolution adopted by a majority of the entire Board of Directors upon motion of a Director, and (ii) shall be called by the Chairman or the Secretary of the Company upon a written request from stockholders of the Company holding at least twenty-five percent (25%) of the voting power of all the shares of capital stock of the Company then entitled to vote on the matter or matters to be brought before the proposed special meeting that complies with the procedures for calling a special meeting of stockholders as set forth in these Bylaws. Any such request by stockholders shall (A) be delivered to, or mailed to and received by, the Secretary of the Company at the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8" w:name="page19"/>
    <w:bookmarkEnd w:id="18"/>
    <w:p>
      <w:pPr>
        <w:ind w:left="560"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principal executive offices, (B) be signed by each stockholder, or a duly authorized agent of such stockholder, requesting the special meeting, (C) set forth the purpose or purposes of the meeting and (D) include the information required by Section 2.9 as applicable, and a representation by the stockholder(s) that within five (5) business days after the record date for any such special meeting it will provide such information as of the record date for such special meeting to the extent not previously provided.</w:t>
      </w:r>
    </w:p>
    <w:p>
      <w:pPr>
        <w:spacing w:after="0" w:line="181" w:lineRule="exact"/>
        <w:rPr>
          <w:sz w:val="20"/>
          <w:szCs w:val="20"/>
          <w:color w:val="auto"/>
        </w:rPr>
      </w:pPr>
    </w:p>
    <w:p>
      <w:pPr>
        <w:ind w:left="540" w:hanging="536"/>
        <w:spacing w:after="0" w:line="285"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Date, Time and Place</w:t>
      </w:r>
      <w:r>
        <w:rPr>
          <w:rFonts w:ascii="Arial" w:cs="Arial" w:eastAsia="Arial" w:hAnsi="Arial"/>
          <w:sz w:val="16"/>
          <w:szCs w:val="16"/>
          <w:color w:val="auto"/>
        </w:rPr>
        <w:t>. A special meeting, whether called by the Board of Directors or called at the request of stockholders shall be held at such date, time and place, within or without the State of Delaware, as determined by the Board of Directors; provided, however, that the date of any such special meeting shall be not more than ninety (90) days after the request to call the special meeting by one or more stockholders who satisfy the requirements of this Section 2.2 is delivered to or received by the Secretary, unless a later date is required in order to allow the Company to file the information required under Item 8 (or any comparable or successor provision) of Schedule 14A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if applicable. Notwithstanding the foregoing, a special meeting requested by stockholders shall not be held if: (i) the stated business to be brought before the special meeting is not a proper subject for stockholder action under applicable law or (ii) the Board of Directors has called or calls for an annual meeting of stockholders to be held within ninety (90) days after the request for the special meeting is delivered to or received by the Secretary and the Board of Directors determines in good faith that the business of such annual meeting includes (among any other matters properly brought before the annual meeting) the business specified in the stockholders’ request. A stockholder may revoke a request for a special meeting at any time by written revocation delivered to, or mailed to and received by, the Secretary. If, at any time after receipt by the Secretary of the Company of a proper request for a special meeting of stockholders, there are no longer valid requests from stockholders holding in the aggregate at least the requisite number of shares entitling the stockholders to request the calling of a special meeting, whether because of revoked requests or otherwise, the Board of Directors, in its discretion, may cancel the special meeting (or, if the special meeting has not yet been called, may direct the Chairman or the Secretary of the Company not to call such a meeting).</w:t>
      </w:r>
    </w:p>
    <w:p>
      <w:pPr>
        <w:spacing w:after="0" w:line="204" w:lineRule="exact"/>
        <w:rPr>
          <w:rFonts w:ascii="Arial" w:cs="Arial" w:eastAsia="Arial" w:hAnsi="Arial"/>
          <w:sz w:val="16"/>
          <w:szCs w:val="16"/>
          <w:color w:val="auto"/>
        </w:rPr>
      </w:pPr>
    </w:p>
    <w:p>
      <w:pPr>
        <w:ind w:left="540" w:hanging="536"/>
        <w:spacing w:after="0" w:line="293"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Conduct of Meeting</w:t>
      </w:r>
      <w:r>
        <w:rPr>
          <w:rFonts w:ascii="Arial" w:cs="Arial" w:eastAsia="Arial" w:hAnsi="Arial"/>
          <w:sz w:val="16"/>
          <w:szCs w:val="16"/>
          <w:color w:val="auto"/>
        </w:rPr>
        <w:t>. At any such special meeting, only such business may be transacted as is set forth in the notice of special meeting. Business transacted at a special meeting requested by stockholders shall be limited to the matters described in the special meeting request; provided, however, that nothing herein shall prohibit the Board of Directors from submitting matters to the stockholders at any special meeting requested by stockholders. If none of the stockholders who submitted the request for a special meeting appears or sends a qualified representative to present the nominations proposed to be presented or other business proposed to be conducted at the special meeting, the Company need not present such nominations or other business for a vote at such meeting. The</w:t>
      </w:r>
    </w:p>
    <w:p>
      <w:pPr>
        <w:spacing w:after="0" w:line="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980" w:top="274" w:right="459" w:bottom="1440" w:gutter="0" w:footer="0" w:header="0"/>
        </w:sectPr>
      </w:pPr>
    </w:p>
    <w:bookmarkStart w:id="19" w:name="page20"/>
    <w:bookmarkEnd w:id="19"/>
    <w:p>
      <w:pPr>
        <w:ind w:left="1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chairman of a special meeting shall determine all matters relating to the conduct of the meeting, including, but not limited to, determining whether any nomination or other item of business has been properly brought before the meeting in accordance with these Bylaws, and if the chairman of the meeting should so determine and declare that any nomination or other item of business has not been properly brought before the special meeting, then such business shall not be transacted at such meeting.</w:t>
      </w:r>
    </w:p>
    <w:p>
      <w:pPr>
        <w:spacing w:after="0" w:line="194" w:lineRule="exact"/>
        <w:rPr>
          <w:sz w:val="20"/>
          <w:szCs w:val="20"/>
          <w:color w:val="auto"/>
        </w:rPr>
      </w:pPr>
    </w:p>
    <w:p>
      <w:pPr>
        <w:ind w:left="540" w:right="40" w:hanging="539"/>
        <w:spacing w:after="0" w:line="258" w:lineRule="auto"/>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 (either written or as otherwise permitted by the General Corporation Law of the State of Delaware) of each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whether annual or special, stating the date, time, place and, with respect to a special meeting, purpose thereof, shall be distributed (either by the U.S. Postal Service or as otherwise permitted by the General Corporation Law of the State of Delaware) by the Secretary or Assistant Secretary not less than ten (10) days nor more than sixty (60) days before the date of such meeting to every stockholder entitled to vote thereat.</w:t>
      </w:r>
    </w:p>
    <w:p>
      <w:pPr>
        <w:spacing w:after="0" w:line="211" w:lineRule="exact"/>
        <w:rPr>
          <w:sz w:val="20"/>
          <w:szCs w:val="20"/>
          <w:color w:val="auto"/>
        </w:rPr>
      </w:pPr>
    </w:p>
    <w:p>
      <w:pPr>
        <w:ind w:left="540" w:right="80" w:hanging="539"/>
        <w:spacing w:after="0" w:line="274" w:lineRule="auto"/>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b w:val="1"/>
          <w:bCs w:val="1"/>
          <w:color w:val="auto"/>
        </w:rPr>
        <w:t xml:space="preserve">List of Stockholders. </w:t>
      </w:r>
      <w:r>
        <w:rPr>
          <w:rFonts w:ascii="Arial" w:cs="Arial" w:eastAsia="Arial" w:hAnsi="Arial"/>
          <w:sz w:val="17"/>
          <w:szCs w:val="17"/>
          <w:color w:val="auto"/>
        </w:rPr>
        <w:t>A complete list of the stockholders entitled to vote at any meeting of stockholders, arranged in alphabetical order, and</w:t>
      </w:r>
      <w:r>
        <w:rPr>
          <w:rFonts w:ascii="Arial" w:cs="Arial" w:eastAsia="Arial" w:hAnsi="Arial"/>
          <w:sz w:val="17"/>
          <w:szCs w:val="17"/>
          <w:b w:val="1"/>
          <w:bCs w:val="1"/>
          <w:color w:val="auto"/>
        </w:rPr>
        <w:t xml:space="preserve"> </w:t>
      </w:r>
      <w:r>
        <w:rPr>
          <w:rFonts w:ascii="Arial" w:cs="Arial" w:eastAsia="Arial" w:hAnsi="Arial"/>
          <w:sz w:val="17"/>
          <w:szCs w:val="17"/>
          <w:color w:val="auto"/>
        </w:rPr>
        <w:t>showing the address of each stockholder and the number of shares registered in the name of each stockholder, shall be prepared by the Secretary at least ten (10) days before every meeting of stockholders and shall be open to the examination of any stockholder for any purpose germane to the meeting for a period of at least ten (10) days before the meeting during ordinary business hours at the principal place of business of the Company. A list of stockholders entitled to vote at the meeting shall be produced and kept at the place of the meeting during the whole time of the meeting and may be examined by any stockholder who is present.</w:t>
      </w:r>
    </w:p>
    <w:p>
      <w:pPr>
        <w:spacing w:after="0" w:line="201" w:lineRule="exact"/>
        <w:rPr>
          <w:sz w:val="20"/>
          <w:szCs w:val="20"/>
          <w:color w:val="auto"/>
        </w:rPr>
      </w:pPr>
    </w:p>
    <w:p>
      <w:pPr>
        <w:ind w:left="540" w:hanging="539"/>
        <w:spacing w:after="0" w:line="274"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b w:val="1"/>
          <w:bCs w:val="1"/>
          <w:color w:val="auto"/>
        </w:rPr>
        <w:t xml:space="preserve">Quorum. </w:t>
      </w:r>
      <w:r>
        <w:rPr>
          <w:rFonts w:ascii="Arial" w:cs="Arial" w:eastAsia="Arial" w:hAnsi="Arial"/>
          <w:sz w:val="17"/>
          <w:szCs w:val="17"/>
          <w:color w:val="auto"/>
        </w:rPr>
        <w:t>The holders of a majority of the voting power of all of the shares of capital stock of the Company then entitled to vote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purposes for which the meeting is called, present in person or represented by proxy, shall constitute a quorum, except as otherwise required by the General Corporation Law of the State of Delaware. If a quorum does not exist, the chairman of the meeting or a majority in interest of the stockholders present in person or represented by proxy may adjourn the meeting from time to time without notice other than announcement at the meeting, until a quorum shall be obtained. At any such adjourned meeting at which there is a quorum, any business may be transacted that might have been transacted at the meeting originally called.</w:t>
      </w:r>
    </w:p>
    <w:p>
      <w:pPr>
        <w:spacing w:after="0" w:line="201" w:lineRule="exact"/>
        <w:rPr>
          <w:sz w:val="20"/>
          <w:szCs w:val="20"/>
          <w:color w:val="auto"/>
        </w:rPr>
      </w:pPr>
    </w:p>
    <w:p>
      <w:pPr>
        <w:ind w:left="540" w:right="40" w:hanging="539"/>
        <w:spacing w:after="0" w:line="258"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The Chairman, or, in the absence of the Chairman, a chairman designated by the Board of Directors, shall preside at meetings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(including special meetings of stockholders) as chairman of the meeting and shall determine the order of business for such meeting. The Secretary of the Company shall act as secretary at all meetings of stockholders, but in the absence of the Secretary, the chairman of the meeting may appoint a secretary of the meeting. Rules governing the procedures and conduct of meetings of stockholders shall be determined by the chairman of the meeting.</w:t>
      </w:r>
    </w:p>
    <w:p>
      <w:pPr>
        <w:spacing w:after="0" w:line="211"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b w:val="1"/>
          <w:bCs w:val="1"/>
          <w:color w:val="auto"/>
        </w:rPr>
        <w:t xml:space="preserve">Voting. </w:t>
      </w:r>
      <w:r>
        <w:rPr>
          <w:rFonts w:ascii="Arial" w:cs="Arial" w:eastAsia="Arial" w:hAnsi="Arial"/>
          <w:sz w:val="18"/>
          <w:szCs w:val="18"/>
          <w:color w:val="auto"/>
        </w:rPr>
        <w:t>Subject to all of the rights of the preferred stock provided for by resolution or resolutions of the Board of Directors pursuant to Article</w:t>
      </w:r>
      <w:r>
        <w:rPr>
          <w:rFonts w:ascii="Arial" w:cs="Arial" w:eastAsia="Arial" w:hAnsi="Arial"/>
          <w:sz w:val="18"/>
          <w:szCs w:val="18"/>
          <w:b w:val="1"/>
          <w:bCs w:val="1"/>
          <w:color w:val="auto"/>
        </w:rPr>
        <w:t xml:space="preserve"> </w:t>
      </w:r>
      <w:r>
        <w:rPr>
          <w:rFonts w:ascii="Arial" w:cs="Arial" w:eastAsia="Arial" w:hAnsi="Arial"/>
          <w:sz w:val="18"/>
          <w:szCs w:val="18"/>
          <w:color w:val="auto"/>
        </w:rPr>
        <w:t>IV of the Certificate of Incorporation or by the General Corporation Law of the State of Delaware, each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0" w:name="page21"/>
    <w:bookmarkEnd w:id="20"/>
    <w:p>
      <w:pPr>
        <w:ind w:left="5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entitled to vote at a meeting shall be entitled to one vote, in person or by proxy (either written or as otherwise permitted by the General Corporation Law of the State of Delaware), for each voting share held of record by such stockholder. The votes for the election of Directors and, upon the demand of any stockholder the vote upon any matter before the meeting, shall be by written ballot. Except as otherwise required by the General Corporation Law of the State of Delaware or as specifically provided for in the Certificate of Incorporation or these Bylaws, in any question or matter brought before any meeting of stockholders (other than the election of Directors), the affirmative vote of the holders of voting shares present in person or by proxy representing a plurality of the votes actually cast on any such question or matter at a meeting where there is a quorum shall be the act of the stockholders. Directors shall be elected by the vote of a majority of the votes cast at a meeting where there is a quorum; except that, notwithstanding the foregoing, Directors shall be elected by a plurality of the votes cast at a meeting where there is a quorum if as of the record date for such meeting the number of nominees exceeds the number of Directors to be elected. For purposes of the foregoing sentence, a majority of the votes cast means that the number of shares voted “for” a Director nominee must exceed the number of shares voted “against” that Director nominee.</w:t>
      </w:r>
    </w:p>
    <w:p>
      <w:pPr>
        <w:spacing w:after="0" w:line="206" w:lineRule="exact"/>
        <w:rPr>
          <w:sz w:val="20"/>
          <w:szCs w:val="20"/>
          <w:color w:val="auto"/>
        </w:rPr>
      </w:pPr>
    </w:p>
    <w:p>
      <w:pPr>
        <w:ind w:left="540" w:right="60" w:hanging="539"/>
        <w:spacing w:after="0" w:line="270" w:lineRule="auto"/>
        <w:tabs>
          <w:tab w:leader="none" w:pos="5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b w:val="1"/>
          <w:bCs w:val="1"/>
          <w:color w:val="auto"/>
        </w:rPr>
        <w:t xml:space="preserve">Inspectors of Election. </w:t>
      </w:r>
      <w:r>
        <w:rPr>
          <w:rFonts w:ascii="Arial" w:cs="Arial" w:eastAsia="Arial" w:hAnsi="Arial"/>
          <w:sz w:val="17"/>
          <w:szCs w:val="17"/>
          <w:color w:val="auto"/>
        </w:rPr>
        <w:t>In advance of any meeting of stockholders, the Board of Directors or the chairman of the meeting shall appoint one or</w:t>
      </w:r>
      <w:r>
        <w:rPr>
          <w:rFonts w:ascii="Arial" w:cs="Arial" w:eastAsia="Arial" w:hAnsi="Arial"/>
          <w:sz w:val="17"/>
          <w:szCs w:val="17"/>
          <w:b w:val="1"/>
          <w:bCs w:val="1"/>
          <w:color w:val="auto"/>
        </w:rPr>
        <w:t xml:space="preserve"> </w:t>
      </w:r>
      <w:r>
        <w:rPr>
          <w:rFonts w:ascii="Arial" w:cs="Arial" w:eastAsia="Arial" w:hAnsi="Arial"/>
          <w:sz w:val="17"/>
          <w:szCs w:val="17"/>
          <w:color w:val="auto"/>
        </w:rPr>
        <w:t>more inspectors to act at the meeting and make a written report thereof. The chairman of the meeting may designate one or more persons as alternate inspectors to replace any inspector who fails or is unable to act. Each inspector, before entering upon the discharge of his or her duties, shall take and sign an oath faithfully to execute the duties of inspector with strict impartiality and according to the best of his or her ability. At each meeting of stockholders, the inspector(s) shall ascertain the number of shares outstanding and the voting power of each, determine the shares represented at the meeting and the validity of proxies and ballots, count all votes and ballots, determine and retain for a reasonable period a record of the disposition of any challenges made to any determination by the inspector(s), and certify the inspectors’ determination of the number of shares represented at the meeting and the count of all votes and ballots. The inspector(s) may appoint or retain other persons or entities to assist the inspector(s) in the performance of the duties of the inspector(s). Any report or certificate made by the inspector(s) shall be prima facie evidence of the facts stated therein.</w:t>
      </w:r>
    </w:p>
    <w:p>
      <w:pPr>
        <w:spacing w:after="0" w:line="20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color w:val="auto"/>
        </w:rPr>
        <w:t>Notification of Stockholder Nominations and Other Business</w:t>
      </w:r>
      <w:r>
        <w:rPr>
          <w:rFonts w:ascii="Arial" w:cs="Arial" w:eastAsia="Arial" w:hAnsi="Arial"/>
          <w:sz w:val="16"/>
          <w:szCs w:val="16"/>
          <w:color w:val="auto"/>
        </w:rPr>
        <w:t>.</w:t>
      </w:r>
    </w:p>
    <w:p>
      <w:pPr>
        <w:spacing w:after="0" w:line="256" w:lineRule="exact"/>
        <w:rPr>
          <w:sz w:val="20"/>
          <w:szCs w:val="20"/>
          <w:color w:val="auto"/>
        </w:rPr>
      </w:pPr>
    </w:p>
    <w:p>
      <w:pPr>
        <w:ind w:left="1080" w:hanging="53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Annual Meeting</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40" w:hanging="642"/>
        <w:spacing w:after="0" w:line="257" w:lineRule="auto"/>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and the proposal of business other than nominations to be considered by the stockholders may be made at an annual meeting of stockholders only (A) by or at the direction of the Board of Directors, (B) by any stockholder of the Company who is a stockholder of record at the time the notice provided for in this Section 2.9 is delivered to, or mailed to and received by, the Secretary of the Company, who is entitled to vote at such annual meeting and who complies with the notice procedures and disclosure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1" w:name="page22"/>
    <w:bookmarkEnd w:id="21"/>
    <w:p>
      <w:pPr>
        <w:ind w:left="760"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set forth in this Section 2.9 or (C) in the case of stockholder nominations to be included in the Company’s proxy statement for an annual meeting of stockholders, by an Eligible Stockholder (as defined below) who satisfies the notice, ownership and other requirements of Section 2.10 of these Bylaws.</w:t>
      </w:r>
    </w:p>
    <w:p>
      <w:pPr>
        <w:spacing w:after="0" w:line="208" w:lineRule="exact"/>
        <w:rPr>
          <w:sz w:val="20"/>
          <w:szCs w:val="20"/>
          <w:color w:val="auto"/>
        </w:rPr>
      </w:pPr>
    </w:p>
    <w:p>
      <w:pPr>
        <w:ind w:left="740" w:hanging="642"/>
        <w:spacing w:after="0" w:line="267"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by a stockholder pursuant to clause (B) of Section 2.9(a)(i), such stockholder must have given timely written notice thereof in proper form to the Secretary of the Company and such proposed business must be a proper subject for stockholder action. To be timely, a stockholder’s notice must be delivered to, or mailed to and received by, the Secretary at the principal executive offices of the Company: not later than the close of business on the ninetieth (90th) day or earlier than the close of business on the one hundred twentieth (120th) day prior to the anniversary date on which the Company first distributed its proxy materials for the prior year’s annual meeting of stockholders of the Company; provided, however, that in the event that the annual meeting is called for a date that is not within thirty (30) days before or after the first anniversary of the prior year’s annual meeting, notice by the stockholder in order to be timely must be so delivered, or so mailed and received, not earlier than the close of business on the one hundred twentieth (120th) day prior to such annual meeting and not later than the close of business on the later of (A) the ninetieth (90th) day prior to such annual meeting and (B) the tenth (10th) day following the date on which public disclosure (as defined below) of the date of the annual meeting is first made by the Company; provided, however, that for the purposes of this clause (ii), (x) the anniversary date of the Company’s first distribution of its proxy materials for the 2019 annual meeting of stockholders of the Company shall be deemed to be April 29, 2020 and (y) the anniversary date of the Company’s 2019 annual meeting of stockholders shall be deemed to be June 25, 2020. In no event shall the public disclosure of an adjournment or postponement of an annual meeting commence a new time period (or extend any time period) for the giving of a stockholder’s notice as described above. Such stockholder’s notice shall set forth:</w:t>
      </w:r>
    </w:p>
    <w:p>
      <w:pPr>
        <w:spacing w:after="0" w:line="98" w:lineRule="exact"/>
        <w:rPr>
          <w:rFonts w:ascii="Arial" w:cs="Arial" w:eastAsia="Arial" w:hAnsi="Arial"/>
          <w:sz w:val="17"/>
          <w:szCs w:val="17"/>
          <w:color w:val="auto"/>
        </w:rPr>
      </w:pPr>
    </w:p>
    <w:p>
      <w:pPr>
        <w:ind w:left="1300" w:right="60" w:hanging="540"/>
        <w:spacing w:after="0" w:line="29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as to each person, if any, whom such stockholder proposes to nominate for election or re-election as a Director: (1) all information relating to such person that would be required to be disclosed in a proxy statement soliciting proxies for the election of such nominee as a Director in an election contest (even if an election contest is not involved) or that is otherwise required to be disclosed, under Section 14(a) of the Exchange Act and the rules and regulations promulgated thereunder, (2) the written consent of the nominee to being named in the proxy statement as a nominee and to serving as a Director if elected and a representation by the nominee to the effect that, if elected, the nominee will agree to and</w:t>
      </w:r>
    </w:p>
    <w:p>
      <w:pPr>
        <w:spacing w:after="0" w:line="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40" w:top="274" w:right="439" w:bottom="1440" w:gutter="0" w:footer="0" w:header="0"/>
        </w:sectPr>
      </w:pPr>
    </w:p>
    <w:bookmarkStart w:id="22" w:name="page23"/>
    <w:bookmarkEnd w:id="22"/>
    <w:p>
      <w:pPr>
        <w:ind w:left="1320"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abide by all policies of the Board of Directors as may be in place at any time and from time to time and (3) any information that such person would be required to disclose pursuant to paragraph (ii)(C) of this Section 2.9(a), if such person were a stockholder purporting to make a nomination or propose business pursuant thereto;</w:t>
      </w:r>
    </w:p>
    <w:p>
      <w:pPr>
        <w:spacing w:after="0" w:line="71" w:lineRule="exact"/>
        <w:rPr>
          <w:sz w:val="20"/>
          <w:szCs w:val="20"/>
          <w:color w:val="auto"/>
        </w:rPr>
      </w:pPr>
    </w:p>
    <w:p>
      <w:pPr>
        <w:ind w:left="1300" w:hanging="540"/>
        <w:spacing w:after="0" w:line="283"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to any other business that such stockholder proposes to bring before the meeting: (1) a brief description of the proposed business desired to be brought before the meeting, (2) the text of the proposal or proposed business (including the text of any resolutions proposed for consideration and in the event that such business includes a proposal to amend the Bylaws of the Company, the language of the proposed amendment), (3) the reasons for conducting such business at the meeting, (4) any substantial interest (within the meaning of Item 5 of Schedule 14A under the Exchange Act) in such business of such stockholder and the beneficial owner (within the meaning of Section 13(d) of the Exchange Act), if any, on whose behalf the business is being proposed, (5) any other information relating to such stockholder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 (6) 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(7) the information required by Section 2.9(a)(ii)(A) above; and</w:t>
      </w:r>
    </w:p>
    <w:p>
      <w:pPr>
        <w:spacing w:after="0" w:line="116" w:lineRule="exact"/>
        <w:rPr>
          <w:rFonts w:ascii="Arial" w:cs="Arial" w:eastAsia="Arial" w:hAnsi="Arial"/>
          <w:sz w:val="16"/>
          <w:szCs w:val="16"/>
          <w:color w:val="auto"/>
        </w:rPr>
      </w:pPr>
    </w:p>
    <w:p>
      <w:pPr>
        <w:ind w:left="1300" w:right="40" w:hanging="540"/>
        <w:spacing w:after="0" w:line="271"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 nomination is made or the other business is proposed: (1) the name and address of such stockholder, as they appear on the Company’s books, and the name and address of the beneficial owner, if any, on whose behalf the nomination is made, (2) the class and number of shares of capital stock of the Company which are beneficially owned (as defined below) and owned of record by such stockholder and owned by the beneficial owner, if any, on whose behalf the nomination is made as of the date of the notice, and a representation that such stockholder shall notify the Company in writing within five (5) business days after the record date for such meeting of the class and number of shares of capital stock of the Company beneficially owned by such stockholder or</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20"/>
          </w:cols>
          <w:pgMar w:left="1440" w:top="274" w:right="439" w:bottom="1440" w:gutter="0" w:footer="0" w:header="0"/>
        </w:sectPr>
      </w:pPr>
    </w:p>
    <w:bookmarkStart w:id="23" w:name="page24"/>
    <w:bookmarkEnd w:id="23"/>
    <w:p>
      <w:pPr>
        <w:ind w:left="13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 as of the record date for the meeting, (3) a written representation (from the stockholder giving notice) that such stockholder is the holder of record of shares of the Company entitled to vote at the meeting and intends to appear in person or by proxy at the meeting to propose such nomination or nominations or other business specified in the notice, (4) a description of any agreement, arrangement or understanding with respect to the nomination or other business between or among such stockholder or the beneficial owner, if any, on whose behalf the nomination is made and any other person, including without limitation any agreements that would be required to be disclosed pursuant to Item 5 or Item 6 of Exchange Act Schedule 13D (regardless of whether the requirement to file a Schedule 13D is applicable to such stockholder or the beneficial owner, if any, on whose behalf the nomination is made) and a representation that such stockholder shall notify the Company in writing within five (5) business days after the record date for such meeting of any such agreement, arrangement or understanding in effect as of the record date for the meeting, (5) a description of any agreement, arrangement or understanding (including any derivative or short positions, profit interests, options, hedging transactions, and borrowed or loaned shares) that has been entered into as of the date of such stockholder’s notice by, or on behalf of, such stockholder or the beneficial owner, if any, on whose behalf the nomination is made or any of their affiliates or associates, the effect or intent of which is to mitigate loss to, manage risk or benefit of share price changes of any class of the Company’s capital stock for, or maintain, increase or decrease the voting power of such stockholder or the beneficial owner, if any, on whose behalf the nomination is made or any of their affiliates or associates with respect to shares of stock of the Company and a representation that such stockholder shall notify the Company in writing within five (5) business days after the record date for such meeting of any such agreement, arrangement or understanding in effect as of the record date for the meeting and (6) a representation as to whether such stockholder intends to deliver a proxy statement and/or form of proxy to holders of at least the percentage of the Company’s outstanding capital stock required to approve the election of the nominee and/or otherwise to solicit proxies from stockholders in support of such election.</w:t>
      </w:r>
    </w:p>
    <w:p>
      <w:pPr>
        <w:spacing w:after="0" w:line="200" w:lineRule="exact"/>
        <w:rPr>
          <w:sz w:val="20"/>
          <w:szCs w:val="20"/>
          <w:color w:val="auto"/>
        </w:rPr>
      </w:pPr>
    </w:p>
    <w:p>
      <w:pPr>
        <w:spacing w:after="0" w:line="225" w:lineRule="exact"/>
        <w:rPr>
          <w:sz w:val="20"/>
          <w:szCs w:val="20"/>
          <w:color w:val="auto"/>
        </w:rPr>
      </w:pPr>
    </w:p>
    <w:p>
      <w:pPr>
        <w:ind w:left="740" w:right="20" w:hanging="642"/>
        <w:spacing w:after="0" w:line="279" w:lineRule="auto"/>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may require any proposed nominee to furnish such other information as may reasonably be required by the Company to determine the eligibility of such proposed nominee to serve as a Director of the Company, including information relevant to a determination whether such proposed nominee can be considered an independent Director or that could be material to a reasonable stockholders’ understanding of the independence, or lack thereof.</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00"/>
          </w:cols>
          <w:pgMar w:left="1440" w:top="274" w:right="459" w:bottom="1440" w:gutter="0" w:footer="0" w:header="0"/>
        </w:sectPr>
      </w:pPr>
    </w:p>
    <w:bookmarkStart w:id="24" w:name="page25"/>
    <w:bookmarkEnd w:id="24"/>
    <w:p>
      <w:pPr>
        <w:ind w:left="1200" w:right="40" w:hanging="642"/>
        <w:spacing w:after="0" w:line="259"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Section 2.9(a) shall not apply to a proposal proposed to be made by a stockholder if the stockholder has notified the Company of his or her intention to present the proposal at an annual or special meeting only pursuant to and in compliance with Rule 14a-8 under the Exchange Act and such proposal has been included in a proxy statement that has been prepared by the Company to solicit proxies for such meeting.</w:t>
      </w:r>
    </w:p>
    <w:p>
      <w:pPr>
        <w:spacing w:after="0" w:line="213" w:lineRule="exact"/>
        <w:rPr>
          <w:rFonts w:ascii="Arial" w:cs="Arial" w:eastAsia="Arial" w:hAnsi="Arial"/>
          <w:sz w:val="18"/>
          <w:szCs w:val="18"/>
          <w:color w:val="auto"/>
        </w:rPr>
      </w:pPr>
    </w:p>
    <w:p>
      <w:pPr>
        <w:ind w:left="540" w:hanging="536"/>
        <w:spacing w:after="0" w:line="283"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Special Meeting</w:t>
      </w:r>
      <w:r>
        <w:rPr>
          <w:rFonts w:ascii="Arial" w:cs="Arial" w:eastAsia="Arial" w:hAnsi="Arial"/>
          <w:sz w:val="16"/>
          <w:szCs w:val="16"/>
          <w:color w:val="auto"/>
        </w:rPr>
        <w:t>. Only such business shall be conducted at a special meeting of stockholders as shall have been brought before the meeting pursuant to the Company’s notice of meeting. Nominations of persons for election to the Board of Directors may be made at a special meeting of stockholders called by the Board of Directors at which Directors are to be elected pursuant to the Company’s notice of meeting (i) by or at the direction of the Board of Directors or (ii) provided that the Board of Directors has determined that Directors shall be elected at such meeting, by any stockholder of the Company who is a stockholder of record at the time the notice provided for in this Section 2.9(b) is delivered to, or mailed to and received by, the Secretary of the Company and at the time of the special meeting, who is entitled to vote at the special meeting and upon such election, and who complies with the notice procedures set forth in this Section 2.9 as to such nomination. In the event the Board of Directors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Company’s notice of meeting, if the notice required by</w:t>
      </w:r>
    </w:p>
    <w:p>
      <w:pPr>
        <w:spacing w:after="0" w:line="5" w:lineRule="exact"/>
        <w:rPr>
          <w:rFonts w:ascii="Arial" w:cs="Arial" w:eastAsia="Arial" w:hAnsi="Arial"/>
          <w:sz w:val="16"/>
          <w:szCs w:val="16"/>
          <w:color w:val="auto"/>
        </w:rPr>
      </w:pPr>
    </w:p>
    <w:p>
      <w:pPr>
        <w:ind w:left="540" w:right="40"/>
        <w:spacing w:after="0" w:line="290" w:lineRule="auto"/>
        <w:rPr>
          <w:rFonts w:ascii="Arial" w:cs="Arial" w:eastAsia="Arial" w:hAnsi="Arial"/>
          <w:sz w:val="16"/>
          <w:szCs w:val="16"/>
          <w:color w:val="auto"/>
        </w:rPr>
      </w:pPr>
      <w:r>
        <w:rPr>
          <w:rFonts w:ascii="Arial" w:cs="Arial" w:eastAsia="Arial" w:hAnsi="Arial"/>
          <w:sz w:val="16"/>
          <w:szCs w:val="16"/>
          <w:color w:val="auto"/>
        </w:rPr>
        <w:t>Section 2.9(a)(ii) shall be delivered to, or mailed to and received by, the Secretary at the principal executive offices of the Company not earlier than the close of business on the one hundred twentieth (120th) day prior to such special meeting and not later than the close of business on the later of the ninetieth (90th) day prior to such special meeting or the tenth (10th) day following the day on which public disclosure of the date of the special meeting and of the nominees proposed by the Board of Directors to be elected at such meeting is first made by the Company. In no event shall the public announcement of an adjournment or postponement of a special meeting commence a new time period (or extend any time period) for the giving of a stockholder’s notice as described above.</w:t>
      </w:r>
    </w:p>
    <w:p>
      <w:pPr>
        <w:spacing w:after="0" w:line="191" w:lineRule="exact"/>
        <w:rPr>
          <w:rFonts w:ascii="Arial" w:cs="Arial" w:eastAsia="Arial" w:hAnsi="Arial"/>
          <w:sz w:val="16"/>
          <w:szCs w:val="16"/>
          <w:color w:val="auto"/>
        </w:rPr>
      </w:pPr>
    </w:p>
    <w:p>
      <w:pPr>
        <w:ind w:left="540" w:hanging="53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00" w:right="60" w:hanging="642"/>
        <w:spacing w:after="0" w:line="257" w:lineRule="auto"/>
        <w:tabs>
          <w:tab w:leader="none" w:pos="1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this Section 2.9 or Section 2.10 shall be eligible to be elected at any meeting of stockholders of the Company to serve as Directors and only such other business shall be conducted at a meeting of stockholders as shall have been properly brought before the meeting in accordance with the procedures set forth in this Section 2.9 or Section 2.10, as applicable. The chairman of the special meeting, as determined pursuant to Section</w:t>
      </w:r>
    </w:p>
    <w:p>
      <w:pPr>
        <w:spacing w:after="0" w:line="1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60"/>
          </w:cols>
          <w:pgMar w:left="980" w:top="274" w:right="459" w:bottom="1440" w:gutter="0" w:footer="0" w:header="0"/>
        </w:sectPr>
      </w:pPr>
    </w:p>
    <w:bookmarkStart w:id="25" w:name="page26"/>
    <w:bookmarkEnd w:id="25"/>
    <w:p>
      <w:pPr>
        <w:ind w:left="760"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 shall have the power and duty to determine whether a nomination or any other business proposed to be brought before the meeting was made or proposed, as the case may be, in accordance with the procedures set forth in this Section 2.9. If any proposed nomination or other business was not made or proposed in compliance with this Section 2.9 or Section 2.10, as applicable, then except as otherwise provided by law, the chairman of the meeting shall have the power and duty to declare that such nomination shall be disregarded or that such proposed other business shall not be transacted. Notwithstanding the foregoing provisions of this Section 2.9, unless otherwise required by law, if the stockholder does not provide the information required under clauses (2), (4) and (5) of Section 2.9(a)(ii)(C) to the Company within five (5) business days following the record date for an annual or special meeting of stockholders, or if the stockholder (or a qualified representative of the stockholder) does not appear at the annual or special meeting of stockholders of the Company to present a nomination or proposed other business, such nomination shall be disregarded and such proposed other business shall not be transacted, notwithstanding that proxies in respect of such vote may have been received by the Company. For purposes of this Section 2.9, to be considered a qualified representative of the stockholder, a person must be a duly authorized officer, manager or partner of such stockholder or authorized by a writing executed by such stockholder (or a reliable reproduction or electronic transmission of such writing) delivered to the Company prior to the making of such nomination or proposal at such meeting by such stockholder stating that such person is authorized to act for such stockholder as proxy at the meeting of stockholders.</w:t>
      </w:r>
    </w:p>
    <w:p>
      <w:pPr>
        <w:spacing w:after="0" w:line="196" w:lineRule="exact"/>
        <w:rPr>
          <w:sz w:val="20"/>
          <w:szCs w:val="20"/>
          <w:color w:val="auto"/>
        </w:rPr>
      </w:pPr>
    </w:p>
    <w:p>
      <w:pPr>
        <w:ind w:left="740" w:hanging="642"/>
        <w:spacing w:after="0" w:line="289"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purposes of this Section 2.9, “public disclosure” shall mean disclosure in a press release reported by the Dow Jones News Service, Associated Press, or comparable national news service or any document publicly filed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Section 13, 14 or 15(d) of the Exchange Act. For purposes of clause (2) of Section 2.9(a)(ii)(C),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investment power with respect to such shares, including the power to dispose of, or to direct the disposition of, such shares.</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80"/>
          </w:cols>
          <w:pgMar w:left="1440" w:top="274" w:right="479" w:bottom="1440" w:gutter="0" w:footer="0" w:header="0"/>
        </w:sectPr>
      </w:pPr>
    </w:p>
    <w:bookmarkStart w:id="26" w:name="page27"/>
    <w:bookmarkEnd w:id="2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2.10</w:t>
      </w:r>
      <w:r>
        <w:rPr>
          <w:sz w:val="20"/>
          <w:szCs w:val="20"/>
          <w:color w:val="auto"/>
        </w:rPr>
        <w:tab/>
      </w:r>
      <w:r>
        <w:rPr>
          <w:rFonts w:ascii="Arial" w:cs="Arial" w:eastAsia="Arial" w:hAnsi="Arial"/>
          <w:sz w:val="16"/>
          <w:szCs w:val="16"/>
          <w:b w:val="1"/>
          <w:bCs w:val="1"/>
          <w:color w:val="auto"/>
        </w:rPr>
        <w:t>Proxy Access for Director Nominations</w:t>
      </w:r>
      <w:r>
        <w:rPr>
          <w:rFonts w:ascii="Arial" w:cs="Arial" w:eastAsia="Arial" w:hAnsi="Arial"/>
          <w:sz w:val="16"/>
          <w:szCs w:val="16"/>
          <w:color w:val="auto"/>
        </w:rPr>
        <w:t>.</w:t>
      </w:r>
    </w:p>
    <w:p>
      <w:pPr>
        <w:spacing w:after="0" w:line="256" w:lineRule="exact"/>
        <w:rPr>
          <w:sz w:val="20"/>
          <w:szCs w:val="20"/>
          <w:color w:val="auto"/>
        </w:rPr>
      </w:pPr>
    </w:p>
    <w:p>
      <w:pPr>
        <w:ind w:left="1080" w:right="20" w:hanging="536"/>
        <w:spacing w:after="0" w:line="288"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Subject to the terms and conditions of these Bylaws, in connection with an annual meeting of stockholders at which Directors are to be elected, the Company (a) shall include in its proxy statement and on its form of proxy the names of, and (b) shall include in its proxy statement the “Additional Information” (as defined below) relating to, a number of nominees specified pursuant to Section 2.10(b)</w:t>
      </w:r>
    </w:p>
    <w:p>
      <w:pPr>
        <w:ind w:left="1080" w:right="520" w:firstLine="4"/>
        <w:spacing w:after="0" w:line="261" w:lineRule="auto"/>
        <w:tabs>
          <w:tab w:leader="none" w:pos="12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Authorized Number</w:t>
      </w:r>
      <w:r>
        <w:rPr>
          <w:rFonts w:ascii="Arial" w:cs="Arial" w:eastAsia="Arial" w:hAnsi="Arial"/>
          <w:sz w:val="18"/>
          <w:szCs w:val="18"/>
          <w:color w:val="auto"/>
        </w:rPr>
        <w:t>”) for election to the Board of Directors submitted pursuant to this Section 2.10 (each, a “</w:t>
      </w:r>
      <w:r>
        <w:rPr>
          <w:rFonts w:ascii="Arial" w:cs="Arial" w:eastAsia="Arial" w:hAnsi="Arial"/>
          <w:sz w:val="18"/>
          <w:szCs w:val="18"/>
          <w:u w:val="single" w:color="auto"/>
          <w:color w:val="auto"/>
        </w:rPr>
        <w:t>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Nominee</w:t>
      </w:r>
      <w:r>
        <w:rPr>
          <w:rFonts w:ascii="Arial" w:cs="Arial" w:eastAsia="Arial" w:hAnsi="Arial"/>
          <w:sz w:val="18"/>
          <w:szCs w:val="18"/>
          <w:color w:val="auto"/>
        </w:rPr>
        <w:t>”), if:</w:t>
      </w:r>
    </w:p>
    <w:p>
      <w:pPr>
        <w:spacing w:after="0" w:line="89" w:lineRule="exact"/>
        <w:rPr>
          <w:rFonts w:ascii="Arial" w:cs="Arial" w:eastAsia="Arial" w:hAnsi="Arial"/>
          <w:sz w:val="18"/>
          <w:szCs w:val="18"/>
          <w:color w:val="auto"/>
        </w:rPr>
      </w:pPr>
    </w:p>
    <w:p>
      <w:pPr>
        <w:ind w:left="1740" w:hanging="642"/>
        <w:spacing w:after="0"/>
        <w:tabs>
          <w:tab w:leader="none" w:pos="17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Stockholder Nominee satisfies the eligibility requirements in this Section 2.10;</w:t>
      </w:r>
    </w:p>
    <w:p>
      <w:pPr>
        <w:spacing w:after="0" w:line="130" w:lineRule="exact"/>
        <w:rPr>
          <w:rFonts w:ascii="Arial" w:cs="Arial" w:eastAsia="Arial" w:hAnsi="Arial"/>
          <w:sz w:val="18"/>
          <w:szCs w:val="18"/>
          <w:color w:val="auto"/>
        </w:rPr>
      </w:pPr>
    </w:p>
    <w:p>
      <w:pPr>
        <w:ind w:left="1740" w:right="560" w:hanging="642"/>
        <w:spacing w:after="0" w:line="342" w:lineRule="auto"/>
        <w:tabs>
          <w:tab w:leader="none" w:pos="174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Stockholder Nominee is identified in a timely notice (the “</w:t>
      </w:r>
      <w:r>
        <w:rPr>
          <w:rFonts w:ascii="Arial" w:cs="Arial" w:eastAsia="Arial" w:hAnsi="Arial"/>
          <w:sz w:val="16"/>
          <w:szCs w:val="16"/>
          <w:u w:val="single" w:color="auto"/>
          <w:color w:val="auto"/>
        </w:rPr>
        <w:t>Stockholder Notice</w:t>
      </w:r>
      <w:r>
        <w:rPr>
          <w:rFonts w:ascii="Arial" w:cs="Arial" w:eastAsia="Arial" w:hAnsi="Arial"/>
          <w:sz w:val="16"/>
          <w:szCs w:val="16"/>
          <w:color w:val="auto"/>
        </w:rPr>
        <w:t>”) that satisfies this Section 2.10 and is delivered by a stockholder that qualifies as, or is acting on behalf of, an Eligible Stockholder (as defined below); and</w:t>
      </w:r>
    </w:p>
    <w:p>
      <w:pPr>
        <w:spacing w:after="0" w:line="29" w:lineRule="exact"/>
        <w:rPr>
          <w:rFonts w:ascii="Arial" w:cs="Arial" w:eastAsia="Arial" w:hAnsi="Arial"/>
          <w:sz w:val="16"/>
          <w:szCs w:val="16"/>
          <w:color w:val="auto"/>
        </w:rPr>
      </w:pPr>
    </w:p>
    <w:p>
      <w:pPr>
        <w:ind w:left="1740" w:right="340" w:hanging="642"/>
        <w:spacing w:after="0" w:line="277" w:lineRule="auto"/>
        <w:tabs>
          <w:tab w:leader="none" w:pos="17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Eligible Stockholder satisfies the requirements in this Section 2.10 and expressly elects at the time of the delivery of the Stockholder Notice to have the Stockholder Nominee included in the Company’s proxy materials.</w:t>
      </w:r>
    </w:p>
    <w:p>
      <w:pPr>
        <w:spacing w:after="0" w:line="197" w:lineRule="exact"/>
        <w:rPr>
          <w:rFonts w:ascii="Arial" w:cs="Arial" w:eastAsia="Arial" w:hAnsi="Arial"/>
          <w:sz w:val="18"/>
          <w:szCs w:val="18"/>
          <w:color w:val="auto"/>
        </w:rPr>
      </w:pPr>
    </w:p>
    <w:p>
      <w:pPr>
        <w:ind w:left="1080" w:hanging="53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40" w:hanging="642"/>
        <w:spacing w:after="0" w:line="284" w:lineRule="auto"/>
        <w:tabs>
          <w:tab w:leader="none" w:pos="174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maximum number of Stockholder Nominees appearing in the Company’s proxy materials with respect to an annual meeting of stockholders (the “</w:t>
      </w:r>
      <w:r>
        <w:rPr>
          <w:rFonts w:ascii="Arial" w:cs="Arial" w:eastAsia="Arial" w:hAnsi="Arial"/>
          <w:sz w:val="16"/>
          <w:szCs w:val="16"/>
          <w:u w:val="single" w:color="auto"/>
          <w:color w:val="auto"/>
        </w:rPr>
        <w:t>Authorized Number</w:t>
      </w:r>
      <w:r>
        <w:rPr>
          <w:rFonts w:ascii="Arial" w:cs="Arial" w:eastAsia="Arial" w:hAnsi="Arial"/>
          <w:sz w:val="16"/>
          <w:szCs w:val="16"/>
          <w:color w:val="auto"/>
        </w:rPr>
        <w:t>”) shall not exceed the greater of (x) two or (y) twenty percent (20%) of the number of Directors in office as of the last day on which a Stockholder Notice may be delivered pursuant to this Section 2.10 with respect to the annual meeting, or if such amount is not a whole number, the closest whole number (rounding down) below twenty percent (20%); provided that the Authorized Number shall be reduced by (A) the number of individuals (if any) included in the Company’s proxy as nominees recommended by the Board of Directors pursuant to an agreement, arrangement or other understanding with a stockholder or group of stockholders (other than any such agreement, arrangement or other understanding entered into in connection with an acquisition of stock from the Company by such stockholder or group of stockholders) and</w:t>
      </w:r>
    </w:p>
    <w:p>
      <w:pPr>
        <w:spacing w:after="0" w:line="1" w:lineRule="exact"/>
        <w:rPr>
          <w:rFonts w:ascii="Arial" w:cs="Arial" w:eastAsia="Arial" w:hAnsi="Arial"/>
          <w:sz w:val="16"/>
          <w:szCs w:val="16"/>
          <w:color w:val="auto"/>
        </w:rPr>
      </w:pPr>
    </w:p>
    <w:p>
      <w:pPr>
        <w:ind w:left="1740" w:right="120"/>
        <w:spacing w:after="0" w:line="292" w:lineRule="auto"/>
        <w:rPr>
          <w:rFonts w:ascii="Arial" w:cs="Arial" w:eastAsia="Arial" w:hAnsi="Arial"/>
          <w:sz w:val="16"/>
          <w:szCs w:val="16"/>
          <w:color w:val="auto"/>
        </w:rPr>
      </w:pPr>
      <w:r>
        <w:rPr>
          <w:rFonts w:ascii="Arial" w:cs="Arial" w:eastAsia="Arial" w:hAnsi="Arial"/>
          <w:sz w:val="16"/>
          <w:szCs w:val="16"/>
          <w:color w:val="auto"/>
        </w:rPr>
        <w:t>(B) the number of nominees (if any) who were previously elected to the Board of Directors as Stockholder Nominees at any of the preceding two annual meetings and who are nominated for election at the annual meeting by the Board of Directors as a Board of Directors nominee. For purposes of determining when the Authorized Number has been reached, any individual nominated by an Eligible Stockholder for inclusion in the Company’s proxy materials pursuant to this Section 2.10 whose nomination is subsequently withdrawn or whom the Board of Directors decides to nominate for election to the Board of</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27" w:name="page28"/>
    <w:bookmarkEnd w:id="27"/>
    <w:p>
      <w:pPr>
        <w:jc w:val="both"/>
        <w:ind w:left="17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shall be counted as one of the Stockholder Nominees. In the event that one or more vacancies for any reason occurs after the date of the Stockholder Notice but before the annual meeting and the Board of Directors resolves to reduce the size of the Board of Directors in connection therewith, the Authorized Number shall be calculated based on the number of Directors in office as so reduced.</w:t>
      </w:r>
    </w:p>
    <w:p>
      <w:pPr>
        <w:spacing w:after="0" w:line="214" w:lineRule="exact"/>
        <w:rPr>
          <w:sz w:val="20"/>
          <w:szCs w:val="20"/>
          <w:color w:val="auto"/>
        </w:rPr>
      </w:pPr>
    </w:p>
    <w:p>
      <w:pPr>
        <w:ind w:left="1740" w:hanging="642"/>
        <w:spacing w:after="0"/>
        <w:tabs>
          <w:tab w:leader="none" w:pos="1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qualify as an “Eligible Stockholder,” a stockholder or a group as described in this Section 2.10 must:</w:t>
      </w:r>
    </w:p>
    <w:p>
      <w:pPr>
        <w:spacing w:after="0" w:line="130" w:lineRule="exact"/>
        <w:rPr>
          <w:rFonts w:ascii="Arial" w:cs="Arial" w:eastAsia="Arial" w:hAnsi="Arial"/>
          <w:sz w:val="18"/>
          <w:szCs w:val="18"/>
          <w:color w:val="auto"/>
        </w:rPr>
      </w:pPr>
    </w:p>
    <w:p>
      <w:pPr>
        <w:ind w:left="2300" w:hanging="540"/>
        <w:spacing w:after="0" w:line="276" w:lineRule="auto"/>
        <w:tabs>
          <w:tab w:leader="none" w:pos="2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Own and have Owned (as defined below), continuously for at least three years as of the date of the Stockholder Notice, a number of shares (as adjusted to account for any stock dividend, stock split, subdivision, combination, reclassification or recapitalization of shares of the Company that are entitled to vote generally in the election of Directors) that represents at least three percent (3%) of the outstanding shares of the Company that are entitled to vote generally in the election of Directors as of the date of the Stockholder Notice (the “</w:t>
      </w:r>
      <w:r>
        <w:rPr>
          <w:rFonts w:ascii="Arial" w:cs="Arial" w:eastAsia="Arial" w:hAnsi="Arial"/>
          <w:sz w:val="17"/>
          <w:szCs w:val="17"/>
          <w:u w:val="single" w:color="auto"/>
          <w:color w:val="auto"/>
        </w:rPr>
        <w:t>Required Shares</w:t>
      </w:r>
      <w:r>
        <w:rPr>
          <w:rFonts w:ascii="Arial" w:cs="Arial" w:eastAsia="Arial" w:hAnsi="Arial"/>
          <w:sz w:val="17"/>
          <w:szCs w:val="17"/>
          <w:color w:val="auto"/>
        </w:rPr>
        <w:t>”), and</w:t>
      </w:r>
    </w:p>
    <w:p>
      <w:pPr>
        <w:spacing w:after="0" w:line="77" w:lineRule="exact"/>
        <w:rPr>
          <w:rFonts w:ascii="Arial" w:cs="Arial" w:eastAsia="Arial" w:hAnsi="Arial"/>
          <w:sz w:val="17"/>
          <w:szCs w:val="17"/>
          <w:color w:val="auto"/>
        </w:rPr>
      </w:pPr>
    </w:p>
    <w:p>
      <w:pPr>
        <w:ind w:left="2300" w:hanging="540"/>
        <w:spacing w:after="0"/>
        <w:tabs>
          <w:tab w:leader="none" w:pos="2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thereafter continue to Own the Required Shares through such annual meeting of stockholders.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purposes of satisfying the ownership requirements of this Section 2.10(b)(ii), a group of not more than twenty (20) stockholders and/or beneficial owners may aggregate the number of shares of the Company that are entitled to vote generally in the election of Directors that each group member has individually Owned continuously for at least three (3) years as of the date of the Stockholder Notice if all other requirements and obligations for an Eligible Stockholder set forth in this Section 2.10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2.10. A group of any two or more funds shall be treated as only one stockholder or beneficial owner for this purpose if they are (A) under common management and investment control OR (B) under common management and funded primarily by a single employer OR (C) part of a family of funds, meaning a group of publicly offered investment companies (whether organized in the U.S. or outside the U.S.) that hold themselves out to investors as related companies for purposes of investment and investor services. For purposes of this Section 2.10, the term “affiliate” or “affiliates” shall have the meanings ascribed thereto under the rules and regulations promulgated under the Securities Exchange Act of 1934, as amended (the “Exchange Act”).</w:t>
      </w:r>
    </w:p>
    <w:p>
      <w:pPr>
        <w:spacing w:after="0" w:line="200" w:lineRule="exact"/>
        <w:rPr>
          <w:sz w:val="20"/>
          <w:szCs w:val="20"/>
          <w:color w:val="auto"/>
        </w:rPr>
      </w:pPr>
    </w:p>
    <w:p>
      <w:pPr>
        <w:ind w:left="1740" w:hanging="642"/>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purposes of this Section 2.10:</w:t>
      </w:r>
    </w:p>
    <w:p>
      <w:pPr>
        <w:spacing w:after="0" w:line="130" w:lineRule="exact"/>
        <w:rPr>
          <w:rFonts w:ascii="Arial" w:cs="Arial" w:eastAsia="Arial" w:hAnsi="Arial"/>
          <w:sz w:val="18"/>
          <w:szCs w:val="18"/>
          <w:color w:val="auto"/>
        </w:rPr>
      </w:pPr>
    </w:p>
    <w:p>
      <w:pPr>
        <w:ind w:left="2300" w:right="20" w:hanging="540"/>
        <w:spacing w:after="0" w:line="277" w:lineRule="auto"/>
        <w:tabs>
          <w:tab w:leader="none" w:pos="2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stockholder or beneficial owner is deemed to “Own” only those outstanding shares of the Company that are entitled to vote generally in the election of Directors as to which the person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8" w:name="page29"/>
    <w:bookmarkEnd w:id="28"/>
    <w:p>
      <w:pPr>
        <w:ind w:left="13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possesses both (1) the full voting and investment rights pertaining to the shares and (2) the full economic interest in (including the opportunity for profit and risk of loss on) such shares, except that the number of shares calculated in accordance with clauses (1) and (2) shall not include any shares (a) sold by such person in any transaction that has not been settled or closed, (b) borrowed by the person for any purposes or purchased by the person pursuant to an agreement to resell, or (c) subject to any option, warrant, forward contract, swap, contract of sale, or other derivative or similar agreement entered into by the person, whether the instrument or agreement is to be settled with shares or with cash based on the notional amount or value of outstanding shares of the Company that are entitled to vote generally in the election of Directors, if the instrument or agreement has, or is intended to have, or if exercised would have, the purpose or effect of (x) reducing in any manner, to any extent or at any time in the future, the person’s full right to vote or direct the voting of the shares, and/or (y) hedging, offsetting or altering to any degree any gain or loss arising from the full economic ownership of the shares by the person. The terms “Owned,” “Owning” and other variations of the word “Own,” when used with respect to a stockholder or beneficial owner, have correlative meanings. For purposes of clauses</w:t>
      </w:r>
    </w:p>
    <w:p>
      <w:pPr>
        <w:spacing w:after="0" w:line="4" w:lineRule="exact"/>
        <w:rPr>
          <w:sz w:val="20"/>
          <w:szCs w:val="20"/>
          <w:color w:val="auto"/>
        </w:rPr>
      </w:pPr>
    </w:p>
    <w:p>
      <w:pPr>
        <w:ind w:left="1560" w:hanging="247"/>
        <w:spacing w:after="0"/>
        <w:tabs>
          <w:tab w:leader="none" w:pos="15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through (c), the term “person” includes its affiliates.</w:t>
      </w:r>
    </w:p>
    <w:p>
      <w:pPr>
        <w:spacing w:after="0" w:line="116" w:lineRule="exact"/>
        <w:rPr>
          <w:rFonts w:ascii="Arial" w:cs="Arial" w:eastAsia="Arial" w:hAnsi="Arial"/>
          <w:sz w:val="18"/>
          <w:szCs w:val="18"/>
          <w:color w:val="auto"/>
        </w:rPr>
      </w:pPr>
    </w:p>
    <w:p>
      <w:pPr>
        <w:ind w:left="1300" w:right="20" w:hanging="540"/>
        <w:spacing w:after="0" w:line="25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stockholder or beneficial owner “Owns” shares held in the name of a nominee or other intermediary so long as the person retains both (1) the full voting and 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93" w:lineRule="exact"/>
        <w:rPr>
          <w:rFonts w:ascii="Arial" w:cs="Arial" w:eastAsia="Arial" w:hAnsi="Arial"/>
          <w:sz w:val="18"/>
          <w:szCs w:val="18"/>
          <w:color w:val="auto"/>
        </w:rPr>
      </w:pPr>
    </w:p>
    <w:p>
      <w:pPr>
        <w:jc w:val="both"/>
        <w:ind w:left="1300" w:right="240" w:hanging="54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stockholder or beneficial owner’s Ownership of shares shall be deemed to continue during any period in which the person has loaned the shares if the person has the power to recall the loaned shares on not more than five (5) business days’ notice.</w:t>
      </w:r>
    </w:p>
    <w:p>
      <w:pPr>
        <w:spacing w:after="0" w:line="208" w:lineRule="exact"/>
        <w:rPr>
          <w:rFonts w:ascii="Arial" w:cs="Arial" w:eastAsia="Arial" w:hAnsi="Arial"/>
          <w:sz w:val="18"/>
          <w:szCs w:val="18"/>
          <w:color w:val="auto"/>
        </w:rPr>
      </w:pPr>
    </w:p>
    <w:p>
      <w:pPr>
        <w:ind w:left="740" w:right="140" w:hanging="642"/>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purposes of this Section 2.10, the “Additional Information” referred to in Section 2.10(a) that the Company will include in its proxy statement is:</w:t>
      </w:r>
    </w:p>
    <w:p>
      <w:pPr>
        <w:spacing w:after="0" w:line="75" w:lineRule="exact"/>
        <w:rPr>
          <w:rFonts w:ascii="Arial" w:cs="Arial" w:eastAsia="Arial" w:hAnsi="Arial"/>
          <w:sz w:val="18"/>
          <w:szCs w:val="18"/>
          <w:color w:val="auto"/>
        </w:rPr>
      </w:pPr>
    </w:p>
    <w:p>
      <w:pPr>
        <w:ind w:left="1300" w:right="540" w:hanging="540"/>
        <w:spacing w:after="0" w:line="31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information set forth in the Schedule 14N provided with the Stockholder Notice concerning each Stockholder Nominee and the Eligible Stockholder that is required to be disclosed in the Company’s proxy statement by the applicable requirements of the Exchange Act and the rules and regulations thereunder; and</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00"/>
          </w:cols>
          <w:pgMar w:left="1440" w:top="274" w:right="459" w:bottom="1440" w:gutter="0" w:footer="0" w:header="0"/>
        </w:sectPr>
      </w:pPr>
    </w:p>
    <w:bookmarkStart w:id="29" w:name="page30"/>
    <w:bookmarkEnd w:id="29"/>
    <w:p>
      <w:pPr>
        <w:ind w:left="1760" w:right="60" w:hanging="540"/>
        <w:spacing w:after="0" w:line="259" w:lineRule="auto"/>
        <w:tabs>
          <w:tab w:leader="none" w:pos="1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Eligible Stockholder so elects, a written statement of the Eligible Stockholder (or, in the case of a group, a written statement of the group), not to exceed five hundred words, in support of its Stockholder Nominee(s), which must be provided at the same time as the Stockholder Notice for inclusion in the Company’s proxy statement for the annual meeting (the “</w:t>
      </w:r>
      <w:r>
        <w:rPr>
          <w:rFonts w:ascii="Arial" w:cs="Arial" w:eastAsia="Arial" w:hAnsi="Arial"/>
          <w:sz w:val="18"/>
          <w:szCs w:val="18"/>
          <w:u w:val="single" w:color="auto"/>
          <w:color w:val="auto"/>
        </w:rPr>
        <w:t>Statement</w:t>
      </w:r>
      <w:r>
        <w:rPr>
          <w:rFonts w:ascii="Arial" w:cs="Arial" w:eastAsia="Arial" w:hAnsi="Arial"/>
          <w:sz w:val="18"/>
          <w:szCs w:val="18"/>
          <w:color w:val="auto"/>
        </w:rPr>
        <w:t>”).</w:t>
      </w:r>
    </w:p>
    <w:p>
      <w:pPr>
        <w:spacing w:after="0" w:line="21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Notwithstanding anything to the contrary contained in this Section 2.10, the Company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2.10 shall limit the Company’s ability to solicit against and include in its proxy materials its own statements relating to any Eligible Stockholder or Stockholder Nominee.</w:t>
      </w:r>
    </w:p>
    <w:p>
      <w:pPr>
        <w:spacing w:after="0" w:line="215" w:lineRule="exact"/>
        <w:rPr>
          <w:sz w:val="20"/>
          <w:szCs w:val="20"/>
          <w:color w:val="auto"/>
        </w:rPr>
      </w:pPr>
    </w:p>
    <w:p>
      <w:pPr>
        <w:ind w:left="540" w:hanging="53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Stockholder Notice and Other Informational Requirements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00" w:right="20" w:hanging="642"/>
        <w:spacing w:after="0" w:line="279" w:lineRule="auto"/>
        <w:tabs>
          <w:tab w:leader="none" w:pos="12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Stockholder Notice shall set forth all information, representations and agreements required under Section 2.9(a)(ii) above, including the information required with respect to (i) any nominee for election as a Director, (ii) any stockholder giving notice of an intent to nominate a candidate for election, and (iii) any stockholder, beneficial owner or other person on whose behalf the nomination is made under this Section 2.10. In addition, such Stockholder Notice shall include:</w:t>
      </w:r>
    </w:p>
    <w:p>
      <w:pPr>
        <w:spacing w:after="0" w:line="76" w:lineRule="exact"/>
        <w:rPr>
          <w:rFonts w:ascii="Arial" w:cs="Arial" w:eastAsia="Arial" w:hAnsi="Arial"/>
          <w:sz w:val="17"/>
          <w:szCs w:val="17"/>
          <w:color w:val="auto"/>
        </w:rPr>
      </w:pPr>
    </w:p>
    <w:p>
      <w:pPr>
        <w:ind w:left="1760" w:hanging="540"/>
        <w:spacing w:after="0"/>
        <w:tabs>
          <w:tab w:leader="none" w:pos="17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 copy of the Schedule 14N that has been or concurrently is filed with the SEC under the Exchange Act;</w:t>
      </w:r>
    </w:p>
    <w:p>
      <w:pPr>
        <w:spacing w:after="0" w:line="130" w:lineRule="exact"/>
        <w:rPr>
          <w:rFonts w:ascii="Arial" w:cs="Arial" w:eastAsia="Arial" w:hAnsi="Arial"/>
          <w:sz w:val="18"/>
          <w:szCs w:val="18"/>
          <w:color w:val="auto"/>
        </w:rPr>
      </w:pPr>
    </w:p>
    <w:p>
      <w:pPr>
        <w:ind w:left="1760" w:hanging="540"/>
        <w:spacing w:after="0" w:line="291" w:lineRule="auto"/>
        <w:tabs>
          <w:tab w:leader="none" w:pos="1760" w:val="left"/>
        </w:tabs>
        <w:numPr>
          <w:ilvl w:val="2"/>
          <w:numId w:val="28"/>
        </w:numPr>
        <w:rPr>
          <w:rFonts w:ascii="Arial" w:cs="Arial" w:eastAsia="Arial" w:hAnsi="Arial"/>
          <w:sz w:val="16"/>
          <w:szCs w:val="16"/>
          <w:color w:val="auto"/>
        </w:rPr>
      </w:pPr>
      <w:r>
        <w:rPr>
          <w:rFonts w:ascii="Arial" w:cs="Arial" w:eastAsia="Arial" w:hAnsi="Arial"/>
          <w:sz w:val="16"/>
          <w:szCs w:val="16"/>
          <w:color w:val="auto"/>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(i) setting forth and certifying to the number of shares of the Company entitled to vote generally in the election of Directors that the Eligible Stockholder Owns and has Owned (as defined in Section 2.10(b)(iii) of these Bylaws) continuously for at least three years as of the date of the Stockholder Notice, (ii) agreeing to continue to Own such shares through the annual meeting and (iii) indicating whether it intends to continue to Own such shares for at least one year following the annual meeting;</w:t>
      </w:r>
    </w:p>
    <w:p>
      <w:pPr>
        <w:spacing w:after="0" w:line="72" w:lineRule="exact"/>
        <w:rPr>
          <w:rFonts w:ascii="Arial" w:cs="Arial" w:eastAsia="Arial" w:hAnsi="Arial"/>
          <w:sz w:val="16"/>
          <w:szCs w:val="16"/>
          <w:color w:val="auto"/>
        </w:rPr>
      </w:pPr>
    </w:p>
    <w:p>
      <w:pPr>
        <w:ind w:left="1760" w:right="60" w:hanging="540"/>
        <w:spacing w:after="0" w:line="286" w:lineRule="auto"/>
        <w:tabs>
          <w:tab w:leader="none" w:pos="1760" w:val="left"/>
        </w:tabs>
        <w:numPr>
          <w:ilvl w:val="2"/>
          <w:numId w:val="28"/>
        </w:numPr>
        <w:rPr>
          <w:rFonts w:ascii="Arial" w:cs="Arial" w:eastAsia="Arial" w:hAnsi="Arial"/>
          <w:sz w:val="17"/>
          <w:szCs w:val="17"/>
          <w:color w:val="auto"/>
        </w:rPr>
      </w:pPr>
      <w:r>
        <w:rPr>
          <w:rFonts w:ascii="Arial" w:cs="Arial" w:eastAsia="Arial" w:hAnsi="Arial"/>
          <w:sz w:val="17"/>
          <w:szCs w:val="17"/>
          <w:color w:val="auto"/>
        </w:rPr>
        <w:t>the written agreement of the Eligible Stockholder (and in the case of a group, the written agreement of each stockholder or beneficial owner whose shares are aggregated for purposes of constituting an Eligible Stockholder) addressed to the Company, setting forth the following additional agreements, representations; and warranties:</w:t>
      </w:r>
    </w:p>
    <w:p>
      <w:pPr>
        <w:spacing w:after="0" w:line="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40"/>
          </w:cols>
          <w:pgMar w:left="980" w:top="274" w:right="479" w:bottom="1440" w:gutter="0" w:footer="0" w:header="0"/>
        </w:sectPr>
      </w:pPr>
    </w:p>
    <w:bookmarkStart w:id="30" w:name="page31"/>
    <w:bookmarkEnd w:id="30"/>
    <w:p>
      <w:pPr>
        <w:ind w:left="1860" w:hanging="547"/>
        <w:spacing w:after="0" w:line="290" w:lineRule="auto"/>
        <w:tabs>
          <w:tab w:leader="none" w:pos="1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shall provide (a) within five business days after the date of the Stockholder Notice,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2.10, (b) within five business days after the record date for the annual meeting both the information required under Section 2.9(a)(ii)(C) and notification in writing verifying the Eligible Stockholder’s continuous Ownership of the Required Shares, in each case, as of such date, and (c) immediate notice to the Company if the Eligible Stockholder ceases to own any of the Required Shares prior to the annual meeting;</w:t>
      </w:r>
    </w:p>
    <w:p>
      <w:pPr>
        <w:spacing w:after="0" w:line="71" w:lineRule="exact"/>
        <w:rPr>
          <w:rFonts w:ascii="Arial" w:cs="Arial" w:eastAsia="Arial" w:hAnsi="Arial"/>
          <w:sz w:val="16"/>
          <w:szCs w:val="16"/>
          <w:color w:val="auto"/>
        </w:rPr>
      </w:pPr>
    </w:p>
    <w:p>
      <w:pPr>
        <w:ind w:left="1860" w:right="120" w:hanging="547"/>
        <w:spacing w:after="0" w:line="284" w:lineRule="auto"/>
        <w:tabs>
          <w:tab w:leader="none" w:pos="1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it (a) acquired the Required Shares in the ordinary course of business and not with the intent to change or influence control at the Company, and does not presently have this intent, (b) has not nominated and shall not nominate for election to the Board of Directors at the annual meeting any person other than the Stockholder Nominee(s) being nominated pursuant to this Section 2.10, (c)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Nominee(s) or any nominee(s) of the Board of Directors , and</w:t>
      </w:r>
    </w:p>
    <w:p>
      <w:pPr>
        <w:spacing w:after="0" w:line="2" w:lineRule="exact"/>
        <w:rPr>
          <w:rFonts w:ascii="Arial" w:cs="Arial" w:eastAsia="Arial" w:hAnsi="Arial"/>
          <w:sz w:val="16"/>
          <w:szCs w:val="16"/>
          <w:color w:val="auto"/>
        </w:rPr>
      </w:pPr>
    </w:p>
    <w:p>
      <w:pPr>
        <w:ind w:left="1860" w:right="720"/>
        <w:spacing w:after="0" w:line="261" w:lineRule="auto"/>
        <w:rPr>
          <w:rFonts w:ascii="Arial" w:cs="Arial" w:eastAsia="Arial" w:hAnsi="Arial"/>
          <w:sz w:val="16"/>
          <w:szCs w:val="16"/>
          <w:color w:val="auto"/>
        </w:rPr>
      </w:pPr>
      <w:r>
        <w:rPr>
          <w:rFonts w:ascii="Arial" w:cs="Arial" w:eastAsia="Arial" w:hAnsi="Arial"/>
          <w:sz w:val="18"/>
          <w:szCs w:val="18"/>
          <w:color w:val="auto"/>
        </w:rPr>
        <w:t>(d) shall not distribute to any stockholder any form of proxy for the annual meeting other than the form distributed by the Company; and</w:t>
      </w:r>
    </w:p>
    <w:p>
      <w:pPr>
        <w:spacing w:after="0" w:line="89" w:lineRule="exact"/>
        <w:rPr>
          <w:rFonts w:ascii="Arial" w:cs="Arial" w:eastAsia="Arial" w:hAnsi="Arial"/>
          <w:sz w:val="16"/>
          <w:szCs w:val="16"/>
          <w:color w:val="auto"/>
        </w:rPr>
      </w:pPr>
    </w:p>
    <w:p>
      <w:pPr>
        <w:ind w:left="1860" w:right="40" w:hanging="547"/>
        <w:spacing w:after="0" w:line="272" w:lineRule="auto"/>
        <w:tabs>
          <w:tab w:leader="none" w:pos="1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it will (a) assume all liability stemming from any legal or regulatory violation arising out of the Eligible Stockholder’s communications with the stockholders of the Company or out of the information that the Eligible Stockholder provided to the Company, (b)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the Eligible Stockholder’s communications with the stockholders of the Company or out of the information that the Eligible</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00"/>
          </w:cols>
          <w:pgMar w:left="1440" w:top="274" w:right="459" w:bottom="1440" w:gutter="0" w:footer="0" w:header="0"/>
        </w:sectPr>
      </w:pPr>
    </w:p>
    <w:bookmarkStart w:id="31" w:name="page32"/>
    <w:bookmarkEnd w:id="31"/>
    <w:p>
      <w:pPr>
        <w:ind w:left="242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provided to the Company, (c) comply with all laws, rules, regulations and listing standards applicable to its nomination or any solicitation in connection with the annual meeting, (d) file with the SEC any solicitation or other communication by or on behalf of the Eligible Stockholder relating to the Company’s annual meeting of stockholders, one or more of the Company’s Directors or Director nominees or any Stockholder Nominee, regardless of whether the filing is required under Exchange Act Regulation 14A, or whether any exemption from filing is available for the materials under Exchange Act Regulation 14A, and (e) at the request of the Company, promptly, but in any event within five business days after such request (or by the day prior to the day of the annual meeting, if earlier), provide to the Company such additional information as reasonably requested by the Company; and</w:t>
      </w:r>
    </w:p>
    <w:p>
      <w:pPr>
        <w:spacing w:after="0" w:line="87" w:lineRule="exact"/>
        <w:rPr>
          <w:sz w:val="20"/>
          <w:szCs w:val="20"/>
          <w:color w:val="auto"/>
        </w:rPr>
      </w:pPr>
    </w:p>
    <w:p>
      <w:pPr>
        <w:ind w:left="1860" w:right="20" w:hanging="540"/>
        <w:spacing w:after="0" w:line="255" w:lineRule="auto"/>
        <w:tabs>
          <w:tab w:leader="none" w:pos="1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Company demonstrating that the number of stockholders and/or beneficial owners within such group does not exceed twenty (20), including whether a group of funds qualifies as one stockholder or beneficial owner within the meaning of Section 2.10(b)(ii).</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All information provided pursuant to this Section 2.10(c)(i) shall be deemed part of the Stockholder Notice for purposes of this Section 2.10.</w:t>
      </w:r>
    </w:p>
    <w:p>
      <w:pPr>
        <w:spacing w:after="0" w:line="264" w:lineRule="exact"/>
        <w:rPr>
          <w:sz w:val="20"/>
          <w:szCs w:val="20"/>
          <w:color w:val="auto"/>
        </w:rPr>
      </w:pPr>
    </w:p>
    <w:p>
      <w:pPr>
        <w:ind w:left="1300" w:hanging="642"/>
        <w:spacing w:after="0" w:line="270"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be timely under this Section 2.10, the Stockholder Notice must be delivered to, or mailed to and received by, the Secretary at the principal executive offices of the Company not later than the close of business on the one hundred twentieth (120th) day or earlier than the close of business on the one hundred fiftieth (150th) day prior to the anniversary date on which the Company first distributed its definitive proxy materials for the prior year’s annual meeting of stockholders; provided, however, that in the event that the annual meeting is called for a date that is not within thirty (30) days before or after the first anniversary of the prior year’s annual meeting, notice by the stockholder in order to be timely, must be so delivered, or so mailed and received, not earlier than the close of business on the one hundred fiftieth (150th) day prior to such annual meeting and not later than the close of business on the later of the one hundred twentieth (120th) day prior to such annual meeting or the tenth (10th) day following the date on which public disclosure (as defined in Section</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4" w:right="439" w:bottom="1440" w:gutter="0" w:footer="0" w:header="0"/>
        </w:sectPr>
      </w:pPr>
    </w:p>
    <w:bookmarkStart w:id="32" w:name="page33"/>
    <w:bookmarkEnd w:id="32"/>
    <w:p>
      <w:pPr>
        <w:ind w:left="122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2.9(c)(ii) above) of the date of the annual meeting is first made by the Company; provided, however, that for the purposes of this clause (ii), (x) the anniversary date of the Company’s first distribution of its proxy materials for the 2019 annual meeting of stockholders of the Company shall be deemed to be April 29, 2020 and (y) the anniversary date of the Company’s 2019 annual meeting of stockholders shall be deemed to be June 25, 2020. In no event shall the public disclosure of an adjournment or a postponement of an annual meeting commence a new time period (or extend any time period) for the giving of the Stockholder Notice as described above.</w:t>
      </w:r>
    </w:p>
    <w:p>
      <w:pPr>
        <w:spacing w:after="0" w:line="220" w:lineRule="exact"/>
        <w:rPr>
          <w:sz w:val="20"/>
          <w:szCs w:val="20"/>
          <w:color w:val="auto"/>
        </w:rPr>
      </w:pPr>
    </w:p>
    <w:p>
      <w:pPr>
        <w:ind w:left="1200" w:right="180" w:hanging="642"/>
        <w:spacing w:after="0" w:line="288" w:lineRule="auto"/>
        <w:tabs>
          <w:tab w:leader="none" w:pos="12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Within the time period for delivery of the Stockholder Notice, a written representation and agreement of each Stockholder Nominee shall be delivered to the Secretary of the Company at the principal executive offices of the Company, which shall be signed by each Stockholder Nominee and shall represent and agree (A) as to the matters set forth in Section 2.9(a)(ii)(A), and</w:t>
      </w:r>
    </w:p>
    <w:p>
      <w:pPr>
        <w:ind w:left="1200"/>
        <w:spacing w:after="0" w:line="252" w:lineRule="auto"/>
        <w:rPr>
          <w:rFonts w:ascii="Arial" w:cs="Arial" w:eastAsia="Arial" w:hAnsi="Arial"/>
          <w:sz w:val="16"/>
          <w:szCs w:val="16"/>
          <w:color w:val="auto"/>
        </w:rPr>
      </w:pPr>
      <w:r>
        <w:rPr>
          <w:rFonts w:ascii="Arial" w:cs="Arial" w:eastAsia="Arial" w:hAnsi="Arial"/>
          <w:sz w:val="18"/>
          <w:szCs w:val="18"/>
          <w:color w:val="auto"/>
        </w:rPr>
        <w:t>(B) that such Stockholder Nominee consents to being named in the Company’s proxy statement and form of proxy as a nominee and to serving as a Director if elected. At the request of the Company, the Stockholder Nominee must promptly, but in any event within five (5) business days after such request, submit all completed and signed questionnaires required of the Company’s nominees and provide to the Company such other information as it may reasonably request. The Company may request such additional information as necessary to permit the Board of Directors to determine if each Stockholder Nominee satisfies the requirements of this Section 2.10.</w:t>
      </w:r>
    </w:p>
    <w:p>
      <w:pPr>
        <w:spacing w:after="0" w:line="221" w:lineRule="exact"/>
        <w:rPr>
          <w:rFonts w:ascii="Arial" w:cs="Arial" w:eastAsia="Arial" w:hAnsi="Arial"/>
          <w:sz w:val="16"/>
          <w:szCs w:val="16"/>
          <w:color w:val="auto"/>
        </w:rPr>
      </w:pPr>
    </w:p>
    <w:p>
      <w:pPr>
        <w:ind w:left="1200" w:right="60" w:hanging="642"/>
        <w:spacing w:after="0" w:line="291" w:lineRule="auto"/>
        <w:tabs>
          <w:tab w:leader="none" w:pos="12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 the event that any information or communications provided by the Eligible Stockholder or any Stockholder Nominees to the Company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Company’s right to omit a Stockholder Nominee from its proxy materials as provided in this Section 2.10.</w:t>
      </w:r>
    </w:p>
    <w:p>
      <w:pPr>
        <w:spacing w:after="0" w:line="194" w:lineRule="exact"/>
        <w:rPr>
          <w:rFonts w:ascii="Arial" w:cs="Arial" w:eastAsia="Arial" w:hAnsi="Arial"/>
          <w:sz w:val="16"/>
          <w:szCs w:val="16"/>
          <w:color w:val="auto"/>
        </w:rPr>
      </w:pPr>
    </w:p>
    <w:p>
      <w:pPr>
        <w:ind w:left="540" w:hanging="53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Proxy Access Procedures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00" w:right="240" w:hanging="642"/>
        <w:spacing w:after="0" w:line="277" w:lineRule="auto"/>
        <w:tabs>
          <w:tab w:leader="none" w:pos="12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2.10, the Company may omit from its proxy materials any Stockholder Nominee, and such nomination shall be disregarded and no vote on such</w:t>
      </w:r>
    </w:p>
    <w:p>
      <w:pPr>
        <w:spacing w:after="0" w:line="10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60"/>
          </w:cols>
          <w:pgMar w:left="980" w:top="274" w:right="459" w:bottom="1440" w:gutter="0" w:footer="0" w:header="0"/>
        </w:sectPr>
      </w:pPr>
    </w:p>
    <w:bookmarkStart w:id="33" w:name="page34"/>
    <w:bookmarkEnd w:id="33"/>
    <w:p>
      <w:pPr>
        <w:ind w:left="76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Nominee shall occur, notwithstanding that proxies in respect of such vote may have been received by the Company, if:</w:t>
      </w:r>
    </w:p>
    <w:p>
      <w:pPr>
        <w:spacing w:after="0" w:line="76" w:lineRule="exact"/>
        <w:rPr>
          <w:sz w:val="20"/>
          <w:szCs w:val="20"/>
          <w:color w:val="auto"/>
        </w:rPr>
      </w:pPr>
    </w:p>
    <w:p>
      <w:pPr>
        <w:ind w:left="1300" w:right="20" w:hanging="540"/>
        <w:spacing w:after="0" w:line="293"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Eligible Stockholder or Stockholder Nominee breaches any of its agreements, representations or warranties set forth in the Stockholder Notice or otherwise submitted pursuant to this Section 2.10, any of the information in the Stockholder Notice or otherwise submitted pursuant to this Section 2.10 was not, when provided, true, correct and complete (or omitted a material fact necessary to make the statements made, in light of the circumstances under which they were made, not misleading), or the Eligible Stockholder or applicable Stockholder Nominee otherwise fails to comply with its obligations pursuant to these Bylaws, including, but not limited to, its obligations under this Section 2.10;</w:t>
      </w:r>
    </w:p>
    <w:p>
      <w:pPr>
        <w:spacing w:after="0" w:line="70" w:lineRule="exact"/>
        <w:rPr>
          <w:rFonts w:ascii="Arial" w:cs="Arial" w:eastAsia="Arial" w:hAnsi="Arial"/>
          <w:sz w:val="16"/>
          <w:szCs w:val="16"/>
          <w:color w:val="auto"/>
        </w:rPr>
      </w:pPr>
    </w:p>
    <w:p>
      <w:pPr>
        <w:ind w:left="1300" w:hanging="540"/>
        <w:spacing w:after="0" w:line="270"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Stockholder Nominee (1) is not independent under any applicable listing standards, any applicable rules of the SEC or any publicly disclosed standards used by the Board of Directors in determining and disclosing the independence of the Company’s Directors, (2) is or has been, within the past three years, an officer or Director of a competitor, as defined in Section 8 of the Clayton Antitrust Act of 1914, as amended, (3) is a named subject of a pending criminal proceeding (excluding traffic violations and other minor offenses) or has been convicted in a criminal proceeding (excluding traffic violations and other minor offenses) within the past ten years, (4) is subject to any order of the type specified in Rule 506(d) of Regulation D promulgated under the Securities Act of 1933, as amended (the “Securities Act”) or (5) shall have provided any information to the Company or its stockholders that was untrue in any material respect or that omitted to state a material fact necessary to make the statements made, in light of the circumstances in which they were made, not misleading;</w:t>
      </w:r>
    </w:p>
    <w:p>
      <w:pPr>
        <w:spacing w:after="0" w:line="83" w:lineRule="exact"/>
        <w:rPr>
          <w:rFonts w:ascii="Arial" w:cs="Arial" w:eastAsia="Arial" w:hAnsi="Arial"/>
          <w:sz w:val="17"/>
          <w:szCs w:val="17"/>
          <w:color w:val="auto"/>
        </w:rPr>
      </w:pPr>
    </w:p>
    <w:p>
      <w:pPr>
        <w:ind w:left="1300" w:right="100" w:hanging="54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has received a notice (whether or not subsequently withdrawn) that a stockholder intends to nominate any candidate for election to the Board of Directors pursuant to the advance notice requirements for stockholder nominees for Director in Section 2.9(a); or</w:t>
      </w:r>
    </w:p>
    <w:p>
      <w:pPr>
        <w:spacing w:after="0" w:line="86" w:lineRule="exact"/>
        <w:rPr>
          <w:rFonts w:ascii="Arial" w:cs="Arial" w:eastAsia="Arial" w:hAnsi="Arial"/>
          <w:sz w:val="18"/>
          <w:szCs w:val="18"/>
          <w:color w:val="auto"/>
        </w:rPr>
      </w:pPr>
    </w:p>
    <w:p>
      <w:pPr>
        <w:ind w:left="1300" w:right="20" w:hanging="540"/>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election of the Stockholder Nominee to the Board of Directors would cause the Company to violate the Certificate of Incorporation of the Company, these Bylaws, or any applicable law, rule, regulation or listing standard.</w:t>
      </w:r>
    </w:p>
    <w:p>
      <w:pPr>
        <w:spacing w:after="0" w:line="173" w:lineRule="exact"/>
        <w:rPr>
          <w:rFonts w:ascii="Arial" w:cs="Arial" w:eastAsia="Arial" w:hAnsi="Arial"/>
          <w:sz w:val="17"/>
          <w:szCs w:val="17"/>
          <w:color w:val="auto"/>
        </w:rPr>
      </w:pPr>
    </w:p>
    <w:p>
      <w:pPr>
        <w:ind w:left="740" w:right="580" w:hanging="642"/>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Eligible Stockholder submitting more than one Stockholder Nominee for inclusion in the Company’s proxy materials pursuant to this Section 2.10 shall rank such Stockholder Nominees based on the order that the</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20"/>
          </w:cols>
          <w:pgMar w:left="1440" w:top="274" w:right="439" w:bottom="1440" w:gutter="0" w:footer="0" w:header="0"/>
        </w:sectPr>
      </w:pPr>
    </w:p>
    <w:bookmarkStart w:id="34" w:name="page35"/>
    <w:bookmarkEnd w:id="34"/>
    <w:p>
      <w:pPr>
        <w:ind w:left="7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Stockholder desires such Stockholder Nominees to be selected for inclusion in the Company’s proxy materials and include such assigned rank in its Stockholder Notice submitted to the Company. In the event that the number of Stockholder Nominees submitted by Eligible Stockholders pursuant to this Section 2.10 exceeds the Authorized Number, the Stockholder Nominees to be included in the Company’s proxy materials shall be determined in accordance with the following provisions: one Stockholder Nominee who satisfies the eligibility requirements in this Section 2.10 shall be selected from each Eligible Stockholder for inclusion in the Company’s proxy materials until the Authorized Number is reached, going in order of the amount (largest to smallest) of shares of the Company each Eligible Stockholder disclosed as Owned in its Stockholder Notice submitted to the Company and going in the order of the rank (highest to lowest) assigned to each Stockholder Nominee by such Eligible Stockholder. If the Authorized Number is not reached after one Stockholder Nominee who satisfies the eligibility requirements in this Section 2.10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2.10 thereafter is nominated by the Board of Directors, thereafter is not included in the Company’s proxy materials or thereafter is not submitted for Director election for any reason (including the Eligible Stockholder’s or Stockholder Nominee’s failure to comply with this</w:t>
      </w:r>
    </w:p>
    <w:p>
      <w:pPr>
        <w:spacing w:after="0" w:line="2" w:lineRule="exact"/>
        <w:rPr>
          <w:sz w:val="20"/>
          <w:szCs w:val="20"/>
          <w:color w:val="auto"/>
        </w:rPr>
      </w:pPr>
    </w:p>
    <w:p>
      <w:pPr>
        <w:ind w:left="760" w:right="300"/>
        <w:spacing w:after="0" w:line="290" w:lineRule="auto"/>
        <w:rPr>
          <w:sz w:val="20"/>
          <w:szCs w:val="20"/>
          <w:color w:val="auto"/>
        </w:rPr>
      </w:pPr>
      <w:r>
        <w:rPr>
          <w:rFonts w:ascii="Arial" w:cs="Arial" w:eastAsia="Arial" w:hAnsi="Arial"/>
          <w:sz w:val="17"/>
          <w:szCs w:val="17"/>
          <w:color w:val="auto"/>
        </w:rPr>
        <w:t>Section 2.10), no other nominee or nominees shall be included in the Company’s proxy materials or otherwise submitted for election as a Director at the applicable annual meeting in substitution for such Stockholder Nominee.</w:t>
      </w:r>
    </w:p>
    <w:p>
      <w:pPr>
        <w:spacing w:after="0" w:line="189" w:lineRule="exact"/>
        <w:rPr>
          <w:sz w:val="20"/>
          <w:szCs w:val="20"/>
          <w:color w:val="auto"/>
        </w:rPr>
      </w:pPr>
    </w:p>
    <w:p>
      <w:pPr>
        <w:ind w:left="740" w:right="80" w:hanging="642"/>
        <w:spacing w:after="0" w:line="255"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Stockholder Nominee who is included in the Company’s proxy materials for a particular annual meeting of stockholders but either (A)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in favor of such Stockholder Nominee’s election at least twenty-five percent (25%) of the votes cast with respect to such Stockholder Nominee’s election, shall be ineligible to be a Stockholder Nominee pursuant to this Section 2.10 for the next two annual meetings.</w:t>
      </w:r>
    </w:p>
    <w:p>
      <w:pPr>
        <w:spacing w:after="0" w:line="216" w:lineRule="exact"/>
        <w:rPr>
          <w:rFonts w:ascii="Arial" w:cs="Arial" w:eastAsia="Arial" w:hAnsi="Arial"/>
          <w:sz w:val="18"/>
          <w:szCs w:val="18"/>
          <w:color w:val="auto"/>
        </w:rPr>
      </w:pPr>
    </w:p>
    <w:p>
      <w:pPr>
        <w:ind w:left="740" w:right="60" w:hanging="642"/>
        <w:spacing w:after="0" w:line="259"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2.10, unless otherwise required by law or otherwise determined by the chairman of the meeting or the Board of Directors, if the stockholder delivering the Stockholder Notice (or a qualified representative of the stockholder, as defined in Section 2.9(c)(i)) does not appear at the annual meeting of stockholders of the Company to present its Stockholder Nominee or</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00"/>
          </w:cols>
          <w:pgMar w:left="1440" w:top="274" w:right="459" w:bottom="1440" w:gutter="0" w:footer="0" w:header="0"/>
        </w:sectPr>
      </w:pPr>
    </w:p>
    <w:bookmarkStart w:id="35" w:name="page36"/>
    <w:bookmarkEnd w:id="35"/>
    <w:p>
      <w:pPr>
        <w:ind w:left="1740"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Nominees, such nomination or nominations shall be disregarded, notwithstanding that proxies in respect of the election of the Stockholder Nominee or Stockholder Nominees may have been received by the Company.</w:t>
      </w:r>
    </w:p>
    <w:p>
      <w:pPr>
        <w:spacing w:after="0" w:line="174" w:lineRule="exact"/>
        <w:rPr>
          <w:sz w:val="20"/>
          <w:szCs w:val="20"/>
          <w:color w:val="auto"/>
        </w:rPr>
      </w:pPr>
    </w:p>
    <w:p>
      <w:pPr>
        <w:ind w:left="1720" w:hanging="642"/>
        <w:spacing w:after="0" w:line="289" w:lineRule="auto"/>
        <w:tabs>
          <w:tab w:leader="none" w:pos="1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Board of Directors (and any other person or body authorized by the Board of Directors) shall have the power and authority to interpret this Section 2.10 and to make any and all determinations necessary or advisable to apply this Section 2.10 to any persons, facts or circumstances, including, without limitation, the power to determine (1) whether one or more stockholders or beneficial owners qualifies as an Eligible Stockholder, (2) whether a Stockholder Notice complies with this Section 2.10 and has otherwise met the requirements of this Section 2.10, (3) whether a Stockholder Nominee satisfies the qualifications and requirements in this Section 2.10, and (4) whether any and all requirements of this Section 2.10 (or any applicable requirements of Section 2.9) have been satisfied. Any such interpretation or determination adopted in good faith by the Board of Directors (or any other person or body authorized by the Board of Directors) shall be binding on all persons, including, without limitation, the Company and its stockholders (including, without limitation, any beneficial owners).</w:t>
      </w:r>
    </w:p>
    <w:p>
      <w:pPr>
        <w:spacing w:after="0" w:line="193" w:lineRule="exact"/>
        <w:rPr>
          <w:rFonts w:ascii="Arial" w:cs="Arial" w:eastAsia="Arial" w:hAnsi="Arial"/>
          <w:sz w:val="16"/>
          <w:szCs w:val="16"/>
          <w:color w:val="auto"/>
        </w:rPr>
      </w:pPr>
    </w:p>
    <w:p>
      <w:pPr>
        <w:ind w:left="1720" w:right="380" w:hanging="642"/>
        <w:spacing w:after="0" w:line="312" w:lineRule="auto"/>
        <w:tabs>
          <w:tab w:leader="none" w:pos="1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the avoidance of doubt, nothing in this Section 2.10 shall limit the Company’s ability to solicit against any Stockholder Nominee or include in its proxy materials the Company’s own statements or other information relating to any Eligible Stockholder or Stockholder Nominee, including any information provided to the Company pursuant to this Section 2.10.</w:t>
      </w:r>
    </w:p>
    <w:p>
      <w:pPr>
        <w:spacing w:after="0" w:line="173" w:lineRule="exact"/>
        <w:rPr>
          <w:rFonts w:ascii="Arial" w:cs="Arial" w:eastAsia="Arial" w:hAnsi="Arial"/>
          <w:sz w:val="16"/>
          <w:szCs w:val="16"/>
          <w:color w:val="auto"/>
        </w:rPr>
      </w:pPr>
    </w:p>
    <w:p>
      <w:pPr>
        <w:ind w:left="1720" w:right="280" w:hanging="642"/>
        <w:spacing w:after="0" w:line="277" w:lineRule="auto"/>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Section 2.10 shall be the exclusive method for stockholders to include Director nominees for election in the Company’s proxy materials.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52" w:lineRule="exact"/>
        <w:rPr>
          <w:sz w:val="20"/>
          <w:szCs w:val="20"/>
          <w:color w:val="auto"/>
        </w:rPr>
      </w:pPr>
    </w:p>
    <w:p>
      <w:pPr>
        <w:jc w:val="both"/>
        <w:ind w:left="520" w:right="20" w:hanging="539"/>
        <w:spacing w:after="0" w:line="281" w:lineRule="auto"/>
        <w:tabs>
          <w:tab w:leader="none" w:pos="5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color w:val="auto"/>
        </w:rPr>
        <w:t xml:space="preserve">Number and Qualifications. </w:t>
      </w:r>
      <w:r>
        <w:rPr>
          <w:rFonts w:ascii="Arial" w:cs="Arial" w:eastAsia="Arial" w:hAnsi="Arial"/>
          <w:sz w:val="17"/>
          <w:szCs w:val="17"/>
          <w:color w:val="auto"/>
        </w:rPr>
        <w:t>The business and affairs of the Company shall be managed by or under the direction of its Board of Directors.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Directors constituting the entire Board of Directors shall be not less than six (6) nor more than sixteen (16), as fixed from time to time exclusively by resolution of a majority of the entire Board of Directors. As used in these Bylaws, the term “entire Board of Directors” means the total authorized number of Directors that the Company would have if there were no vacancies.</w:t>
      </w:r>
    </w:p>
    <w:p>
      <w:pPr>
        <w:spacing w:after="0" w:line="70" w:lineRule="exact"/>
        <w:rPr>
          <w:sz w:val="20"/>
          <w:szCs w:val="20"/>
          <w:color w:val="auto"/>
        </w:rPr>
      </w:pPr>
    </w:p>
    <w:p>
      <w:pPr>
        <w:ind w:left="520" w:right="220" w:hanging="539"/>
        <w:spacing w:after="0" w:line="282" w:lineRule="auto"/>
        <w:tabs>
          <w:tab w:leader="none" w:pos="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any rights of holders of preferred stock to elect directors, each director shall hold office until the next annual meeting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and until the director’s successor is duly elected and qualified.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4" w:right="459" w:bottom="1440" w:gutter="0" w:footer="0" w:header="0"/>
        </w:sectPr>
      </w:pPr>
    </w:p>
    <w:bookmarkStart w:id="36" w:name="page37"/>
    <w:bookmarkEnd w:id="36"/>
    <w:p>
      <w:pPr>
        <w:ind w:left="500" w:hanging="539"/>
        <w:spacing w:after="0" w:line="261" w:lineRule="auto"/>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w:t>
      </w:r>
      <w:r>
        <w:rPr>
          <w:sz w:val="20"/>
          <w:szCs w:val="20"/>
          <w:color w:val="auto"/>
        </w:rPr>
        <w:tab/>
      </w:r>
      <w:r>
        <w:rPr>
          <w:rFonts w:ascii="Arial" w:cs="Arial" w:eastAsia="Arial" w:hAnsi="Arial"/>
          <w:sz w:val="18"/>
          <w:szCs w:val="18"/>
          <w:b w:val="1"/>
          <w:bCs w:val="1"/>
          <w:color w:val="auto"/>
        </w:rPr>
        <w:t xml:space="preserve">Resignation. </w:t>
      </w:r>
      <w:r>
        <w:rPr>
          <w:rFonts w:ascii="Arial" w:cs="Arial" w:eastAsia="Arial" w:hAnsi="Arial"/>
          <w:sz w:val="18"/>
          <w:szCs w:val="18"/>
          <w:color w:val="auto"/>
        </w:rPr>
        <w:t>A Director may resign at any time by giving written notice to the Chairman, to the Chief Executive Officer or the Secretary.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stated in such notice of resignation, the acceptance thereof shall not be necessary to make it effective; and such resignation shall take effect at the time or upon the happening of an event specified therein or, in the absence of such specification, it shall take effect upon the receipt thereof.</w:t>
      </w:r>
    </w:p>
    <w:p>
      <w:pPr>
        <w:spacing w:after="0" w:line="207" w:lineRule="exact"/>
        <w:rPr>
          <w:sz w:val="20"/>
          <w:szCs w:val="20"/>
          <w:color w:val="auto"/>
        </w:rPr>
      </w:pPr>
    </w:p>
    <w:p>
      <w:pPr>
        <w:ind w:left="500" w:right="100" w:hanging="539"/>
        <w:spacing w:after="0" w:line="274" w:lineRule="auto"/>
        <w:tabs>
          <w:tab w:leader="none" w:pos="4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b w:val="1"/>
          <w:bCs w:val="1"/>
          <w:color w:val="auto"/>
        </w:rPr>
        <w:t xml:space="preserve">Vacancies. </w:t>
      </w:r>
      <w:r>
        <w:rPr>
          <w:rFonts w:ascii="Arial" w:cs="Arial" w:eastAsia="Arial" w:hAnsi="Arial"/>
          <w:sz w:val="17"/>
          <w:szCs w:val="17"/>
          <w:color w:val="auto"/>
        </w:rPr>
        <w:t>Subject to the provisions of the Certificate of Incorporation and the rights of the holders of any class or series of preferred stock to</w:t>
      </w:r>
      <w:r>
        <w:rPr>
          <w:rFonts w:ascii="Arial" w:cs="Arial" w:eastAsia="Arial" w:hAnsi="Arial"/>
          <w:sz w:val="17"/>
          <w:szCs w:val="17"/>
          <w:b w:val="1"/>
          <w:bCs w:val="1"/>
          <w:color w:val="auto"/>
        </w:rPr>
        <w:t xml:space="preserve"> </w:t>
      </w:r>
      <w:r>
        <w:rPr>
          <w:rFonts w:ascii="Arial" w:cs="Arial" w:eastAsia="Arial" w:hAnsi="Arial"/>
          <w:sz w:val="17"/>
          <w:szCs w:val="17"/>
          <w:color w:val="auto"/>
        </w:rPr>
        <w:t>elect directors, any vacancies on the Board of Directors for any reason, including from the death, resignation, disqualification or removal of any director, and any newly created directorships resulting by reason of any increase in the number of directors shall be filled exclusively by the Board of Directors, acting by the affirmative vote of a majority of the remaining directors then in office, even if less than a quorum, or by a sole remaining director, and shall not be filled by stockholders. Any directors elected to fill a vacancy shall hold office until the next annual meeting of stockholders or until their successors are duly elected and qualified.</w:t>
      </w:r>
    </w:p>
    <w:p>
      <w:pPr>
        <w:spacing w:after="0" w:line="201" w:lineRule="exact"/>
        <w:rPr>
          <w:sz w:val="20"/>
          <w:szCs w:val="20"/>
          <w:color w:val="auto"/>
        </w:rPr>
      </w:pPr>
    </w:p>
    <w:p>
      <w:pPr>
        <w:ind w:left="500" w:right="80" w:hanging="539"/>
        <w:spacing w:after="0" w:line="314" w:lineRule="auto"/>
        <w:tabs>
          <w:tab w:leader="none" w:pos="4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color w:val="auto"/>
        </w:rPr>
        <w:t xml:space="preserve">Regular Meetings. </w:t>
      </w:r>
      <w:r>
        <w:rPr>
          <w:rFonts w:ascii="Arial" w:cs="Arial" w:eastAsia="Arial" w:hAnsi="Arial"/>
          <w:sz w:val="16"/>
          <w:szCs w:val="16"/>
          <w:color w:val="auto"/>
        </w:rPr>
        <w:t>Regular meetings of the Board of Directors may be held without further notice on such date and at such time and place as</w:t>
      </w:r>
      <w:r>
        <w:rPr>
          <w:rFonts w:ascii="Arial" w:cs="Arial" w:eastAsia="Arial" w:hAnsi="Arial"/>
          <w:sz w:val="16"/>
          <w:szCs w:val="16"/>
          <w:b w:val="1"/>
          <w:bCs w:val="1"/>
          <w:color w:val="auto"/>
        </w:rPr>
        <w:t xml:space="preserve"> </w:t>
      </w:r>
      <w:r>
        <w:rPr>
          <w:rFonts w:ascii="Arial" w:cs="Arial" w:eastAsia="Arial" w:hAnsi="Arial"/>
          <w:sz w:val="16"/>
          <w:szCs w:val="16"/>
          <w:color w:val="auto"/>
        </w:rPr>
        <w:t>shall from time to time be determined by the Board of Directors. A meeting of the Board of Directors for the election of officers and the transaction of such other business as may come before it may be held without notice immediately following the annual meeting of stockholders.</w:t>
      </w:r>
    </w:p>
    <w:p>
      <w:pPr>
        <w:spacing w:after="0" w:line="169" w:lineRule="exact"/>
        <w:rPr>
          <w:sz w:val="20"/>
          <w:szCs w:val="20"/>
          <w:color w:val="auto"/>
        </w:rPr>
      </w:pPr>
    </w:p>
    <w:p>
      <w:pPr>
        <w:ind w:left="500" w:right="80" w:hanging="539"/>
        <w:spacing w:after="0" w:line="282" w:lineRule="auto"/>
        <w:tabs>
          <w:tab w:leader="none" w:pos="4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Special meetings of the Board of Directors may be called by the Chairman or the Chief Executive Officer or at the request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or by the affirmative vote of a majority of the Directors then in office.</w:t>
      </w:r>
    </w:p>
    <w:p>
      <w:pPr>
        <w:spacing w:after="0" w:line="189" w:lineRule="exact"/>
        <w:rPr>
          <w:sz w:val="20"/>
          <w:szCs w:val="20"/>
          <w:color w:val="auto"/>
        </w:rPr>
      </w:pPr>
    </w:p>
    <w:p>
      <w:pPr>
        <w:jc w:val="both"/>
        <w:ind w:left="500" w:right="120" w:hanging="539"/>
        <w:spacing w:after="0" w:line="303" w:lineRule="auto"/>
        <w:tabs>
          <w:tab w:leader="none" w:pos="4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color w:val="auto"/>
        </w:rPr>
        <w:t xml:space="preserve">Notice of Special Meetings. </w:t>
      </w:r>
      <w:r>
        <w:rPr>
          <w:rFonts w:ascii="Arial" w:cs="Arial" w:eastAsia="Arial" w:hAnsi="Arial"/>
          <w:sz w:val="16"/>
          <w:szCs w:val="16"/>
          <w:color w:val="auto"/>
        </w:rPr>
        <w:t>Notice of the time and place of each special meeting shall be mailed to each Director at least two (2) days before</w:t>
      </w:r>
      <w:r>
        <w:rPr>
          <w:rFonts w:ascii="Arial" w:cs="Arial" w:eastAsia="Arial" w:hAnsi="Arial"/>
          <w:sz w:val="16"/>
          <w:szCs w:val="16"/>
          <w:b w:val="1"/>
          <w:bCs w:val="1"/>
          <w:color w:val="auto"/>
        </w:rPr>
        <w:t xml:space="preserve"> </w:t>
      </w:r>
      <w:r>
        <w:rPr>
          <w:rFonts w:ascii="Arial" w:cs="Arial" w:eastAsia="Arial" w:hAnsi="Arial"/>
          <w:sz w:val="16"/>
          <w:szCs w:val="16"/>
          <w:color w:val="auto"/>
        </w:rPr>
        <w:t>the meeting at his or her residence or usual place of business, or telegraphed, telecopied or electronically transmitted or delivered personally or by telephone to such Director at least one day before the meeting but such notice may be waived by such Director. The notice need not state the purposes of the special meeting and, unless indicated in the notice thereof, any and all business may be transacted at a special meeting.</w:t>
      </w:r>
    </w:p>
    <w:p>
      <w:pPr>
        <w:spacing w:after="0" w:line="178" w:lineRule="exact"/>
        <w:rPr>
          <w:sz w:val="20"/>
          <w:szCs w:val="20"/>
          <w:color w:val="auto"/>
        </w:rPr>
      </w:pPr>
    </w:p>
    <w:p>
      <w:pPr>
        <w:ind w:left="500" w:right="140" w:hanging="539"/>
        <w:spacing w:after="0" w:line="282" w:lineRule="auto"/>
        <w:tabs>
          <w:tab w:leader="none" w:pos="4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b w:val="1"/>
          <w:bCs w:val="1"/>
          <w:color w:val="auto"/>
        </w:rPr>
        <w:t xml:space="preserve">Place of Meetings. </w:t>
      </w:r>
      <w:r>
        <w:rPr>
          <w:rFonts w:ascii="Arial" w:cs="Arial" w:eastAsia="Arial" w:hAnsi="Arial"/>
          <w:sz w:val="18"/>
          <w:szCs w:val="18"/>
          <w:color w:val="auto"/>
        </w:rPr>
        <w:t>The Directors may hold their meetings and have an office or offices within or outside of the State of Delaware as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may from time to time determine.</w:t>
      </w:r>
    </w:p>
    <w:p>
      <w:pPr>
        <w:spacing w:after="0" w:line="189" w:lineRule="exact"/>
        <w:rPr>
          <w:sz w:val="20"/>
          <w:szCs w:val="20"/>
          <w:color w:val="auto"/>
        </w:rPr>
      </w:pPr>
    </w:p>
    <w:p>
      <w:pPr>
        <w:jc w:val="both"/>
        <w:ind w:left="500" w:right="240" w:hanging="539"/>
        <w:spacing w:after="0" w:line="314" w:lineRule="auto"/>
        <w:tabs>
          <w:tab w:leader="none" w:pos="4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b w:val="1"/>
          <w:bCs w:val="1"/>
          <w:color w:val="auto"/>
        </w:rPr>
        <w:t xml:space="preserve">Participation in Meetings by Conference Telephone. </w:t>
      </w:r>
      <w:r>
        <w:rPr>
          <w:rFonts w:ascii="Arial" w:cs="Arial" w:eastAsia="Arial" w:hAnsi="Arial"/>
          <w:sz w:val="16"/>
          <w:szCs w:val="16"/>
          <w:color w:val="auto"/>
        </w:rPr>
        <w:t>Members of the Board of Directors, or of any committee thereof, may participate in a</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the Board of Directors or committee by means of conference telephone or other communications equipment by means of which all persons participating in the meeting can hear each other, and such participation shall constitute presence in person at the meeting.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80" w:top="270" w:right="459" w:bottom="1440" w:gutter="0" w:footer="0" w:header="0"/>
        </w:sectPr>
      </w:pPr>
    </w:p>
    <w:bookmarkStart w:id="37" w:name="page38"/>
    <w:bookmarkEnd w:id="37"/>
    <w:p>
      <w:pPr>
        <w:ind w:left="540" w:right="80" w:hanging="539"/>
        <w:spacing w:after="0" w:line="26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3.10</w:t>
      </w:r>
      <w:r>
        <w:rPr>
          <w:sz w:val="20"/>
          <w:szCs w:val="20"/>
          <w:color w:val="auto"/>
        </w:rPr>
        <w:tab/>
      </w:r>
      <w:r>
        <w:rPr>
          <w:rFonts w:ascii="Arial" w:cs="Arial" w:eastAsia="Arial" w:hAnsi="Arial"/>
          <w:sz w:val="18"/>
          <w:szCs w:val="18"/>
          <w:b w:val="1"/>
          <w:bCs w:val="1"/>
          <w:color w:val="auto"/>
        </w:rPr>
        <w:t xml:space="preserve">Quorum. </w:t>
      </w:r>
      <w:r>
        <w:rPr>
          <w:rFonts w:ascii="Arial" w:cs="Arial" w:eastAsia="Arial" w:hAnsi="Arial"/>
          <w:sz w:val="18"/>
          <w:szCs w:val="18"/>
          <w:color w:val="auto"/>
        </w:rPr>
        <w:t>A majority of the total number of Directors then holding office shall constitute a quorum. If a quorum does not exist,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present may adjourn the meeting from time to time without notice, other than announcement at the meeting, until a quorum shall be obtained.</w:t>
      </w:r>
    </w:p>
    <w:p>
      <w:pPr>
        <w:spacing w:after="0" w:line="203"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The Chairman, or, in the absence of the Chairman, a member of the Board of Directors selected by the members present,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preside at meetings of the Board of Directors. The Secretary or an Assistant Secretary of the Company shall act as secretary, but in the absence of the Secretary or an Assistant Secretary, the presiding officer may appoint a secretary.</w:t>
      </w:r>
    </w:p>
    <w:p>
      <w:pPr>
        <w:spacing w:after="0" w:line="203" w:lineRule="exact"/>
        <w:rPr>
          <w:sz w:val="20"/>
          <w:szCs w:val="20"/>
          <w:color w:val="auto"/>
        </w:rPr>
      </w:pPr>
    </w:p>
    <w:p>
      <w:pPr>
        <w:jc w:val="both"/>
        <w:ind w:left="540" w:right="100" w:hanging="539"/>
        <w:spacing w:after="0" w:line="266" w:lineRule="auto"/>
        <w:tabs>
          <w:tab w:leader="none" w:pos="5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b w:val="1"/>
          <w:bCs w:val="1"/>
          <w:color w:val="auto"/>
        </w:rPr>
        <w:t xml:space="preserve">Compensation of Directors. </w:t>
      </w:r>
      <w:r>
        <w:rPr>
          <w:rFonts w:ascii="Arial" w:cs="Arial" w:eastAsia="Arial" w:hAnsi="Arial"/>
          <w:sz w:val="18"/>
          <w:szCs w:val="18"/>
          <w:color w:val="auto"/>
        </w:rPr>
        <w:t>Directors shall receive such compensation for their services on the Board of Directors and any committee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reimbursement for their expenses of attending meetings of the Board of Directors and any committee thereof as the Board of Directors may determine from time to time.</w:t>
      </w:r>
    </w:p>
    <w:p>
      <w:pPr>
        <w:spacing w:after="0" w:line="203" w:lineRule="exact"/>
        <w:rPr>
          <w:sz w:val="20"/>
          <w:szCs w:val="20"/>
          <w:color w:val="auto"/>
        </w:rPr>
      </w:pPr>
    </w:p>
    <w:p>
      <w:pPr>
        <w:ind w:left="540" w:right="20" w:hanging="539"/>
        <w:spacing w:after="0" w:line="258" w:lineRule="auto"/>
        <w:tabs>
          <w:tab w:leader="none" w:pos="5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b w:val="1"/>
          <w:bCs w:val="1"/>
          <w:color w:val="auto"/>
        </w:rPr>
        <w:t xml:space="preserve">Action by Written Consent. </w:t>
      </w:r>
      <w:r>
        <w:rPr>
          <w:rFonts w:ascii="Arial" w:cs="Arial" w:eastAsia="Arial" w:hAnsi="Arial"/>
          <w:sz w:val="18"/>
          <w:szCs w:val="18"/>
          <w:color w:val="auto"/>
        </w:rPr>
        <w:t>Any action required or permitted to be taken at any meeting of the Board of Directors or of any committee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may be taken without a meeting, if all members of the Board of Directors or committee, as the case may be, consent to the action in writing or by electronic transmission, and the writing or writings or electronic transmission or transmissions are filed with the minutes of proceedings of the Board of Directors or committee thereof. Such filing shall be in paper form if the minutes are maintained in paper form and shall be in electronic form if the minutes are maintained in electronic form.</w:t>
      </w:r>
    </w:p>
    <w:p>
      <w:pPr>
        <w:spacing w:after="0" w:line="211" w:lineRule="exact"/>
        <w:rPr>
          <w:sz w:val="20"/>
          <w:szCs w:val="20"/>
          <w:color w:val="auto"/>
        </w:rPr>
      </w:pPr>
    </w:p>
    <w:p>
      <w:pPr>
        <w:ind w:left="540" w:right="40" w:hanging="539"/>
        <w:spacing w:after="0" w:line="287" w:lineRule="auto"/>
        <w:tabs>
          <w:tab w:leader="none" w:pos="5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b w:val="1"/>
          <w:bCs w:val="1"/>
          <w:color w:val="auto"/>
        </w:rPr>
        <w:t xml:space="preserve">Interested Transactions. </w:t>
      </w:r>
      <w:r>
        <w:rPr>
          <w:rFonts w:ascii="Arial" w:cs="Arial" w:eastAsia="Arial" w:hAnsi="Arial"/>
          <w:sz w:val="16"/>
          <w:szCs w:val="16"/>
          <w:color w:val="auto"/>
        </w:rPr>
        <w:t>No contract or transaction between the Company and one or more of its directors or officers, or between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other corporation, partnership, association or other organization in which one or more of the Company’s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any such director’s or officer’s vote is counted for such purpose if: (a)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Company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0" w:right="439" w:bottom="1440" w:gutter="0" w:footer="0" w:header="0"/>
        </w:sectPr>
      </w:pPr>
    </w:p>
    <w:bookmarkStart w:id="38" w:name="page39"/>
    <w:bookmarkEnd w:id="38"/>
    <w:p>
      <w:pPr>
        <w:ind w:left="500" w:hanging="539"/>
        <w:spacing w:after="0" w:line="284" w:lineRule="auto"/>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3.15</w:t>
      </w:r>
      <w:r>
        <w:rPr>
          <w:sz w:val="20"/>
          <w:szCs w:val="20"/>
          <w:color w:val="auto"/>
        </w:rPr>
        <w:tab/>
      </w:r>
      <w:r>
        <w:rPr>
          <w:rFonts w:ascii="Arial" w:cs="Arial" w:eastAsia="Arial" w:hAnsi="Arial"/>
          <w:sz w:val="16"/>
          <w:szCs w:val="16"/>
          <w:b w:val="1"/>
          <w:bCs w:val="1"/>
          <w:color w:val="auto"/>
        </w:rPr>
        <w:t xml:space="preserve">Committees of the Board of Directors. </w:t>
      </w:r>
      <w:r>
        <w:rPr>
          <w:rFonts w:ascii="Arial" w:cs="Arial" w:eastAsia="Arial" w:hAnsi="Arial"/>
          <w:sz w:val="16"/>
          <w:szCs w:val="16"/>
          <w:color w:val="auto"/>
        </w:rPr>
        <w:t>The Board of Directors may designate one or more committees, each committee to consist of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of the directors of the Company. The Board of Directors may designate one or more directors as alternate members of any committee, who may replace any absent or disqualified member at any meeting of the committee. Subject to the rules and regulations of any securities exchange or quotation system on which the securities of the Company are listed for trading, if a member of a committee shall be absent from any meeting, or disqualified from voting thereat, the remaining member or members present at the meeting and not disqualified from voting, whether or not such member or members constitute a quorum, may unanimously appoint another member of the Board of Directors to act at the meeting in the place of any such absent or disqualified member. Any such committee, to the extent permitted by applicable law and provided in the resolution establishing such committee, shall have and may exercise all the powers and authority of the Board of Directors in the management of the business and affairs of the Company and may authorize the seal of the Company to be affixed to all papers that may require it to the extent so authorized by the Board of Directors. Unless the Board of Directors provides otherwise,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of Directors provides otherwise, each committee designated by the Board of Directors may make, alter and repeal rules and procedures for the conduct of its business. In the absence of such rules and procedures each committee shall conduct its business in the same manner as the Board of Directors conducts its business pursuant to this Article III. Notwithstanding anything to the contrary contained in this Article III, any resolution of the Board of Directors establishing or directing any committee of the Board of Directors or establishing or amending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 No committee of the Board of Directors shall have the power or authority to (a) approve or adopt, or recommend to stockholders, any action or matter expressly required by the General Corporation Law of the State of Delaware to be submitted to stockholders for approval; or (b) adopt, amend, or repeal these Bylaws. No committee of the Board of Directors shall take any action that is required by these Bylaws, the Certificate of Incorporation or the General Corporation Law of the State of Delaware to be taken by a vote of a specified proportion of the entire Board of Directors.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52" w:lineRule="exact"/>
        <w:rPr>
          <w:sz w:val="20"/>
          <w:szCs w:val="20"/>
          <w:color w:val="auto"/>
        </w:rPr>
      </w:pPr>
    </w:p>
    <w:p>
      <w:pPr>
        <w:ind w:left="500" w:right="100" w:hanging="539"/>
        <w:spacing w:after="0" w:line="258" w:lineRule="auto"/>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 xml:space="preserve">Positions and Election. </w:t>
      </w:r>
      <w:r>
        <w:rPr>
          <w:rFonts w:ascii="Arial" w:cs="Arial" w:eastAsia="Arial" w:hAnsi="Arial"/>
          <w:sz w:val="18"/>
          <w:szCs w:val="18"/>
          <w:color w:val="auto"/>
        </w:rPr>
        <w:t>The officers of the Company shall consist of a Chief Executive Officer, a President, a Secretary, a Treasurer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officers with such other titles as the Board of Directors shall determine, including one or more Vice Presidents, Assistant Treasurers and Assistant Secretaries. The Board of Directors may appoint such other officers as it may deem appropriate. Any two or more offices may be held by the same person. Officers may, but need not, be directors or stockholders of the Company. The salaries of all officers shall be fixed by the Board of Directors.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80" w:top="270" w:right="459" w:bottom="1440" w:gutter="0" w:footer="0" w:header="0"/>
        </w:sectPr>
      </w:pPr>
    </w:p>
    <w:bookmarkStart w:id="39" w:name="page40"/>
    <w:bookmarkEnd w:id="39"/>
    <w:p>
      <w:pPr>
        <w:jc w:val="both"/>
        <w:ind w:left="540" w:right="320" w:hanging="539"/>
        <w:spacing w:after="0" w:line="26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w:t>
      </w:r>
      <w:r>
        <w:rPr>
          <w:sz w:val="20"/>
          <w:szCs w:val="20"/>
          <w:color w:val="auto"/>
        </w:rPr>
        <w:tab/>
      </w:r>
      <w:r>
        <w:rPr>
          <w:rFonts w:ascii="Arial" w:cs="Arial" w:eastAsia="Arial" w:hAnsi="Arial"/>
          <w:sz w:val="18"/>
          <w:szCs w:val="18"/>
          <w:b w:val="1"/>
          <w:bCs w:val="1"/>
          <w:color w:val="auto"/>
        </w:rPr>
        <w:t xml:space="preserve">Term. </w:t>
      </w:r>
      <w:r>
        <w:rPr>
          <w:rFonts w:ascii="Arial" w:cs="Arial" w:eastAsia="Arial" w:hAnsi="Arial"/>
          <w:sz w:val="18"/>
          <w:szCs w:val="18"/>
          <w:color w:val="auto"/>
        </w:rPr>
        <w:t>Each officer of the Company shall hold office until such officer’s successor is duly elected and qualified or until such officer’s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death, resignation or removal. The Board of Directors may remove any officer at any time with or without cause by the majority vote of the members of the Board of Directors.</w:t>
      </w:r>
    </w:p>
    <w:p>
      <w:pPr>
        <w:spacing w:after="0" w:line="203" w:lineRule="exact"/>
        <w:rPr>
          <w:sz w:val="20"/>
          <w:szCs w:val="20"/>
          <w:color w:val="auto"/>
        </w:rPr>
      </w:pPr>
    </w:p>
    <w:p>
      <w:pPr>
        <w:ind w:left="540" w:right="500" w:hanging="539"/>
        <w:spacing w:after="0" w:line="266" w:lineRule="auto"/>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 xml:space="preserve">Resignation. </w:t>
      </w:r>
      <w:r>
        <w:rPr>
          <w:rFonts w:ascii="Arial" w:cs="Arial" w:eastAsia="Arial" w:hAnsi="Arial"/>
          <w:sz w:val="18"/>
          <w:szCs w:val="18"/>
          <w:color w:val="auto"/>
        </w:rPr>
        <w:t>Any officer of the Company may resign at any time by giving written notice of his or her resignation to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the President or the Secretary. Such resignation shall be effective upon receipt unless such notice provides that the resignation is effective at some later time or upon the occurrence of some later event.</w:t>
      </w:r>
    </w:p>
    <w:p>
      <w:pPr>
        <w:spacing w:after="0" w:line="20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 xml:space="preserve">Vacancies. </w:t>
      </w:r>
      <w:r>
        <w:rPr>
          <w:rFonts w:ascii="Arial" w:cs="Arial" w:eastAsia="Arial" w:hAnsi="Arial"/>
          <w:sz w:val="16"/>
          <w:szCs w:val="16"/>
          <w:color w:val="auto"/>
        </w:rPr>
        <w:t>A vacancy occurring in any office shall be filled in the same manner as provide for the election or appointment to such office.</w:t>
      </w:r>
    </w:p>
    <w:p>
      <w:pPr>
        <w:spacing w:after="0" w:line="252" w:lineRule="exact"/>
        <w:rPr>
          <w:sz w:val="20"/>
          <w:szCs w:val="20"/>
          <w:color w:val="auto"/>
        </w:rPr>
      </w:pPr>
    </w:p>
    <w:p>
      <w:pPr>
        <w:ind w:left="540" w:hanging="539"/>
        <w:spacing w:after="0" w:line="256" w:lineRule="auto"/>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b w:val="1"/>
          <w:bCs w:val="1"/>
          <w:color w:val="auto"/>
        </w:rPr>
        <w:t xml:space="preserve">Chief Executive Officer; President. </w:t>
      </w:r>
      <w:r>
        <w:rPr>
          <w:rFonts w:ascii="Arial" w:cs="Arial" w:eastAsia="Arial" w:hAnsi="Arial"/>
          <w:sz w:val="18"/>
          <w:szCs w:val="18"/>
          <w:color w:val="auto"/>
        </w:rPr>
        <w:t>Unless the Board of Directors has designated another person as the Company’s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shall be the Chief Executive Officer of the Company. The Chief Executive Officer shall have general charge and supervision of the business of the Company subject to the direction of the Board of Directors, and shall perform all duties and have all powers that are commonly incident to the office of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w:t>
      </w:r>
    </w:p>
    <w:p>
      <w:pPr>
        <w:spacing w:after="0" w:line="215" w:lineRule="exact"/>
        <w:rPr>
          <w:sz w:val="20"/>
          <w:szCs w:val="20"/>
          <w:color w:val="auto"/>
        </w:rPr>
      </w:pPr>
    </w:p>
    <w:p>
      <w:pPr>
        <w:jc w:val="both"/>
        <w:ind w:left="540" w:hanging="539"/>
        <w:spacing w:after="0" w:line="314" w:lineRule="auto"/>
        <w:tabs>
          <w:tab w:leader="none" w:pos="5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 xml:space="preserve">Vice Presidents. </w:t>
      </w:r>
      <w:r>
        <w:rPr>
          <w:rFonts w:ascii="Arial" w:cs="Arial" w:eastAsia="Arial" w:hAnsi="Arial"/>
          <w:sz w:val="16"/>
          <w:szCs w:val="16"/>
          <w:color w:val="auto"/>
        </w:rPr>
        <w:t>Each Vice President shall have such powers and perform such duties as may be assigned to him or her from time to time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or the Chief Executive Officer (or the President if there is no Chief Executive Officer). The Board of Directors may assign to any Vice President the title of Executive Vice President, Senior Vice President or any other title selected by the Board of Directors.</w:t>
      </w:r>
    </w:p>
    <w:p>
      <w:pPr>
        <w:spacing w:after="0" w:line="169" w:lineRule="exact"/>
        <w:rPr>
          <w:sz w:val="20"/>
          <w:szCs w:val="20"/>
          <w:color w:val="auto"/>
        </w:rPr>
      </w:pPr>
    </w:p>
    <w:p>
      <w:pPr>
        <w:ind w:left="540" w:right="40" w:hanging="539"/>
        <w:spacing w:after="0" w:line="298" w:lineRule="auto"/>
        <w:tabs>
          <w:tab w:leader="none" w:pos="5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b w:val="1"/>
          <w:bCs w:val="1"/>
          <w:color w:val="auto"/>
        </w:rPr>
        <w:t xml:space="preserve">Secretary; Assistant Secretary. </w:t>
      </w:r>
      <w:r>
        <w:rPr>
          <w:rFonts w:ascii="Arial" w:cs="Arial" w:eastAsia="Arial" w:hAnsi="Arial"/>
          <w:sz w:val="16"/>
          <w:szCs w:val="16"/>
          <w:color w:val="auto"/>
        </w:rPr>
        <w:t>The Secretary, or an Assistant Secretary, shall attend all sessions of the Board of Directors and all meetings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stockholders and record all votes and the minutes of all proceedings in a book to be kept for that purpose, and shall perform like duties for committees when required. He or she shall give, or cause to be given, notice of all meetings of the stockholders and meetings of the Board of Directors, and shall perform such other duties as may be assigned by the Board of Directors. The Secretary, or an Assistant Secretary, shall keep in safe custody the seal of the Company and have authority to affix the seal to all documents requiring it and attest to the same.</w:t>
      </w:r>
    </w:p>
    <w:p>
      <w:pPr>
        <w:spacing w:after="0" w:line="181"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b w:val="1"/>
          <w:bCs w:val="1"/>
          <w:color w:val="auto"/>
        </w:rPr>
        <w:t xml:space="preserve">Treasurer; Assistant Treasurer. </w:t>
      </w:r>
      <w:r>
        <w:rPr>
          <w:rFonts w:ascii="Arial" w:cs="Arial" w:eastAsia="Arial" w:hAnsi="Arial"/>
          <w:sz w:val="18"/>
          <w:szCs w:val="18"/>
          <w:color w:val="auto"/>
        </w:rPr>
        <w:t>The Treasurer, or an Assistant Treasurer, shall have the custody of the corporate funds and other property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except as otherwise provided by the Board of Directors, and shall keep full and accurate accounts of receipts and disbursements in books belonging to the Company and shall deposit all</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0" w:right="499" w:bottom="1440" w:gutter="0" w:footer="0" w:header="0"/>
        </w:sectPr>
      </w:pPr>
    </w:p>
    <w:bookmarkStart w:id="40" w:name="page41"/>
    <w:bookmarkEnd w:id="40"/>
    <w:p>
      <w:pPr>
        <w:ind w:left="500"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moneys and other valuable effects in the name and to the credit of the Company in such depositories as may be designated by the Board of Directors. The Treasurer, or an Assistant Treasurer, shall disburse the funds of the Company as may be ordered by the Board of Directors, taking proper vouchers for such disbursements, and whenever requested by the Board of Directors, shall render an account of all his or her transactions as treasurer and of the financial condition of the Company, and shall perform such other duties as may be assigned by the Board of Directors.</w:t>
      </w:r>
    </w:p>
    <w:p>
      <w:pPr>
        <w:spacing w:after="0" w:line="177" w:lineRule="exact"/>
        <w:rPr>
          <w:sz w:val="20"/>
          <w:szCs w:val="20"/>
          <w:color w:val="auto"/>
        </w:rPr>
      </w:pPr>
    </w:p>
    <w:p>
      <w:pPr>
        <w:ind w:left="500" w:right="420" w:hanging="539"/>
        <w:spacing w:after="0" w:line="282" w:lineRule="auto"/>
        <w:tabs>
          <w:tab w:leader="none" w:pos="4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b w:val="1"/>
          <w:bCs w:val="1"/>
          <w:color w:val="auto"/>
        </w:rPr>
        <w:t xml:space="preserve">Delegation of Authority. </w:t>
      </w:r>
      <w:r>
        <w:rPr>
          <w:rFonts w:ascii="Arial" w:cs="Arial" w:eastAsia="Arial" w:hAnsi="Arial"/>
          <w:sz w:val="18"/>
          <w:szCs w:val="18"/>
          <w:color w:val="auto"/>
        </w:rPr>
        <w:t>The Board of Directors may from time to time delegate the powers or duties of any officer to any other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agent, notwithstanding the provisions herein.</w:t>
      </w:r>
    </w:p>
    <w:p>
      <w:pPr>
        <w:spacing w:after="0" w:line="189" w:lineRule="exact"/>
        <w:rPr>
          <w:sz w:val="20"/>
          <w:szCs w:val="20"/>
          <w:color w:val="auto"/>
        </w:rPr>
      </w:pPr>
    </w:p>
    <w:p>
      <w:pPr>
        <w:ind w:left="500" w:hanging="539"/>
        <w:spacing w:after="0" w:line="273" w:lineRule="auto"/>
        <w:tabs>
          <w:tab w:leader="none" w:pos="4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b w:val="1"/>
          <w:bCs w:val="1"/>
          <w:color w:val="auto"/>
        </w:rPr>
        <w:t xml:space="preserve">Voting Securities Owned by the Company. </w:t>
      </w:r>
      <w:r>
        <w:rPr>
          <w:rFonts w:ascii="Arial" w:cs="Arial" w:eastAsia="Arial" w:hAnsi="Arial"/>
          <w:sz w:val="17"/>
          <w:szCs w:val="17"/>
          <w:color w:val="auto"/>
        </w:rPr>
        <w:t>Powers of attorney, proxies, waivers of notice of meeting, consents and other instruments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securities owned by the Company may be executed in the name of and on behalf of the Company by the Chief Executive Officer or any other officer authorized to do so by the Board of Directors and any such officer may, in the name of and on behalf of the Company, take all such action as any such officer may deem advisable to vote in person or by proxy at any meeting of security holders of any corporation in which the Company may own securities and at any such meeting shall possess and may exercise any and all rights and power incident to the ownership of such securities and which, as the owner thereof, the Company might have exercised and possessed if present. The Board of Directors may, by resolution, from time to time confer like powers upon any other person or persons.</w:t>
      </w:r>
    </w:p>
    <w:p>
      <w:pPr>
        <w:spacing w:after="0" w:line="199" w:lineRule="exact"/>
        <w:rPr>
          <w:sz w:val="20"/>
          <w:szCs w:val="20"/>
          <w:color w:val="auto"/>
        </w:rPr>
      </w:pPr>
    </w:p>
    <w:p>
      <w:pPr>
        <w:ind w:left="500" w:right="20" w:hanging="539"/>
        <w:spacing w:after="0" w:line="314" w:lineRule="auto"/>
        <w:tabs>
          <w:tab w:leader="none" w:pos="4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 xml:space="preserve">Chairman of the Board of Directors. </w:t>
      </w:r>
      <w:r>
        <w:rPr>
          <w:rFonts w:ascii="Arial" w:cs="Arial" w:eastAsia="Arial" w:hAnsi="Arial"/>
          <w:sz w:val="16"/>
          <w:szCs w:val="16"/>
          <w:color w:val="auto"/>
        </w:rPr>
        <w:t>The Board of Directors, in its discretion, may choose a Chairman (who shall be a director but need not be</w:t>
      </w:r>
      <w:r>
        <w:rPr>
          <w:rFonts w:ascii="Arial" w:cs="Arial" w:eastAsia="Arial" w:hAnsi="Arial"/>
          <w:sz w:val="16"/>
          <w:szCs w:val="16"/>
          <w:b w:val="1"/>
          <w:bCs w:val="1"/>
          <w:color w:val="auto"/>
        </w:rPr>
        <w:t xml:space="preserve"> </w:t>
      </w:r>
      <w:r>
        <w:rPr>
          <w:rFonts w:ascii="Arial" w:cs="Arial" w:eastAsia="Arial" w:hAnsi="Arial"/>
          <w:sz w:val="16"/>
          <w:szCs w:val="16"/>
          <w:color w:val="auto"/>
        </w:rPr>
        <w:t>elected as an officer). The Chairman shall preside at all meetings of the stockholders and the Board of Directors. The Chairman shall perform such other duties and may exercise such other powers as may from time to time be assigned by these Bylaws or by the Board of Directors.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52" w:lineRule="exact"/>
        <w:rPr>
          <w:sz w:val="20"/>
          <w:szCs w:val="20"/>
          <w:color w:val="auto"/>
        </w:rPr>
      </w:pPr>
    </w:p>
    <w:p>
      <w:pPr>
        <w:ind w:left="500" w:right="280" w:hanging="539"/>
        <w:spacing w:after="0" w:line="266" w:lineRule="auto"/>
        <w:tabs>
          <w:tab w:leader="none" w:pos="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color w:val="auto"/>
        </w:rPr>
        <w:t xml:space="preserve">Mandatory Indemnification. </w:t>
      </w:r>
      <w:r>
        <w:rPr>
          <w:rFonts w:ascii="Arial" w:cs="Arial" w:eastAsia="Arial" w:hAnsi="Arial"/>
          <w:sz w:val="18"/>
          <w:szCs w:val="18"/>
          <w:color w:val="auto"/>
        </w:rPr>
        <w:t>The Company shall indemnify, to the fullest extent permitted by Delaware law, any person who was or is a</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 or is threatened to be made a defendant to any threatened, pending or completed action, suit or proceeding, whether civil, criminal, administrative or investigative, by reason of the fact that such person:</w:t>
      </w:r>
    </w:p>
    <w:p>
      <w:pPr>
        <w:spacing w:after="0" w:line="86" w:lineRule="exact"/>
        <w:rPr>
          <w:sz w:val="20"/>
          <w:szCs w:val="20"/>
          <w:color w:val="auto"/>
        </w:rPr>
      </w:pPr>
    </w:p>
    <w:p>
      <w:pPr>
        <w:ind w:left="1040" w:hanging="536"/>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or was a Director, officer or employee of the Company;</w:t>
      </w:r>
    </w:p>
    <w:p>
      <w:pPr>
        <w:spacing w:after="0" w:line="130" w:lineRule="exact"/>
        <w:rPr>
          <w:rFonts w:ascii="Arial" w:cs="Arial" w:eastAsia="Arial" w:hAnsi="Arial"/>
          <w:sz w:val="18"/>
          <w:szCs w:val="18"/>
          <w:color w:val="auto"/>
        </w:rPr>
      </w:pPr>
    </w:p>
    <w:p>
      <w:pPr>
        <w:ind w:left="1040" w:right="120" w:hanging="536"/>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or was a Director, officer or employee of the Company and is or was serving at the request of the Company as a director, trustee, member, member representative, officer, employee or agent of another corporation, partnership, limited liability company, joint venture, trust or other enterprise;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80" w:top="274" w:right="459" w:bottom="1440" w:gutter="0" w:footer="0" w:header="0"/>
        </w:sectPr>
      </w:pPr>
    </w:p>
    <w:bookmarkStart w:id="41" w:name="page42"/>
    <w:bookmarkEnd w:id="41"/>
    <w:p>
      <w:pPr>
        <w:ind w:left="1060" w:right="180" w:hanging="53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or was serving at the request of the Company as a director, trustee, member, member representative or officer of another corporation, partnership, limited liability company, joint venture, trust or other enterprise</w:t>
      </w:r>
    </w:p>
    <w:p>
      <w:pPr>
        <w:spacing w:after="0" w:line="76" w:lineRule="exact"/>
        <w:rPr>
          <w:sz w:val="20"/>
          <w:szCs w:val="20"/>
          <w:color w:val="auto"/>
        </w:rPr>
      </w:pPr>
    </w:p>
    <w:p>
      <w:pPr>
        <w:ind w:left="520" w:right="20"/>
        <w:spacing w:after="0" w:line="272" w:lineRule="auto"/>
        <w:rPr>
          <w:sz w:val="20"/>
          <w:szCs w:val="20"/>
          <w:color w:val="auto"/>
        </w:rPr>
      </w:pPr>
      <w:r>
        <w:rPr>
          <w:rFonts w:ascii="Arial" w:cs="Arial" w:eastAsia="Arial" w:hAnsi="Arial"/>
          <w:sz w:val="17"/>
          <w:szCs w:val="17"/>
          <w:color w:val="auto"/>
        </w:rPr>
        <w:t>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201" w:lineRule="exact"/>
        <w:rPr>
          <w:sz w:val="20"/>
          <w:szCs w:val="20"/>
          <w:color w:val="auto"/>
        </w:rPr>
      </w:pPr>
    </w:p>
    <w:p>
      <w:pPr>
        <w:ind w:left="520" w:right="60" w:hanging="539"/>
        <w:spacing w:after="0" w:line="266" w:lineRule="auto"/>
        <w:tabs>
          <w:tab w:leader="none" w:pos="5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color w:val="auto"/>
        </w:rPr>
        <w:t xml:space="preserve">Permitted Indemnification. </w:t>
      </w:r>
      <w:r>
        <w:rPr>
          <w:rFonts w:ascii="Arial" w:cs="Arial" w:eastAsia="Arial" w:hAnsi="Arial"/>
          <w:sz w:val="18"/>
          <w:szCs w:val="18"/>
          <w:color w:val="auto"/>
        </w:rPr>
        <w:t>The Company may indemnify, to the fullest extent permitted by Delaware law, any person who was or is a party or</w:t>
      </w:r>
      <w:r>
        <w:rPr>
          <w:rFonts w:ascii="Arial" w:cs="Arial" w:eastAsia="Arial" w:hAnsi="Arial"/>
          <w:sz w:val="18"/>
          <w:szCs w:val="18"/>
          <w:b w:val="1"/>
          <w:bCs w:val="1"/>
          <w:color w:val="auto"/>
        </w:rPr>
        <w:t xml:space="preserve"> </w:t>
      </w:r>
      <w:r>
        <w:rPr>
          <w:rFonts w:ascii="Arial" w:cs="Arial" w:eastAsia="Arial" w:hAnsi="Arial"/>
          <w:sz w:val="18"/>
          <w:szCs w:val="18"/>
          <w:color w:val="auto"/>
        </w:rPr>
        <w:t>is threatened to be made a party to any threatened, pending or completed action, suit or proceeding, whether civil, criminal, administrative or investigative, by reason of the fact that such person:</w:t>
      </w:r>
    </w:p>
    <w:p>
      <w:pPr>
        <w:spacing w:after="0" w:line="86" w:lineRule="exact"/>
        <w:rPr>
          <w:sz w:val="20"/>
          <w:szCs w:val="20"/>
          <w:color w:val="auto"/>
        </w:rPr>
      </w:pPr>
    </w:p>
    <w:p>
      <w:pPr>
        <w:ind w:left="1060" w:hanging="53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or was a Director, officer, employee or agent of the Company; or</w:t>
      </w:r>
    </w:p>
    <w:p>
      <w:pPr>
        <w:spacing w:after="0" w:line="130" w:lineRule="exact"/>
        <w:rPr>
          <w:rFonts w:ascii="Arial" w:cs="Arial" w:eastAsia="Arial" w:hAnsi="Arial"/>
          <w:sz w:val="18"/>
          <w:szCs w:val="18"/>
          <w:color w:val="auto"/>
        </w:rPr>
      </w:pPr>
    </w:p>
    <w:p>
      <w:pPr>
        <w:ind w:left="1060" w:right="420" w:hanging="53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or was serving at the request of the Company as a director, trustee, member, member representative, officer, employee or agent of another corporation, partnership, limited liability company, joint venture, trust or other enterprise</w:t>
      </w:r>
    </w:p>
    <w:p>
      <w:pPr>
        <w:spacing w:after="0" w:line="197" w:lineRule="exact"/>
        <w:rPr>
          <w:sz w:val="20"/>
          <w:szCs w:val="20"/>
          <w:color w:val="auto"/>
        </w:rPr>
      </w:pPr>
    </w:p>
    <w:p>
      <w:pPr>
        <w:ind w:left="520" w:right="20"/>
        <w:spacing w:after="0" w:line="272" w:lineRule="auto"/>
        <w:rPr>
          <w:sz w:val="20"/>
          <w:szCs w:val="20"/>
          <w:color w:val="auto"/>
        </w:rPr>
      </w:pPr>
      <w:r>
        <w:rPr>
          <w:rFonts w:ascii="Arial" w:cs="Arial" w:eastAsia="Arial" w:hAnsi="Arial"/>
          <w:sz w:val="17"/>
          <w:szCs w:val="17"/>
          <w:color w:val="auto"/>
        </w:rPr>
        <w:t>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201" w:lineRule="exact"/>
        <w:rPr>
          <w:sz w:val="20"/>
          <w:szCs w:val="20"/>
          <w:color w:val="auto"/>
        </w:rPr>
      </w:pPr>
    </w:p>
    <w:p>
      <w:pPr>
        <w:ind w:left="520" w:hanging="539"/>
        <w:spacing w:after="0" w:line="277" w:lineRule="auto"/>
        <w:tabs>
          <w:tab w:leader="none" w:pos="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b w:val="1"/>
          <w:bCs w:val="1"/>
          <w:color w:val="auto"/>
        </w:rPr>
        <w:t xml:space="preserve">Expenses Payable in Advance. </w:t>
      </w:r>
      <w:r>
        <w:rPr>
          <w:rFonts w:ascii="Arial" w:cs="Arial" w:eastAsia="Arial" w:hAnsi="Arial"/>
          <w:sz w:val="17"/>
          <w:szCs w:val="17"/>
          <w:color w:val="auto"/>
        </w:rPr>
        <w:t>Expenses (including attorneys’ fees) incurred by any person who is or was a Director or officer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or any person who is or was serving at the request of the Company as a director, trustee, member, member representative or officer of another corporation, partnership, limited liability company, joint venture, trust or other enterprise, in defending or investigating a threatened or pending action, suit or proceeding, whether civil, criminal, administrative or investigative, shall be paid by the Company to the fullest extent permitted by Delaware law in advance of the final disposition of such action, suit or proceeding, upon receipt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60" w:top="274" w:right="459" w:bottom="1440" w:gutter="0" w:footer="0" w:header="0"/>
        </w:sectPr>
      </w:pPr>
    </w:p>
    <w:bookmarkStart w:id="42" w:name="page43"/>
    <w:bookmarkEnd w:id="42"/>
    <w:p>
      <w:pPr>
        <w:ind w:left="54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undertaking by or on behalf of such person to repay such amount if it ultimately shall be determined that such person is not entitled to be indemnified by the Company as authorized in this Article V. Such expenses (including attorneys’ fees) incurred by any person who is or was an employee or agent of the Company, or any person who is or was serving at the request of the Company as an employee or agent of another corporation, partnership, limited liability company, joint venture, trust or enterprise may be so paid upon such terms and conditions, if any, as the Board of Directors deems appropriate.</w:t>
      </w:r>
    </w:p>
    <w:p>
      <w:pPr>
        <w:spacing w:after="0" w:line="211" w:lineRule="exact"/>
        <w:rPr>
          <w:sz w:val="20"/>
          <w:szCs w:val="20"/>
          <w:color w:val="auto"/>
        </w:rPr>
      </w:pPr>
    </w:p>
    <w:p>
      <w:pPr>
        <w:ind w:left="540" w:right="60" w:hanging="539"/>
        <w:spacing w:after="0" w:line="270" w:lineRule="auto"/>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b w:val="1"/>
          <w:bCs w:val="1"/>
          <w:color w:val="auto"/>
        </w:rPr>
        <w:t xml:space="preserve">Judicial Determination of Mandatory Indemnification or Mandatory Advancement of Expenses. </w:t>
      </w:r>
      <w:r>
        <w:rPr>
          <w:rFonts w:ascii="Arial" w:cs="Arial" w:eastAsia="Arial" w:hAnsi="Arial"/>
          <w:sz w:val="17"/>
          <w:szCs w:val="17"/>
          <w:color w:val="auto"/>
        </w:rPr>
        <w:t>Any person may apply to any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competent jurisdiction in the State of Delaware to order indemnification or advancement of expenses to the extent mandated under Sections 5.1 or 5.3 above. The basis of such order of indemnification or advancement of expenses by a court shall be a determination by such court that indemnification of, or advancement of expenses to, such person is proper in the circumstances. Notice of any application for indemnification or advancement of expenses pursuant to this Section 5.4 shall be given to the Company promptly upon the filing of such application. The burden of proving that such person is not entitled to such mandatory indemnification or mandatory advancement of expenses, or that the Company is entitled to recover the mandatory advancement of expenses pursuant to the terms of an undertaking, shall be on the Company. If successful in whole or in part in obtaining an order for mandatory indemnification or mandatory advancement of expenses, or in a suit brought by the Company to recover an advancement of expenses pursuant to the terms of an undertaking, such person shall also be entitled to be paid all costs (including attorneys’ fees and expenses) in connection therewith.</w:t>
      </w:r>
    </w:p>
    <w:p>
      <w:pPr>
        <w:spacing w:after="0" w:line="205"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b w:val="1"/>
          <w:bCs w:val="1"/>
          <w:color w:val="auto"/>
        </w:rPr>
        <w:t xml:space="preserve">Nonexclusivity. </w:t>
      </w:r>
      <w:r>
        <w:rPr>
          <w:rFonts w:ascii="Arial" w:cs="Arial" w:eastAsia="Arial" w:hAnsi="Arial"/>
          <w:sz w:val="18"/>
          <w:szCs w:val="18"/>
          <w:color w:val="auto"/>
        </w:rPr>
        <w:t>The indemnification and advancement of expenses mandated or permitted by, or granted pursuant to, this Article V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exclusive of any other rights to which those seeking indemnification or advancement of expenses may be entitled under the Certificate of Incorporation, any Bylaw, agreement, contract, vote of stockholders or disinterested Directors, or pursuant to the direction (howsoever embodied) of any court of competent jurisdiction or otherwise both as to action by the person in an official capacity and as to action in another capacity while holding such office it being the policy of the Company that indemnification of the persons specified in Section 5.1 and Section 5.3 shall be made to the fullest extent permitted by law. The provisions of this Article V shall not be deemed to preclude the indemnification of any person who is not specified in Section 5.1 or 5.3, but whom the Company has the power or obligation to indemnify under Delaware law or otherwise.</w:t>
      </w:r>
    </w:p>
    <w:p>
      <w:pPr>
        <w:spacing w:after="0" w:line="212" w:lineRule="exact"/>
        <w:rPr>
          <w:sz w:val="20"/>
          <w:szCs w:val="20"/>
          <w:color w:val="auto"/>
        </w:rPr>
      </w:pPr>
    </w:p>
    <w:p>
      <w:pPr>
        <w:ind w:left="540" w:right="60" w:hanging="539"/>
        <w:spacing w:after="0" w:line="274" w:lineRule="auto"/>
        <w:tabs>
          <w:tab w:leader="none" w:pos="5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b w:val="1"/>
          <w:bCs w:val="1"/>
          <w:color w:val="auto"/>
        </w:rPr>
        <w:t xml:space="preserve">Insurance. </w:t>
      </w:r>
      <w:r>
        <w:rPr>
          <w:rFonts w:ascii="Arial" w:cs="Arial" w:eastAsia="Arial" w:hAnsi="Arial"/>
          <w:sz w:val="17"/>
          <w:szCs w:val="17"/>
          <w:color w:val="auto"/>
        </w:rPr>
        <w:t>The Company may, but shall not be obligated to, purchase and maintain insurance at its expense on behalf of any person who is or</w:t>
      </w:r>
      <w:r>
        <w:rPr>
          <w:rFonts w:ascii="Arial" w:cs="Arial" w:eastAsia="Arial" w:hAnsi="Arial"/>
          <w:sz w:val="17"/>
          <w:szCs w:val="17"/>
          <w:b w:val="1"/>
          <w:bCs w:val="1"/>
          <w:color w:val="auto"/>
        </w:rPr>
        <w:t xml:space="preserve"> </w:t>
      </w:r>
      <w:r>
        <w:rPr>
          <w:rFonts w:ascii="Arial" w:cs="Arial" w:eastAsia="Arial" w:hAnsi="Arial"/>
          <w:sz w:val="17"/>
          <w:szCs w:val="17"/>
          <w:color w:val="auto"/>
        </w:rPr>
        <w:t>was a Director, officer, employee or agent of the Company, or is or was a director or officer of the Company serving at the request of the Company as a director, officer, trustee, member, member representative, employee or agent of another corporation, partnership, limited liability company, joint venture, trust or other enterprise against any liability asserted against and incurred by such person in any such capacity, or arising out of the person’s status as such, whether or not the Company would have the power or the obligation to indemnify such person against such liability under the provisions of this Article V.</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3" w:name="page44"/>
    <w:bookmarkEnd w:id="43"/>
    <w:p>
      <w:pPr>
        <w:ind w:left="520" w:right="20" w:hanging="539"/>
        <w:spacing w:after="0" w:line="269"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5.7</w:t>
      </w:r>
      <w:r>
        <w:rPr>
          <w:sz w:val="20"/>
          <w:szCs w:val="20"/>
          <w:color w:val="auto"/>
        </w:rPr>
        <w:tab/>
      </w:r>
      <w:r>
        <w:rPr>
          <w:rFonts w:ascii="Arial" w:cs="Arial" w:eastAsia="Arial" w:hAnsi="Arial"/>
          <w:sz w:val="17"/>
          <w:szCs w:val="17"/>
          <w:b w:val="1"/>
          <w:bCs w:val="1"/>
          <w:color w:val="auto"/>
        </w:rPr>
        <w:t xml:space="preserve">Definitions. </w:t>
      </w:r>
      <w:r>
        <w:rPr>
          <w:rFonts w:ascii="Arial" w:cs="Arial" w:eastAsia="Arial" w:hAnsi="Arial"/>
          <w:sz w:val="17"/>
          <w:szCs w:val="17"/>
          <w:color w:val="auto"/>
        </w:rPr>
        <w:t>For the purposes of this Article V references to “the Company” shall include, in addition to the resulting company, any constituent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(including any constituent of a constituent) absorbed in a consolidation or merger which, if its separate existence had continued, would have had power and authority to indemnify its directors, trustees, members, member representatives, officers, employees or agents, so that any person who is or was a director, trustee, member, member representative, officer, employee or agent of such constituent company, or is or was serving at the request of such constituent company as a director, trustee, member, member representative, officer, employee or agent of another corporation, partnership, limited liability company, joint venture, trust or other enterprise, shall stand in the same position under the provisions of this Article V with respect to the resulting or surviving company as such person would have with respect to such constituent company if its separate existence had continued. The term “other enterprise” as used in this Article V shall include employee benefit plans. References to “fines” in this Article V shall include excise taxes assessed on a person with respect to an employee benefit plan. The phrase “serving at the request of the Company” shall include any service as a director, trustee, member, member representative, officer, employee or agent that imposes duties on, or involves services by, such director, trustee, member, member representative, officer, employee or agent with respect to any employee benefit plan, its participants or beneficiaries.</w:t>
      </w:r>
    </w:p>
    <w:p>
      <w:pPr>
        <w:spacing w:after="0" w:line="207" w:lineRule="exact"/>
        <w:rPr>
          <w:sz w:val="20"/>
          <w:szCs w:val="20"/>
          <w:color w:val="auto"/>
        </w:rPr>
      </w:pPr>
    </w:p>
    <w:p>
      <w:pPr>
        <w:ind w:left="520" w:hanging="539"/>
        <w:spacing w:after="0" w:line="303" w:lineRule="auto"/>
        <w:tabs>
          <w:tab w:leader="none" w:pos="5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b w:val="1"/>
          <w:bCs w:val="1"/>
          <w:color w:val="auto"/>
        </w:rPr>
        <w:t xml:space="preserve">Survival. </w:t>
      </w:r>
      <w:r>
        <w:rPr>
          <w:rFonts w:ascii="Arial" w:cs="Arial" w:eastAsia="Arial" w:hAnsi="Arial"/>
          <w:sz w:val="16"/>
          <w:szCs w:val="16"/>
          <w:color w:val="auto"/>
        </w:rPr>
        <w:t>The indemnification and advancement of expenses provided by, or granted pursuant to, this Article V shall continue as to a person who</w:t>
      </w:r>
      <w:r>
        <w:rPr>
          <w:rFonts w:ascii="Arial" w:cs="Arial" w:eastAsia="Arial" w:hAnsi="Arial"/>
          <w:sz w:val="16"/>
          <w:szCs w:val="16"/>
          <w:b w:val="1"/>
          <w:bCs w:val="1"/>
          <w:color w:val="auto"/>
        </w:rPr>
        <w:t xml:space="preserve"> </w:t>
      </w:r>
      <w:r>
        <w:rPr>
          <w:rFonts w:ascii="Arial" w:cs="Arial" w:eastAsia="Arial" w:hAnsi="Arial"/>
          <w:sz w:val="16"/>
          <w:szCs w:val="16"/>
          <w:color w:val="auto"/>
        </w:rPr>
        <w:t>has ceased to be a Director, officer, employee or agent of the Company, and to a person who has ceased to serve at the request of the Company as a director, trustee, member, member representative, officer, employee or agent of another corporation, partnership, limited liability company, joint venture, trust or other enterprise, and, in each case, shall inure to the benefit of the heirs, executors and administrators of such person.</w:t>
      </w:r>
    </w:p>
    <w:p>
      <w:pPr>
        <w:spacing w:after="0" w:line="178" w:lineRule="exact"/>
        <w:rPr>
          <w:sz w:val="20"/>
          <w:szCs w:val="20"/>
          <w:color w:val="auto"/>
        </w:rPr>
      </w:pPr>
    </w:p>
    <w:p>
      <w:pPr>
        <w:jc w:val="both"/>
        <w:ind w:left="520" w:right="200" w:hanging="539"/>
        <w:spacing w:after="0" w:line="289" w:lineRule="auto"/>
        <w:tabs>
          <w:tab w:leader="none" w:pos="50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b w:val="1"/>
          <w:bCs w:val="1"/>
          <w:color w:val="auto"/>
        </w:rPr>
        <w:t xml:space="preserve">Repeal, Amendment or Modification. </w:t>
      </w:r>
      <w:r>
        <w:rPr>
          <w:rFonts w:ascii="Arial" w:cs="Arial" w:eastAsia="Arial" w:hAnsi="Arial"/>
          <w:sz w:val="17"/>
          <w:szCs w:val="17"/>
          <w:color w:val="auto"/>
        </w:rPr>
        <w:t>Any repeal, amendment or modification of this Article V shall not affect any rights or obligations then</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between the Company and any person referred to in this Article V with respect to any state of facts then or theretofore existing or any action, suit or proceeding theretofore or thereafter brought based in whole or in part upon such state of facts.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52" w:lineRule="exact"/>
        <w:rPr>
          <w:sz w:val="20"/>
          <w:szCs w:val="20"/>
          <w:color w:val="auto"/>
        </w:rPr>
      </w:pPr>
    </w:p>
    <w:p>
      <w:pPr>
        <w:ind w:left="520" w:right="460" w:hanging="539"/>
        <w:spacing w:after="0" w:line="347" w:lineRule="auto"/>
        <w:tabs>
          <w:tab w:leader="none" w:pos="5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 xml:space="preserve">Seal. </w:t>
      </w:r>
      <w:r>
        <w:rPr>
          <w:rFonts w:ascii="Arial" w:cs="Arial" w:eastAsia="Arial" w:hAnsi="Arial"/>
          <w:sz w:val="16"/>
          <w:szCs w:val="16"/>
          <w:color w:val="auto"/>
        </w:rPr>
        <w:t>The corporate seal shall have inscribed upon it the name of the Company, the year “2018” and the words “Seal” and “Delaware.” The</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shall be in charge of the seal and may authorize a duplicate seal to be kept and used by any other officer or person.</w:t>
      </w:r>
    </w:p>
    <w:p>
      <w:pPr>
        <w:spacing w:after="0" w:line="143" w:lineRule="exact"/>
        <w:rPr>
          <w:sz w:val="20"/>
          <w:szCs w:val="20"/>
          <w:color w:val="auto"/>
        </w:rPr>
      </w:pPr>
    </w:p>
    <w:p>
      <w:pPr>
        <w:ind w:left="520" w:right="460" w:hanging="539"/>
        <w:spacing w:after="0" w:line="347" w:lineRule="auto"/>
        <w:tabs>
          <w:tab w:leader="none" w:pos="5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 xml:space="preserve">Waiver of Notice. </w:t>
      </w:r>
      <w:r>
        <w:rPr>
          <w:rFonts w:ascii="Arial" w:cs="Arial" w:eastAsia="Arial" w:hAnsi="Arial"/>
          <w:sz w:val="16"/>
          <w:szCs w:val="16"/>
          <w:color w:val="auto"/>
        </w:rPr>
        <w:t>Whenever any notice is required to be given to any stockholder or Director of the Company, a waiver thereof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signed by the person or persons entitled to the notice, whether before or after the time stated therein, shall be deemed equivalent thereto.</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60" w:top="270" w:right="439" w:bottom="1440" w:gutter="0" w:footer="0" w:header="0"/>
        </w:sectPr>
      </w:pPr>
    </w:p>
    <w:bookmarkStart w:id="44" w:name="page45"/>
    <w:bookmarkEnd w:id="44"/>
    <w:p>
      <w:pPr>
        <w:ind w:left="460" w:right="40" w:hanging="539"/>
        <w:spacing w:after="0" w:line="270"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r>
        <w:rPr>
          <w:sz w:val="20"/>
          <w:szCs w:val="20"/>
          <w:color w:val="auto"/>
        </w:rPr>
        <w:tab/>
      </w:r>
      <w:r>
        <w:rPr>
          <w:rFonts w:ascii="Arial" w:cs="Arial" w:eastAsia="Arial" w:hAnsi="Arial"/>
          <w:sz w:val="17"/>
          <w:szCs w:val="17"/>
          <w:b w:val="1"/>
          <w:bCs w:val="1"/>
          <w:color w:val="auto"/>
        </w:rPr>
        <w:t xml:space="preserve">Forum for Adjudication of Certain Disputes. </w:t>
      </w:r>
      <w:r>
        <w:rPr>
          <w:rFonts w:ascii="Arial" w:cs="Arial" w:eastAsia="Arial" w:hAnsi="Arial"/>
          <w:sz w:val="17"/>
          <w:szCs w:val="17"/>
          <w:color w:val="auto"/>
        </w:rPr>
        <w:t>Unless the Company consents in writing to the selection of an alternative forum, the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General Corporation Law of Delaware, or (iv) any action asserting a claim governed by the internal affairs doctrine. Any person or entity purchasing or otherwise acquiring any interest in shares of capital stock of the Company shall be deemed to have notice of and consented to the provisions of this Section 6.3. Failure to enforce the foregoing provisions would cause the Company irreparable harm and the Company shall be entitled to equitable relief, including injunction and specific performance, to enforce the foregoing provisions. The provisions of this Section 6.3 shall not preclude or contract the scope of exclusive federal or concurrent jurisdiction for actions brought under the Exchange Act or the Securities Act or the respective rules and regulations promulgated thereunder.</w:t>
      </w:r>
    </w:p>
    <w:p>
      <w:pPr>
        <w:spacing w:after="0" w:line="205" w:lineRule="exact"/>
        <w:rPr>
          <w:sz w:val="20"/>
          <w:szCs w:val="20"/>
          <w:color w:val="auto"/>
        </w:rPr>
      </w:pPr>
    </w:p>
    <w:p>
      <w:pPr>
        <w:ind w:left="460" w:right="220" w:hanging="539"/>
        <w:spacing w:after="0" w:line="261" w:lineRule="auto"/>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b w:val="1"/>
          <w:bCs w:val="1"/>
          <w:color w:val="auto"/>
        </w:rPr>
        <w:t xml:space="preserve">Offices. </w:t>
      </w:r>
      <w:r>
        <w:rPr>
          <w:rFonts w:ascii="Arial" w:cs="Arial" w:eastAsia="Arial" w:hAnsi="Arial"/>
          <w:sz w:val="18"/>
          <w:szCs w:val="18"/>
          <w:color w:val="auto"/>
        </w:rPr>
        <w:t>The address of the registered office of the Company in the State of Delaware is Corporation Trust Center, 1209 Orange Street,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City of Wilmington, County of New Castle 19801. The name of its registered agent at that address is The Corporation Trust Company. The Company may also have offices at such other places within or without the State of Delaware as the Board of Directors may from time to time determine or the business of the Company may from time to time require.</w:t>
      </w:r>
    </w:p>
    <w:p>
      <w:pPr>
        <w:spacing w:after="0" w:line="207" w:lineRule="exact"/>
        <w:rPr>
          <w:sz w:val="20"/>
          <w:szCs w:val="20"/>
          <w:color w:val="auto"/>
        </w:rPr>
      </w:pPr>
    </w:p>
    <w:p>
      <w:pPr>
        <w:ind w:left="460" w:right="620" w:hanging="539"/>
        <w:spacing w:after="0" w:line="282" w:lineRule="auto"/>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b w:val="1"/>
          <w:bCs w:val="1"/>
          <w:color w:val="auto"/>
        </w:rPr>
        <w:t xml:space="preserve">Fiscal Year. </w:t>
      </w:r>
      <w:r>
        <w:rPr>
          <w:rFonts w:ascii="Arial" w:cs="Arial" w:eastAsia="Arial" w:hAnsi="Arial"/>
          <w:sz w:val="18"/>
          <w:szCs w:val="18"/>
          <w:color w:val="auto"/>
        </w:rPr>
        <w:t>Except as from time to time otherwise designated by the Board of Directors, the fiscal year of the Corporation shall end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w:t>
      </w:r>
    </w:p>
    <w:p>
      <w:pPr>
        <w:spacing w:after="0" w:line="189" w:lineRule="exact"/>
        <w:rPr>
          <w:sz w:val="20"/>
          <w:szCs w:val="20"/>
          <w:color w:val="auto"/>
        </w:rPr>
      </w:pPr>
    </w:p>
    <w:p>
      <w:pPr>
        <w:ind w:left="460" w:hanging="539"/>
        <w:spacing w:after="0" w:line="261" w:lineRule="auto"/>
        <w:tabs>
          <w:tab w:leader="none" w:pos="4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b w:val="1"/>
          <w:bCs w:val="1"/>
          <w:color w:val="auto"/>
        </w:rPr>
        <w:t xml:space="preserve">Contracts. </w:t>
      </w:r>
      <w:r>
        <w:rPr>
          <w:rFonts w:ascii="Arial" w:cs="Arial" w:eastAsia="Arial" w:hAnsi="Arial"/>
          <w:sz w:val="18"/>
          <w:szCs w:val="18"/>
          <w:color w:val="auto"/>
        </w:rPr>
        <w:t>Except as otherwise provide in these Bylaws, the Board of Directors may authorize any officer or officers to enter into any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or to execute or deliver any instrument on behalf of the Company and such authority may be general or limited to specific instances. Any officer so authorized may, unless the authorizing resolution otherwise provides, delegate such authority to one or more subordinate officers, employees or agents, and such delegation may provide for further delegation.</w:t>
      </w:r>
    </w:p>
    <w:p>
      <w:pPr>
        <w:spacing w:after="0" w:line="207" w:lineRule="exact"/>
        <w:rPr>
          <w:sz w:val="20"/>
          <w:szCs w:val="20"/>
          <w:color w:val="auto"/>
        </w:rPr>
      </w:pPr>
    </w:p>
    <w:p>
      <w:pPr>
        <w:ind w:left="460" w:right="280" w:hanging="539"/>
        <w:spacing w:after="0" w:line="289" w:lineRule="auto"/>
        <w:tabs>
          <w:tab w:leader="none" w:pos="4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7"/>
          <w:szCs w:val="17"/>
          <w:b w:val="1"/>
          <w:bCs w:val="1"/>
          <w:color w:val="auto"/>
        </w:rPr>
        <w:t xml:space="preserve">Checks, Notes, Drafts, Etc. </w:t>
      </w:r>
      <w:r>
        <w:rPr>
          <w:rFonts w:ascii="Arial" w:cs="Arial" w:eastAsia="Arial" w:hAnsi="Arial"/>
          <w:sz w:val="17"/>
          <w:szCs w:val="17"/>
          <w:color w:val="auto"/>
        </w:rPr>
        <w:t>All checks, notes, drafts or other orders for the payment of money of the Company shall be signed, endorsed or</w:t>
      </w:r>
      <w:r>
        <w:rPr>
          <w:rFonts w:ascii="Arial" w:cs="Arial" w:eastAsia="Arial" w:hAnsi="Arial"/>
          <w:sz w:val="17"/>
          <w:szCs w:val="17"/>
          <w:b w:val="1"/>
          <w:bCs w:val="1"/>
          <w:color w:val="auto"/>
        </w:rPr>
        <w:t xml:space="preserve"> </w:t>
      </w:r>
      <w:r>
        <w:rPr>
          <w:rFonts w:ascii="Arial" w:cs="Arial" w:eastAsia="Arial" w:hAnsi="Arial"/>
          <w:sz w:val="17"/>
          <w:szCs w:val="17"/>
          <w:color w:val="auto"/>
        </w:rPr>
        <w:t>accepted in the name of the Company by such officer, officers, person or persons as from time to time may be designated by the Board of Directors or by an officer or officers authorized by the Board of Directors to make such designation.</w:t>
      </w:r>
    </w:p>
    <w:p>
      <w:pPr>
        <w:spacing w:after="0" w:line="185" w:lineRule="exact"/>
        <w:rPr>
          <w:sz w:val="20"/>
          <w:szCs w:val="20"/>
          <w:color w:val="auto"/>
        </w:rPr>
      </w:pPr>
    </w:p>
    <w:p>
      <w:pPr>
        <w:ind w:left="460" w:right="20" w:hanging="539"/>
        <w:spacing w:after="0" w:line="291" w:lineRule="auto"/>
        <w:tabs>
          <w:tab w:leader="none" w:pos="4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b w:val="1"/>
          <w:bCs w:val="1"/>
          <w:color w:val="auto"/>
        </w:rPr>
        <w:t xml:space="preserve">Dividends. </w:t>
      </w:r>
      <w:r>
        <w:rPr>
          <w:rFonts w:ascii="Arial" w:cs="Arial" w:eastAsia="Arial" w:hAnsi="Arial"/>
          <w:sz w:val="16"/>
          <w:szCs w:val="16"/>
          <w:color w:val="auto"/>
        </w:rPr>
        <w:t>Dividends upon the capital stock of the Corporation, subject to the requirements of the General Corporation Law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and the provisions of the Certificate of Incorporation, if any, may be declared by the Board of Directors at any regular or special meeting of the Board of Directors (or any action by written consent in lieu thereof in accordance with Section 3.13), and may be paid in cash, in property, or in shares of the Company’s capital stock. Before payment of any dividend, there may be set aside out of any funds of the Company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Company, or for equalizing dividends, or for repairing or maintaining any property of the Company, or for any proper purpose, and the Board of Directors may modify or abolish any such reserve.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60"/>
          </w:cols>
          <w:pgMar w:left="520" w:top="270" w:right="519" w:bottom="1440" w:gutter="0" w:footer="0" w:header="0"/>
        </w:sectPr>
      </w:pPr>
    </w:p>
    <w:bookmarkStart w:id="45" w:name="page46"/>
    <w:bookmarkEnd w:id="45"/>
    <w:p>
      <w:pPr>
        <w:ind w:left="520" w:hanging="539"/>
        <w:spacing w:after="0" w:line="266"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6.9</w:t>
      </w:r>
      <w:r>
        <w:rPr>
          <w:sz w:val="20"/>
          <w:szCs w:val="20"/>
          <w:color w:val="auto"/>
        </w:rPr>
        <w:tab/>
      </w:r>
      <w:r>
        <w:rPr>
          <w:rFonts w:ascii="Arial" w:cs="Arial" w:eastAsia="Arial" w:hAnsi="Arial"/>
          <w:sz w:val="18"/>
          <w:szCs w:val="18"/>
          <w:b w:val="1"/>
          <w:bCs w:val="1"/>
          <w:color w:val="auto"/>
        </w:rPr>
        <w:t xml:space="preserve">Conflict with Applicable Law or Certificate of Incorporation. </w:t>
      </w:r>
      <w:r>
        <w:rPr>
          <w:rFonts w:ascii="Arial" w:cs="Arial" w:eastAsia="Arial" w:hAnsi="Arial"/>
          <w:sz w:val="18"/>
          <w:szCs w:val="18"/>
          <w:color w:val="auto"/>
        </w:rPr>
        <w:t>These Bylaws are adopted subject to any applicable law and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Whenever these Bylaws may conflict with any applicable law or the Certificate of Incorporation, such conflict shall be resolved in favor of such law or the Certificate of Incorporation.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BYLAWS</w:t>
      </w:r>
    </w:p>
    <w:p>
      <w:pPr>
        <w:spacing w:after="0" w:line="252" w:lineRule="exact"/>
        <w:rPr>
          <w:sz w:val="20"/>
          <w:szCs w:val="20"/>
          <w:color w:val="auto"/>
        </w:rPr>
      </w:pPr>
    </w:p>
    <w:p>
      <w:pPr>
        <w:ind w:left="520" w:right="60" w:hanging="539"/>
        <w:spacing w:after="0" w:line="255" w:lineRule="auto"/>
        <w:tabs>
          <w:tab w:leader="none" w:pos="5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b w:val="1"/>
          <w:bCs w:val="1"/>
          <w:color w:val="auto"/>
        </w:rPr>
        <w:t xml:space="preserve">Amendment of Bylaws. </w:t>
      </w:r>
      <w:r>
        <w:rPr>
          <w:rFonts w:ascii="Arial" w:cs="Arial" w:eastAsia="Arial" w:hAnsi="Arial"/>
          <w:sz w:val="18"/>
          <w:szCs w:val="18"/>
          <w:color w:val="auto"/>
        </w:rPr>
        <w:t>The Board of Directors is expressly authorized and shall have the power to amend, alter, change or repeal or to adopt</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these Bylaws at any regular or special meeting of the Board of Directors at which there is a quorum by the affirmative vote of a majority of the total number of directors present at such meeting, or by unanimous written consent in accordance with Section 3.13. The stockholders also shall have power to amend, alter, change or repeal or to adopt any provision of these Bylaws of the Company at any annual or special meeting subject to the requirements of these Bylaws and the Certificate of Incorporation by the affirmative vote of the holders of a majority of the voting power of all the shares of capital stock of the Company then entitled to vote generally in the election of directors, voting together as a single class.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60" w:top="270" w:right="4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AGCO/SPECCO INTELLECTUAL PROPERTY CROSS LICENSE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CORTEVA, INC.,</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AGCO LICENSORS,</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AGCO LICENSEES,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DOWDUPONT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SPECCO LICENSORS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SPECCO LICENSEES</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as of June 1, 2019</w:t>
      </w:r>
    </w:p>
    <w:p>
      <w:pPr>
        <w:sectPr>
          <w:pgSz w:w="11900" w:h="16838" w:orient="portrait"/>
          <w:cols w:equalWidth="0" w:num="1">
            <w:col w:w="10020"/>
          </w:cols>
          <w:pgMar w:left="1440" w:top="121" w:right="4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AGCO/SPECCO INTELLECTUAL PROPERTY CROSS-LICENSE AGREEMENT</w:t>
      </w:r>
    </w:p>
    <w:p>
      <w:pPr>
        <w:spacing w:after="0" w:line="22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This AGCO/SPECCO INTELLECTUAL PROPERTY CROSS-LICENSE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June 1,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among Corteva, Inc., a Delaware corporation (“</w:t>
      </w:r>
      <w:r>
        <w:rPr>
          <w:rFonts w:ascii="Arial" w:cs="Arial" w:eastAsia="Arial" w:hAnsi="Arial"/>
          <w:sz w:val="18"/>
          <w:szCs w:val="18"/>
          <w:u w:val="single" w:color="auto"/>
          <w:color w:val="auto"/>
        </w:rPr>
        <w:t>AgCo</w:t>
      </w:r>
      <w:r>
        <w:rPr>
          <w:rFonts w:ascii="Arial" w:cs="Arial" w:eastAsia="Arial" w:hAnsi="Arial"/>
          <w:sz w:val="18"/>
          <w:szCs w:val="18"/>
          <w:color w:val="auto"/>
        </w:rPr>
        <w:t>”), the AgCo Licensors and the AgCo Licensees, on the one hand, and DowDuPont Inc., a Delaware corporation (“</w:t>
      </w:r>
      <w:r>
        <w:rPr>
          <w:rFonts w:ascii="Arial" w:cs="Arial" w:eastAsia="Arial" w:hAnsi="Arial"/>
          <w:sz w:val="18"/>
          <w:szCs w:val="18"/>
          <w:u w:val="single" w:color="auto"/>
          <w:color w:val="auto"/>
        </w:rPr>
        <w:t>SpecCo</w:t>
      </w:r>
      <w:r>
        <w:rPr>
          <w:rFonts w:ascii="Arial" w:cs="Arial" w:eastAsia="Arial" w:hAnsi="Arial"/>
          <w:sz w:val="18"/>
          <w:szCs w:val="18"/>
          <w:color w:val="auto"/>
        </w:rPr>
        <w:t>”), the SpecCo Licensors and the SpecCo Licensees, on the other hand (each of AgCo and SpecCo, a “</w:t>
      </w:r>
      <w:r>
        <w:rPr>
          <w:rFonts w:ascii="Arial" w:cs="Arial" w:eastAsia="Arial" w:hAnsi="Arial"/>
          <w:sz w:val="18"/>
          <w:szCs w:val="18"/>
          <w:u w:val="single" w:color="auto"/>
          <w:color w:val="auto"/>
        </w:rPr>
        <w:t>Party</w:t>
      </w:r>
      <w:r>
        <w:rPr>
          <w:rFonts w:ascii="Arial" w:cs="Arial" w:eastAsia="Arial" w:hAnsi="Arial"/>
          <w:sz w:val="18"/>
          <w:szCs w:val="18"/>
          <w:color w:val="auto"/>
        </w:rPr>
        <w:t>” and together,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ind w:right="380" w:firstLine="88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AgCo and SpecCo are parties to that certain Separation and Distribution Agreement, dated April 1, 2019 (the “</w:t>
      </w:r>
      <w:r>
        <w:rPr>
          <w:rFonts w:ascii="Arial" w:cs="Arial" w:eastAsia="Arial" w:hAnsi="Arial"/>
          <w:sz w:val="18"/>
          <w:szCs w:val="18"/>
          <w:u w:val="single" w:color="auto"/>
          <w:color w:val="auto"/>
        </w:rPr>
        <w:t>Separation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62" w:lineRule="exact"/>
        <w:rPr>
          <w:sz w:val="20"/>
          <w:szCs w:val="20"/>
          <w:color w:val="auto"/>
        </w:rPr>
      </w:pPr>
    </w:p>
    <w:p>
      <w:pPr>
        <w:ind w:right="240" w:firstLine="88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and following the Effective Time (as defined in the Separation Agreement), each Party and its Affiliates have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Patents, Know-How, Copyrights and Software (each, as defined in the Separation Agreement); and</w:t>
      </w:r>
    </w:p>
    <w:p>
      <w:pPr>
        <w:spacing w:after="0" w:line="162" w:lineRule="exact"/>
        <w:rPr>
          <w:sz w:val="20"/>
          <w:szCs w:val="20"/>
          <w:color w:val="auto"/>
        </w:rPr>
      </w:pPr>
    </w:p>
    <w:p>
      <w:pPr>
        <w:ind w:firstLine="88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Separation Agreement, the SpecCo Licensors wish to grant to the AgCo Licensees, and the AgCo</w:t>
      </w:r>
      <w:r>
        <w:rPr>
          <w:rFonts w:ascii="Arial" w:cs="Arial" w:eastAsia="Arial" w:hAnsi="Arial"/>
          <w:sz w:val="18"/>
          <w:szCs w:val="18"/>
          <w:b w:val="1"/>
          <w:bCs w:val="1"/>
          <w:color w:val="auto"/>
        </w:rPr>
        <w:t xml:space="preserve"> </w:t>
      </w:r>
      <w:r>
        <w:rPr>
          <w:rFonts w:ascii="Arial" w:cs="Arial" w:eastAsia="Arial" w:hAnsi="Arial"/>
          <w:sz w:val="18"/>
          <w:szCs w:val="18"/>
          <w:color w:val="auto"/>
        </w:rPr>
        <w:t>Licensors wish to grant to the SpecCo Licensees, a license and other rights to certain of such Patents, Know-How, Copyrights and Software, in each case as and to the extent set forth herein.</w:t>
      </w:r>
    </w:p>
    <w:p>
      <w:pPr>
        <w:spacing w:after="0" w:line="176" w:lineRule="exact"/>
        <w:rPr>
          <w:sz w:val="20"/>
          <w:szCs w:val="20"/>
          <w:color w:val="auto"/>
        </w:rPr>
      </w:pPr>
    </w:p>
    <w:p>
      <w:pPr>
        <w:ind w:right="20" w:firstLine="88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the mutual agreements, provisions and covenants contained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hereby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AND INTERPRETATION</w:t>
      </w:r>
    </w:p>
    <w:p>
      <w:pPr>
        <w:spacing w:after="0" w:line="211"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As used in this Agreement, the following terms shall have the meanings set forth in this</w:t>
      </w:r>
      <w:r>
        <w:rPr>
          <w:rFonts w:ascii="Arial" w:cs="Arial" w:eastAsia="Arial" w:hAnsi="Arial"/>
          <w:sz w:val="16"/>
          <w:szCs w:val="16"/>
          <w:u w:val="single" w:color="auto"/>
          <w:color w:val="auto"/>
        </w:rPr>
        <w:t xml:space="preserve"> Section 1.1</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that are not defined in this Agreement shall have the meanings set forth in the Separation Agreement.</w:t>
      </w:r>
    </w:p>
    <w:p>
      <w:pPr>
        <w:spacing w:after="0" w:line="211" w:lineRule="exact"/>
        <w:rPr>
          <w:sz w:val="20"/>
          <w:szCs w:val="20"/>
          <w:color w:val="auto"/>
        </w:rPr>
      </w:pPr>
    </w:p>
    <w:p>
      <w:pPr>
        <w:jc w:val="both"/>
        <w:ind w:right="240" w:firstLine="444"/>
        <w:spacing w:after="0" w:line="264" w:lineRule="auto"/>
        <w:tabs>
          <w:tab w:leader="none" w:pos="8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demand, action, claim, cause of action, suit, countersuit, arbitration, inquiry, case, litigation, subpoena, proceeding or investigation (whether civil, criminal or administrative) by or before any court or grand jury, any Governmental Entity or any arbitration or mediation tribunal or authority.</w:t>
      </w:r>
    </w:p>
    <w:p>
      <w:pPr>
        <w:spacing w:after="0" w:line="181" w:lineRule="exact"/>
        <w:rPr>
          <w:rFonts w:ascii="Arial" w:cs="Arial" w:eastAsia="Arial" w:hAnsi="Arial"/>
          <w:sz w:val="18"/>
          <w:szCs w:val="18"/>
          <w:color w:val="auto"/>
        </w:rPr>
      </w:pPr>
    </w:p>
    <w:p>
      <w:pPr>
        <w:ind w:left="880" w:hanging="436"/>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AgCo Field</w:t>
      </w:r>
      <w:r>
        <w:rPr>
          <w:rFonts w:ascii="Arial" w:cs="Arial" w:eastAsia="Arial" w:hAnsi="Arial"/>
          <w:sz w:val="18"/>
          <w:szCs w:val="18"/>
          <w:color w:val="auto"/>
        </w:rPr>
        <w:t>” means the field of the Agriculture Business and natural evolutions thereof.</w:t>
      </w:r>
    </w:p>
    <w:p>
      <w:pPr>
        <w:spacing w:after="0" w:line="225" w:lineRule="exact"/>
        <w:rPr>
          <w:rFonts w:ascii="Arial" w:cs="Arial" w:eastAsia="Arial" w:hAnsi="Arial"/>
          <w:sz w:val="18"/>
          <w:szCs w:val="18"/>
          <w:color w:val="auto"/>
        </w:rPr>
      </w:pPr>
    </w:p>
    <w:p>
      <w:pPr>
        <w:ind w:right="80" w:firstLine="444"/>
        <w:spacing w:after="0" w:line="264" w:lineRule="auto"/>
        <w:tabs>
          <w:tab w:leader="none" w:pos="8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AgCo Licensed Copyrights</w:t>
      </w:r>
      <w:r>
        <w:rPr>
          <w:rFonts w:ascii="Arial" w:cs="Arial" w:eastAsia="Arial" w:hAnsi="Arial"/>
          <w:sz w:val="18"/>
          <w:szCs w:val="18"/>
          <w:color w:val="auto"/>
        </w:rPr>
        <w:t xml:space="preserve">” means any and all Copyrights to the extent Controlled by AgCo or any of its Affiliates, and Used in the Specialty Products Business, as of the Effective Date, including the Copyrights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Notwithstanding the foregoing, AgCo Licensed Copyrights expressly exclude any and all (i) Know-How, (ii) IT Assets and (iii) Excluded IP.</w:t>
      </w:r>
    </w:p>
    <w:p>
      <w:pPr>
        <w:sectPr>
          <w:pgSz w:w="11900" w:h="16838" w:orient="portrait"/>
          <w:cols w:equalWidth="0" w:num="1">
            <w:col w:w="11020"/>
          </w:cols>
          <w:pgMar w:left="440" w:top="270" w:right="439" w:bottom="1440" w:gutter="0" w:footer="0" w:header="0"/>
        </w:sectPr>
      </w:pPr>
    </w:p>
    <w:bookmarkStart w:id="48" w:name="page49"/>
    <w:bookmarkEnd w:id="48"/>
    <w:p>
      <w:pPr>
        <w:ind w:left="840" w:hanging="396"/>
        <w:spacing w:after="0"/>
        <w:tabs>
          <w:tab w:leader="none" w:pos="840" w:val="left"/>
        </w:tabs>
        <w:numPr>
          <w:ilvl w:val="1"/>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AgCo Licensed Engineering Standards</w:t>
      </w:r>
      <w:r>
        <w:rPr>
          <w:rFonts w:ascii="Arial" w:cs="Arial" w:eastAsia="Arial" w:hAnsi="Arial"/>
          <w:sz w:val="16"/>
          <w:szCs w:val="16"/>
          <w:color w:val="auto"/>
        </w:rPr>
        <w:t xml:space="preserve">” means Engineering Standards (including as set forth on </w:t>
      </w:r>
      <w:r>
        <w:rPr>
          <w:rFonts w:ascii="Arial" w:cs="Arial" w:eastAsia="Arial" w:hAnsi="Arial"/>
          <w:sz w:val="16"/>
          <w:szCs w:val="16"/>
          <w:u w:val="single" w:color="auto"/>
          <w:color w:val="auto"/>
        </w:rPr>
        <w:t>Schedule E(i)</w:t>
      </w:r>
      <w:r>
        <w:rPr>
          <w:rFonts w:ascii="Arial" w:cs="Arial" w:eastAsia="Arial" w:hAnsi="Arial"/>
          <w:sz w:val="16"/>
          <w:szCs w:val="16"/>
          <w:color w:val="auto"/>
        </w:rPr>
        <w:t>), each, to the extent both</w:t>
      </w:r>
    </w:p>
    <w:p>
      <w:pPr>
        <w:spacing w:after="0" w:line="46" w:lineRule="exact"/>
        <w:rPr>
          <w:rFonts w:ascii="Arial" w:cs="Arial" w:eastAsia="Arial" w:hAnsi="Arial"/>
          <w:sz w:val="16"/>
          <w:szCs w:val="16"/>
          <w:color w:val="auto"/>
        </w:rPr>
      </w:pPr>
    </w:p>
    <w:p>
      <w:pPr>
        <w:ind w:right="60" w:firstLine="4"/>
        <w:spacing w:after="0" w:line="253" w:lineRule="auto"/>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owned by AgCo or any of its Affiliates, or with respect to which AgCo or any of its Affiliates has the right to grant the license or other rights granted to SpecCo hereunder without payment obligations to any Third Party, as of the Effective Date and (ii) that is actually used by SpecCo or its Affiliates in the conduct of the Specialty Products Business as of the Effective Date. Notwithstanding the foregoing, the AgCo Licensed Engineering Standards shall expressly exclude (i) Regulatory Data, (ii) Government Approvals, (iii) CRISPR Technology, (iv) TMODS IP, (v) Trademarks, and (vi) the Intellectual Property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840" w:hanging="396"/>
        <w:spacing w:after="0"/>
        <w:tabs>
          <w:tab w:leader="none" w:pos="8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AgCo Licensed IP</w:t>
      </w:r>
      <w:r>
        <w:rPr>
          <w:rFonts w:ascii="Arial" w:cs="Arial" w:eastAsia="Arial" w:hAnsi="Arial"/>
          <w:sz w:val="18"/>
          <w:szCs w:val="18"/>
          <w:color w:val="auto"/>
        </w:rPr>
        <w:t>” means the AgCo Licensed Patents, AgCo Licensed Know-How, and AgCo Licensed Copyrights.</w:t>
      </w:r>
    </w:p>
    <w:p>
      <w:pPr>
        <w:spacing w:after="0" w:line="225" w:lineRule="exact"/>
        <w:rPr>
          <w:rFonts w:ascii="Arial" w:cs="Arial" w:eastAsia="Arial" w:hAnsi="Arial"/>
          <w:sz w:val="18"/>
          <w:szCs w:val="18"/>
          <w:color w:val="auto"/>
        </w:rPr>
      </w:pPr>
    </w:p>
    <w:p>
      <w:pPr>
        <w:ind w:right="20" w:firstLine="444"/>
        <w:spacing w:after="0" w:line="264" w:lineRule="auto"/>
        <w:tabs>
          <w:tab w:leader="none" w:pos="831"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AgCo Licensed Know-How</w:t>
      </w:r>
      <w:r>
        <w:rPr>
          <w:rFonts w:ascii="Arial" w:cs="Arial" w:eastAsia="Arial" w:hAnsi="Arial"/>
          <w:sz w:val="18"/>
          <w:szCs w:val="18"/>
          <w:color w:val="auto"/>
        </w:rPr>
        <w:t xml:space="preserve">” means any and all Know-How to the extent Controlled by AgCo or any of its Affiliates, and Used in the Specialty Products Business, as of the Effective Date, including the Know-How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Notwithstanding the foregoing, AgCo Licensed Know-How expressly excludes any and all (i) IT Assets and (ii) Excluded IP.</w:t>
      </w:r>
    </w:p>
    <w:p>
      <w:pPr>
        <w:spacing w:after="0" w:line="181" w:lineRule="exact"/>
        <w:rPr>
          <w:rFonts w:ascii="Arial" w:cs="Arial" w:eastAsia="Arial" w:hAnsi="Arial"/>
          <w:sz w:val="18"/>
          <w:szCs w:val="18"/>
          <w:color w:val="auto"/>
        </w:rPr>
      </w:pPr>
    </w:p>
    <w:p>
      <w:pPr>
        <w:ind w:firstLine="444"/>
        <w:spacing w:after="0" w:line="255" w:lineRule="auto"/>
        <w:tabs>
          <w:tab w:leader="none" w:pos="831"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AgCo Licensed Patents</w:t>
      </w:r>
      <w:r>
        <w:rPr>
          <w:rFonts w:ascii="Arial" w:cs="Arial" w:eastAsia="Arial" w:hAnsi="Arial"/>
          <w:sz w:val="18"/>
          <w:szCs w:val="18"/>
          <w:color w:val="auto"/>
        </w:rPr>
        <w:t xml:space="preserve">” means any and all (i) Patents set forth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to the extent Controlled by AgCo or any of its Affiliates as of the Effective Date, (ii) Patents to the extent such Patents Cover any AgCo Licensed Know-How and are Controlled by AgCo or any of its Affiliates following the Effective Date and (iii) to the extent Controlled by AgCo or any of its Affiliates as of or following the Effective Date, continuations, divisionals, renewals, continuations-in-part, patents of addition, restorations, extensions, supplementary protection certificates, reissues and re-examinations of, and all other Patents that claim priority to, any Patents described in either of the foregoing subsections (i) or (ii), and foreign equivalents thereof, in each case to the extent the claims are supported by any Patents described in either of the foregoing subsections (i) or (ii) (but in all cases expressly excluding any and all Excluded IP).</w:t>
      </w:r>
    </w:p>
    <w:p>
      <w:pPr>
        <w:spacing w:after="0" w:line="189" w:lineRule="exact"/>
        <w:rPr>
          <w:rFonts w:ascii="Arial" w:cs="Arial" w:eastAsia="Arial" w:hAnsi="Arial"/>
          <w:sz w:val="18"/>
          <w:szCs w:val="18"/>
          <w:color w:val="auto"/>
        </w:rPr>
      </w:pPr>
    </w:p>
    <w:p>
      <w:pPr>
        <w:ind w:right="40" w:firstLine="444"/>
        <w:spacing w:after="0" w:line="285" w:lineRule="auto"/>
        <w:tabs>
          <w:tab w:leader="none" w:pos="831" w:val="left"/>
        </w:tabs>
        <w:numPr>
          <w:ilvl w:val="1"/>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AgCo Licensed SHE Standards</w:t>
      </w:r>
      <w:r>
        <w:rPr>
          <w:rFonts w:ascii="Arial" w:cs="Arial" w:eastAsia="Arial" w:hAnsi="Arial"/>
          <w:sz w:val="16"/>
          <w:szCs w:val="16"/>
          <w:color w:val="auto"/>
        </w:rPr>
        <w:t xml:space="preserve">” means the DuPont Safety, Health, and Environmental Standards (including as set forth on </w:t>
      </w:r>
      <w:r>
        <w:rPr>
          <w:rFonts w:ascii="Arial" w:cs="Arial" w:eastAsia="Arial" w:hAnsi="Arial"/>
          <w:sz w:val="16"/>
          <w:szCs w:val="16"/>
          <w:u w:val="single" w:color="auto"/>
          <w:color w:val="auto"/>
        </w:rPr>
        <w:t>Schedule E(ii)</w:t>
      </w:r>
      <w:r>
        <w:rPr>
          <w:rFonts w:ascii="Arial" w:cs="Arial" w:eastAsia="Arial" w:hAnsi="Arial"/>
          <w:sz w:val="16"/>
          <w:szCs w:val="16"/>
          <w:color w:val="auto"/>
        </w:rPr>
        <w:t>), each, to the extent both (i) owned by AgCo or any of its Affiliates, or with respect to which AgCo or any of its Affiliates has the right to grant the license or other rights granted to SpecCo hereunder without payment obligations to any Third Party, as of the Effective Date and (ii) that is actually used by SpecCo or its Affiliates in the conduct of the Specialty Products Business as of the Effective Date. Notwithstanding the foregoing, the AgCo Licensed SHE Standards shall expressly exclude (i) Regulatory Data, (ii) Government Approvals, (iii) CRISPR Technology, (iv) TMODS IP,</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Trademarks, and (vi) the Intellectual Property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840" w:hanging="396"/>
        <w:spacing w:after="0"/>
        <w:tabs>
          <w:tab w:leader="none" w:pos="8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AgCo Licensed Standards</w:t>
      </w:r>
      <w:r>
        <w:rPr>
          <w:rFonts w:ascii="Arial" w:cs="Arial" w:eastAsia="Arial" w:hAnsi="Arial"/>
          <w:sz w:val="18"/>
          <w:szCs w:val="18"/>
          <w:color w:val="auto"/>
        </w:rPr>
        <w:t>” means the AgCo Licensed SHE Standards and the AgCo Licensed Engineering Standards</w:t>
      </w:r>
    </w:p>
    <w:p>
      <w:pPr>
        <w:spacing w:after="0" w:line="225" w:lineRule="exact"/>
        <w:rPr>
          <w:rFonts w:ascii="Arial" w:cs="Arial" w:eastAsia="Arial" w:hAnsi="Arial"/>
          <w:sz w:val="18"/>
          <w:szCs w:val="18"/>
          <w:color w:val="auto"/>
        </w:rPr>
      </w:pPr>
    </w:p>
    <w:p>
      <w:pPr>
        <w:ind w:left="920" w:hanging="476"/>
        <w:spacing w:after="0"/>
        <w:tabs>
          <w:tab w:leader="none" w:pos="9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AgCo Licensees</w:t>
      </w:r>
      <w:r>
        <w:rPr>
          <w:rFonts w:ascii="Arial" w:cs="Arial" w:eastAsia="Arial" w:hAnsi="Arial"/>
          <w:sz w:val="16"/>
          <w:szCs w:val="16"/>
          <w:color w:val="auto"/>
        </w:rPr>
        <w:t>” means (a) Pioneer Hi-Bred International, Inc., with respect to the licenses granted hereunder by PM Taiwan, Inc., and</w:t>
      </w:r>
    </w:p>
    <w:p>
      <w:pPr>
        <w:spacing w:after="0" w:line="46" w:lineRule="exact"/>
        <w:rPr>
          <w:rFonts w:ascii="Arial" w:cs="Arial" w:eastAsia="Arial" w:hAnsi="Arial"/>
          <w:sz w:val="16"/>
          <w:szCs w:val="16"/>
          <w:color w:val="auto"/>
        </w:rPr>
      </w:pPr>
    </w:p>
    <w:p>
      <w:pPr>
        <w:ind w:right="580" w:firstLine="4"/>
        <w:spacing w:after="0" w:line="261"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E.I. du Pont de Nemours and Company, with respect to the licenses granted hereunder by SP Holding IB, Inc., Specialty Products N&amp;H, Inc., DuPont Electronics, Inc., DuPont Safety &amp; Construction, Inc., and DuPont Polymers, Inc.</w:t>
      </w:r>
    </w:p>
    <w:p>
      <w:pPr>
        <w:spacing w:after="0" w:line="183" w:lineRule="exact"/>
        <w:rPr>
          <w:rFonts w:ascii="Arial" w:cs="Arial" w:eastAsia="Arial" w:hAnsi="Arial"/>
          <w:sz w:val="18"/>
          <w:szCs w:val="18"/>
          <w:color w:val="auto"/>
        </w:rPr>
      </w:pPr>
    </w:p>
    <w:p>
      <w:pPr>
        <w:ind w:left="920" w:hanging="476"/>
        <w:spacing w:after="0"/>
        <w:tabs>
          <w:tab w:leader="none" w:pos="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AgCo Licensors</w:t>
      </w:r>
      <w:r>
        <w:rPr>
          <w:rFonts w:ascii="Arial" w:cs="Arial" w:eastAsia="Arial" w:hAnsi="Arial"/>
          <w:sz w:val="18"/>
          <w:szCs w:val="18"/>
          <w:color w:val="auto"/>
        </w:rPr>
        <w:t>” means Pioneer Hi-Bred International, Inc. and E.I. du Pont de Nemours and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9" w:name="page50"/>
    <w:bookmarkEnd w:id="49"/>
    <w:p>
      <w:pPr>
        <w:ind w:left="-4" w:right="500" w:firstLine="444"/>
        <w:spacing w:after="0" w:line="342" w:lineRule="auto"/>
        <w:tabs>
          <w:tab w:leader="none" w:pos="917" w:val="left"/>
        </w:tabs>
        <w:numPr>
          <w:ilvl w:val="1"/>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Authorized User</w:t>
      </w:r>
      <w:r>
        <w:rPr>
          <w:rFonts w:ascii="Arial" w:cs="Arial" w:eastAsia="Arial" w:hAnsi="Arial"/>
          <w:sz w:val="16"/>
          <w:szCs w:val="16"/>
          <w:color w:val="auto"/>
        </w:rPr>
        <w:t xml:space="preserve">” means a Party and its Affiliates, including, for clarity, any Person that becomes an Affiliate of such Party after the Effective Date (but, 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only for so long as such Person remains an Affiliate of such Party) and its and their Personnel.</w:t>
      </w:r>
    </w:p>
    <w:p>
      <w:pPr>
        <w:spacing w:after="0" w:line="123" w:lineRule="exact"/>
        <w:rPr>
          <w:rFonts w:ascii="Arial" w:cs="Arial" w:eastAsia="Arial" w:hAnsi="Arial"/>
          <w:sz w:val="16"/>
          <w:szCs w:val="16"/>
          <w:color w:val="auto"/>
        </w:rPr>
      </w:pPr>
    </w:p>
    <w:p>
      <w:pPr>
        <w:ind w:left="-4" w:right="160" w:firstLine="444"/>
        <w:spacing w:after="0" w:line="288" w:lineRule="auto"/>
        <w:tabs>
          <w:tab w:leader="none" w:pos="917" w:val="left"/>
        </w:tabs>
        <w:numPr>
          <w:ilvl w:val="1"/>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Software</w:t>
      </w:r>
      <w:r>
        <w:rPr>
          <w:rFonts w:ascii="Arial" w:cs="Arial" w:eastAsia="Arial" w:hAnsi="Arial"/>
          <w:sz w:val="16"/>
          <w:szCs w:val="16"/>
          <w:color w:val="auto"/>
        </w:rPr>
        <w:t xml:space="preserve">” means with respect to a Licensor, all Software to the extent Controlled by such Licensor or any of its Affiliates as of the Effective Date, which Software is reasonably required as of the Effective Date for the conduct of (i) the Agriculture Business if the Licensee is AgCo, including as listed on section (i) of </w:t>
      </w:r>
      <w:r>
        <w:rPr>
          <w:rFonts w:ascii="Arial" w:cs="Arial" w:eastAsia="Arial" w:hAnsi="Arial"/>
          <w:sz w:val="16"/>
          <w:szCs w:val="16"/>
          <w:u w:val="single" w:color="auto"/>
          <w:color w:val="auto"/>
        </w:rPr>
        <w:t>Schedule I</w:t>
      </w:r>
      <w:r>
        <w:rPr>
          <w:rFonts w:ascii="Arial" w:cs="Arial" w:eastAsia="Arial" w:hAnsi="Arial"/>
          <w:sz w:val="16"/>
          <w:szCs w:val="16"/>
          <w:color w:val="auto"/>
        </w:rPr>
        <w:t>, or (ii) the Specialty Products Business if the Licensee is SpecCo, including as listed on section</w:t>
      </w:r>
    </w:p>
    <w:p>
      <w:pPr>
        <w:ind w:left="-4" w:firstLine="4"/>
        <w:spacing w:after="0" w:line="255" w:lineRule="auto"/>
        <w:tabs>
          <w:tab w:leader="none" w:pos="2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Schedule I</w:t>
      </w:r>
      <w:r>
        <w:rPr>
          <w:rFonts w:ascii="Arial" w:cs="Arial" w:eastAsia="Arial" w:hAnsi="Arial"/>
          <w:sz w:val="18"/>
          <w:szCs w:val="18"/>
          <w:color w:val="auto"/>
        </w:rPr>
        <w:t>, in each case (in respect of the foregoing (i) and (ii)), only if and to the extent such Licensee and its Affiliates have not been granted a license or other rights to use such Software under the Separation Agreement or any other Ancillary Agreement. Notwithstanding the foregoing, Business Software expressly excludes any and all Excluded IP.</w:t>
      </w:r>
    </w:p>
    <w:p>
      <w:pPr>
        <w:spacing w:after="0" w:line="190" w:lineRule="exact"/>
        <w:rPr>
          <w:rFonts w:ascii="Arial" w:cs="Arial" w:eastAsia="Arial" w:hAnsi="Arial"/>
          <w:sz w:val="18"/>
          <w:szCs w:val="18"/>
          <w:color w:val="auto"/>
        </w:rPr>
      </w:pPr>
    </w:p>
    <w:p>
      <w:pPr>
        <w:ind w:left="916" w:hanging="476"/>
        <w:spacing w:after="0"/>
        <w:tabs>
          <w:tab w:leader="none" w:pos="916"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have the meaning provided to it in the Umbrella Secrecy Agreement.</w:t>
      </w:r>
    </w:p>
    <w:p>
      <w:pPr>
        <w:spacing w:after="0" w:line="225" w:lineRule="exact"/>
        <w:rPr>
          <w:rFonts w:ascii="Arial" w:cs="Arial" w:eastAsia="Arial" w:hAnsi="Arial"/>
          <w:sz w:val="18"/>
          <w:szCs w:val="18"/>
          <w:color w:val="auto"/>
        </w:rPr>
      </w:pPr>
    </w:p>
    <w:p>
      <w:pPr>
        <w:ind w:left="-4" w:right="560" w:firstLine="444"/>
        <w:spacing w:after="0" w:line="264" w:lineRule="auto"/>
        <w:tabs>
          <w:tab w:leader="none" w:pos="9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w:t>
      </w:r>
    </w:p>
    <w:p>
      <w:pPr>
        <w:spacing w:after="0" w:line="181" w:lineRule="exact"/>
        <w:rPr>
          <w:rFonts w:ascii="Arial" w:cs="Arial" w:eastAsia="Arial" w:hAnsi="Arial"/>
          <w:sz w:val="18"/>
          <w:szCs w:val="18"/>
          <w:color w:val="auto"/>
        </w:rPr>
      </w:pPr>
    </w:p>
    <w:p>
      <w:pPr>
        <w:ind w:left="-4" w:right="300" w:firstLine="444"/>
        <w:spacing w:after="0" w:line="257" w:lineRule="auto"/>
        <w:tabs>
          <w:tab w:leader="none" w:pos="9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any Patent, Know-How, Copyright or Software, (a) such Intellectual Property is owned by the applicable Party or any of its Affiliates and (b) such Party or any of its Affiliates has the ability to grant a license or other rights in, to or under such Patent, Know-How, Copyright or Software (respectively) on the terms and conditions set forth herein (other than pursuant to a license or other rights granted pursuant to this Agreement) without violating any Contract entered into as of or prior to the Effective Date between such Party or any of its Affiliates, on the one hand, and any Third Party, on the other hand.</w:t>
      </w:r>
    </w:p>
    <w:p>
      <w:pPr>
        <w:spacing w:after="0" w:line="188" w:lineRule="exact"/>
        <w:rPr>
          <w:rFonts w:ascii="Arial" w:cs="Arial" w:eastAsia="Arial" w:hAnsi="Arial"/>
          <w:sz w:val="18"/>
          <w:szCs w:val="18"/>
          <w:color w:val="auto"/>
        </w:rPr>
      </w:pPr>
    </w:p>
    <w:p>
      <w:pPr>
        <w:ind w:left="-4" w:right="40" w:firstLine="444"/>
        <w:spacing w:after="0" w:line="293" w:lineRule="auto"/>
        <w:tabs>
          <w:tab w:leader="none" w:pos="917"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w:t>
      </w:r>
      <w:r>
        <w:rPr>
          <w:rFonts w:ascii="Arial" w:cs="Arial" w:eastAsia="Arial" w:hAnsi="Arial"/>
          <w:sz w:val="16"/>
          <w:szCs w:val="16"/>
          <w:color w:val="auto"/>
        </w:rPr>
        <w:t>” means, with respect to any Patent, in the absence of a license granted under an unexpired claim that has not been adjudicated to be invalid or unenforceable by a final, binding decision of a court or other Governmental Entity of competent jurisdiction that is unappealable or unappealed within the time permitted for appeal of such Patent (or if such Patent is a patent application, a claim in such patent application if such patent application were to issue as a patent), the practice of the applicable invention or technology, or performance of the applicable process, would infringe such claim. For clarity, and by way of example, an issued Patent Covers a product if, in the absence of a license granted under such a claim of such Patent, making, using, selling, offering for sale, importing or exporting such product infringes such claim.</w:t>
      </w:r>
    </w:p>
    <w:p>
      <w:pPr>
        <w:spacing w:after="0" w:line="164" w:lineRule="exact"/>
        <w:rPr>
          <w:rFonts w:ascii="Arial" w:cs="Arial" w:eastAsia="Arial" w:hAnsi="Arial"/>
          <w:sz w:val="16"/>
          <w:szCs w:val="16"/>
          <w:color w:val="auto"/>
        </w:rPr>
      </w:pPr>
    </w:p>
    <w:p>
      <w:pPr>
        <w:jc w:val="both"/>
        <w:ind w:left="-4" w:right="260" w:firstLine="444"/>
        <w:spacing w:after="0" w:line="259" w:lineRule="auto"/>
        <w:tabs>
          <w:tab w:leader="none" w:pos="9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CRISPR Technology</w:t>
      </w:r>
      <w:r>
        <w:rPr>
          <w:rFonts w:ascii="Arial" w:cs="Arial" w:eastAsia="Arial" w:hAnsi="Arial"/>
          <w:sz w:val="18"/>
          <w:szCs w:val="18"/>
          <w:color w:val="auto"/>
        </w:rPr>
        <w:t>” means Intellectual Property, Confidential Information and any other Information relating to CRISPRs (Clustered Regularly Interspaced Short Palindromic Repeats) in a nucleic acid and CRISPR-associated proteins (“</w:t>
      </w:r>
      <w:r>
        <w:rPr>
          <w:rFonts w:ascii="Arial" w:cs="Arial" w:eastAsia="Arial" w:hAnsi="Arial"/>
          <w:sz w:val="18"/>
          <w:szCs w:val="18"/>
          <w:u w:val="single" w:color="auto"/>
          <w:color w:val="auto"/>
        </w:rPr>
        <w:t>Cas</w:t>
      </w:r>
      <w:r>
        <w:rPr>
          <w:rFonts w:ascii="Arial" w:cs="Arial" w:eastAsia="Arial" w:hAnsi="Arial"/>
          <w:sz w:val="18"/>
          <w:szCs w:val="18"/>
          <w:color w:val="auto"/>
        </w:rPr>
        <w:t>”) (including Cas9 and other RNA-guided nucleases and other proteins associated with or having a function related to CRISPRs), and applications involving the recognition or function of CRISPRs or Cas proteins.</w:t>
      </w:r>
    </w:p>
    <w:p>
      <w:pPr>
        <w:spacing w:after="0" w:line="186" w:lineRule="exact"/>
        <w:rPr>
          <w:rFonts w:ascii="Arial" w:cs="Arial" w:eastAsia="Arial" w:hAnsi="Arial"/>
          <w:sz w:val="18"/>
          <w:szCs w:val="18"/>
          <w:color w:val="auto"/>
        </w:rPr>
      </w:pPr>
    </w:p>
    <w:p>
      <w:pPr>
        <w:ind w:left="-4" w:right="40" w:firstLine="444"/>
        <w:spacing w:after="0" w:line="286" w:lineRule="auto"/>
        <w:tabs>
          <w:tab w:leader="none" w:pos="917" w:val="left"/>
        </w:tabs>
        <w:numPr>
          <w:ilvl w:val="1"/>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Engineering Models and Databases</w:t>
      </w:r>
      <w:r>
        <w:rPr>
          <w:rFonts w:ascii="Arial" w:cs="Arial" w:eastAsia="Arial" w:hAnsi="Arial"/>
          <w:sz w:val="17"/>
          <w:szCs w:val="17"/>
          <w:color w:val="auto"/>
        </w:rPr>
        <w:t>” means (a) physical property databases, (b) empirical or mathematical dynamic or steady state models of processes, equipment and/or reactions and databases containing data resulting from such models, (c) computations of equipment or unit operation operating conditions including predictive or operational behavior and (d) databases with historical operational data.</w:t>
      </w:r>
    </w:p>
    <w:p>
      <w:pPr>
        <w:spacing w:after="0" w:line="9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96"/>
          </w:cols>
          <w:pgMar w:left="444" w:top="274" w:right="459" w:bottom="1440" w:gutter="0" w:footer="0" w:header="0"/>
        </w:sectPr>
      </w:pPr>
    </w:p>
    <w:bookmarkStart w:id="50" w:name="page51"/>
    <w:bookmarkEnd w:id="50"/>
    <w:p>
      <w:pPr>
        <w:ind w:left="-4" w:right="100" w:firstLine="444"/>
        <w:spacing w:after="0" w:line="277" w:lineRule="auto"/>
        <w:tabs>
          <w:tab w:leader="none" w:pos="917"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Engineering Standards</w:t>
      </w:r>
      <w:r>
        <w:rPr>
          <w:rFonts w:ascii="Arial" w:cs="Arial" w:eastAsia="Arial" w:hAnsi="Arial"/>
          <w:sz w:val="18"/>
          <w:szCs w:val="18"/>
          <w:color w:val="auto"/>
        </w:rPr>
        <w:t>” means standards, protocols, processes and policies, including engineering guidelines, for designing, constructing, maintaining and operating facilities.</w:t>
      </w:r>
    </w:p>
    <w:p>
      <w:pPr>
        <w:spacing w:after="0" w:line="170" w:lineRule="exact"/>
        <w:rPr>
          <w:rFonts w:ascii="Arial" w:cs="Arial" w:eastAsia="Arial" w:hAnsi="Arial"/>
          <w:sz w:val="18"/>
          <w:szCs w:val="18"/>
          <w:color w:val="auto"/>
        </w:rPr>
      </w:pPr>
    </w:p>
    <w:p>
      <w:pPr>
        <w:ind w:left="-4" w:firstLine="444"/>
        <w:spacing w:after="0" w:line="284" w:lineRule="auto"/>
        <w:tabs>
          <w:tab w:leader="none" w:pos="917" w:val="left"/>
        </w:tabs>
        <w:numPr>
          <w:ilvl w:val="1"/>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IP</w:t>
      </w:r>
      <w:r>
        <w:rPr>
          <w:rFonts w:ascii="Arial" w:cs="Arial" w:eastAsia="Arial" w:hAnsi="Arial"/>
          <w:sz w:val="16"/>
          <w:szCs w:val="16"/>
          <w:color w:val="auto"/>
        </w:rPr>
        <w:t>” means (i) DuPont Safety, Health and Environmental Standards (including AgCo Licensed SHE Standards and SpecCo Licensed SHE Standards), (ii) Engineering Standards (including the AgCo Licensed Engineering Standards and SpecCo Licensed Engineering Standards), (iii) Regulatory Data, (iv) Government Approvals, (v) CRISPR Technology, (vi) the TMODS Systems (as that term is defined in the TMODS License Agreement) (including object code and source code thereof), together with all process operator training simulator data files which contain process and control information for simulating the operation of plants, and all documentation therefor (“</w:t>
      </w:r>
      <w:r>
        <w:rPr>
          <w:rFonts w:ascii="Arial" w:cs="Arial" w:eastAsia="Arial" w:hAnsi="Arial"/>
          <w:sz w:val="16"/>
          <w:szCs w:val="16"/>
          <w:u w:val="single" w:color="auto"/>
          <w:color w:val="auto"/>
        </w:rPr>
        <w:t>TMODS IP</w:t>
      </w:r>
      <w:r>
        <w:rPr>
          <w:rFonts w:ascii="Arial" w:cs="Arial" w:eastAsia="Arial" w:hAnsi="Arial"/>
          <w:sz w:val="16"/>
          <w:szCs w:val="16"/>
          <w:color w:val="auto"/>
        </w:rPr>
        <w:t>”), (vii) microbial production strain microorganisms that are Covered by Patents, or incorporate or are produced using Know-How, owned by a Party and its Affiliates,</w:t>
      </w:r>
    </w:p>
    <w:p>
      <w:pPr>
        <w:spacing w:after="0" w:line="4" w:lineRule="exact"/>
        <w:rPr>
          <w:rFonts w:ascii="Arial" w:cs="Arial" w:eastAsia="Arial" w:hAnsi="Arial"/>
          <w:sz w:val="16"/>
          <w:szCs w:val="16"/>
          <w:color w:val="auto"/>
        </w:rPr>
      </w:pPr>
    </w:p>
    <w:p>
      <w:pPr>
        <w:ind w:left="396" w:hanging="396"/>
        <w:spacing w:after="0"/>
        <w:tabs>
          <w:tab w:leader="none" w:pos="3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Trademarks and (ix) the Intellectual Property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4" w:right="100" w:firstLine="444"/>
        <w:spacing w:after="0" w:line="277" w:lineRule="auto"/>
        <w:tabs>
          <w:tab w:leader="none" w:pos="9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the consents, registrations, approvals, licenses, permits, notifications or authorizations obtained or to be obtained from, any Governmental Entity.</w:t>
      </w:r>
    </w:p>
    <w:p>
      <w:pPr>
        <w:spacing w:after="0" w:line="170" w:lineRule="exact"/>
        <w:rPr>
          <w:rFonts w:ascii="Arial" w:cs="Arial" w:eastAsia="Arial" w:hAnsi="Arial"/>
          <w:sz w:val="18"/>
          <w:szCs w:val="18"/>
          <w:color w:val="auto"/>
        </w:rPr>
      </w:pPr>
    </w:p>
    <w:p>
      <w:pPr>
        <w:ind w:left="-4" w:right="80" w:firstLine="444"/>
        <w:spacing w:after="0" w:line="286" w:lineRule="auto"/>
        <w:tabs>
          <w:tab w:leader="none" w:pos="917" w:val="left"/>
        </w:tabs>
        <w:numPr>
          <w:ilvl w:val="1"/>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Entity</w:t>
      </w:r>
      <w:r>
        <w:rPr>
          <w:rFonts w:ascii="Arial" w:cs="Arial" w:eastAsia="Arial" w:hAnsi="Arial"/>
          <w:sz w:val="17"/>
          <w:szCs w:val="17"/>
          <w:color w:val="auto"/>
        </w:rPr>
        <w:t>” means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w:t>
      </w:r>
    </w:p>
    <w:p>
      <w:pPr>
        <w:spacing w:after="0" w:line="165" w:lineRule="exact"/>
        <w:rPr>
          <w:rFonts w:ascii="Arial" w:cs="Arial" w:eastAsia="Arial" w:hAnsi="Arial"/>
          <w:sz w:val="17"/>
          <w:szCs w:val="17"/>
          <w:color w:val="auto"/>
        </w:rPr>
      </w:pPr>
    </w:p>
    <w:p>
      <w:pPr>
        <w:ind w:left="916" w:hanging="476"/>
        <w:spacing w:after="0"/>
        <w:tabs>
          <w:tab w:leader="none" w:pos="916"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16" w:hanging="476"/>
        <w:spacing w:after="0"/>
        <w:tabs>
          <w:tab w:leader="none" w:pos="916"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16" w:hanging="476"/>
        <w:spacing w:after="0"/>
        <w:tabs>
          <w:tab w:leader="none" w:pos="916"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16" w:hanging="476"/>
        <w:spacing w:after="0"/>
        <w:tabs>
          <w:tab w:leader="none" w:pos="916" w:val="left"/>
        </w:tabs>
        <w:numPr>
          <w:ilvl w:val="1"/>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intellectual property and industrial property rights of any kind or nature, including all U.S. and foreign</w:t>
      </w:r>
    </w:p>
    <w:p>
      <w:pPr>
        <w:spacing w:after="0" w:line="35" w:lineRule="exact"/>
        <w:rPr>
          <w:sz w:val="20"/>
          <w:szCs w:val="20"/>
          <w:color w:val="auto"/>
        </w:rPr>
      </w:pPr>
    </w:p>
    <w:p>
      <w:pPr>
        <w:ind w:left="-4" w:firstLine="4"/>
        <w:spacing w:after="0" w:line="281" w:lineRule="auto"/>
        <w:tabs>
          <w:tab w:leader="none" w:pos="211" w:val="left"/>
        </w:tabs>
        <w:numPr>
          <w:ilvl w:val="0"/>
          <w:numId w:val="50"/>
        </w:numPr>
        <w:rPr>
          <w:rFonts w:ascii="Arial" w:cs="Arial" w:eastAsia="Arial" w:hAnsi="Arial"/>
          <w:sz w:val="16"/>
          <w:szCs w:val="16"/>
          <w:color w:val="auto"/>
        </w:rPr>
      </w:pPr>
      <w:r>
        <w:rPr>
          <w:rFonts w:ascii="Arial" w:cs="Arial" w:eastAsia="Arial" w:hAnsi="Arial"/>
          <w:sz w:val="16"/>
          <w:szCs w:val="16"/>
          <w:color w:val="auto"/>
        </w:rPr>
        <w:t>patents, patent applications, and all related continuations, continuations-in-part, divisionals, reissues, re-examinations, substitutions, priority rights and extensions thereof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(ii) trademarks, service marks, corporate names, trade names, Internet domain names, social media accounts or handles, logos, slogans, trade dress and other similar designations of source or origin, together with the goodwill symbolized by any of the foregoing (collectively, “</w:t>
      </w:r>
      <w:r>
        <w:rPr>
          <w:rFonts w:ascii="Arial" w:cs="Arial" w:eastAsia="Arial" w:hAnsi="Arial"/>
          <w:sz w:val="16"/>
          <w:szCs w:val="16"/>
          <w:u w:val="single" w:color="auto"/>
          <w:color w:val="auto"/>
        </w:rPr>
        <w:t>Trademarks</w:t>
      </w:r>
      <w:r>
        <w:rPr>
          <w:rFonts w:ascii="Arial" w:cs="Arial" w:eastAsia="Arial" w:hAnsi="Arial"/>
          <w:sz w:val="16"/>
          <w:szCs w:val="16"/>
          <w:color w:val="auto"/>
        </w:rPr>
        <w:t>”), (iii) copyrights and copyrightable subject matter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(iv) rights of privacy and publicity,</w:t>
      </w:r>
    </w:p>
    <w:p>
      <w:pPr>
        <w:spacing w:after="0" w:line="2" w:lineRule="exact"/>
        <w:rPr>
          <w:rFonts w:ascii="Arial" w:cs="Arial" w:eastAsia="Arial" w:hAnsi="Arial"/>
          <w:sz w:val="16"/>
          <w:szCs w:val="16"/>
          <w:color w:val="auto"/>
        </w:rPr>
      </w:pPr>
    </w:p>
    <w:p>
      <w:pPr>
        <w:ind w:left="-4" w:right="180" w:firstLine="4"/>
        <w:spacing w:after="0" w:line="252" w:lineRule="auto"/>
        <w:tabs>
          <w:tab w:leader="none" w:pos="2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moral rights and rights of attribution and integrity, (vi) trade secrets and rights in all other confidential and proprietary information, including know-how, inventions (including, for the avoidance of doubt, notices of invention and invention disclosures for which a Patent has not been filed as of the Effective Date (</w:t>
      </w:r>
      <w:r>
        <w:rPr>
          <w:rFonts w:ascii="Arial" w:cs="Arial" w:eastAsia="Arial" w:hAnsi="Arial"/>
          <w:sz w:val="18"/>
          <w:szCs w:val="18"/>
          <w:i w:val="1"/>
          <w:iCs w:val="1"/>
          <w:color w:val="auto"/>
        </w:rPr>
        <w:t>e.g.</w:t>
      </w:r>
      <w:r>
        <w:rPr>
          <w:rFonts w:ascii="Arial" w:cs="Arial" w:eastAsia="Arial" w:hAnsi="Arial"/>
          <w:sz w:val="18"/>
          <w:szCs w:val="18"/>
          <w:color w:val="auto"/>
        </w:rPr>
        <w:t>, NOIs and ICDs, as such terms are understood and used by the Parties as of the Effective Date)), algorithms, logic, standard operating conditions and procedures, proprietary processes, formulae, data, databases and other compilations of data, drawings, models and methodologies, including confidential information set forth in laboratory notebooks, laboratory reports, Plant Operating Documents, and Engineering Models and</w:t>
      </w:r>
    </w:p>
    <w:p>
      <w:pPr>
        <w:spacing w:after="0" w:line="12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6"/>
          </w:cols>
          <w:pgMar w:left="444" w:top="274" w:right="439" w:bottom="1440" w:gutter="0" w:footer="0" w:header="0"/>
        </w:sectPr>
      </w:pPr>
    </w:p>
    <w:bookmarkStart w:id="51" w:name="page52"/>
    <w:bookmarkEnd w:id="5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Databases (except to the extent such information is Covered by any Patents), in each case of the foregoing, to the extent confidential and proprietary (collectively “</w:t>
      </w:r>
      <w:r>
        <w:rPr>
          <w:rFonts w:ascii="Arial" w:cs="Arial" w:eastAsia="Arial" w:hAnsi="Arial"/>
          <w:sz w:val="18"/>
          <w:szCs w:val="18"/>
          <w:u w:val="single" w:color="auto"/>
          <w:color w:val="auto"/>
        </w:rPr>
        <w:t>Know-How</w:t>
      </w:r>
      <w:r>
        <w:rPr>
          <w:rFonts w:ascii="Arial" w:cs="Arial" w:eastAsia="Arial" w:hAnsi="Arial"/>
          <w:sz w:val="18"/>
          <w:szCs w:val="18"/>
          <w:color w:val="auto"/>
        </w:rPr>
        <w:t>”), (vii) all applications and registrations for the foregoing and (viii) all rights and remedies against past, present, and future infringement, misappropriation, or other violation of the foregoing, in each case (with respect to the foregoing clauses (i) through (viii)), excluding all IT Assets (except Software).</w:t>
      </w:r>
    </w:p>
    <w:p>
      <w:pPr>
        <w:spacing w:after="0" w:line="187" w:lineRule="exact"/>
        <w:rPr>
          <w:sz w:val="20"/>
          <w:szCs w:val="20"/>
          <w:color w:val="auto"/>
        </w:rPr>
      </w:pPr>
    </w:p>
    <w:p>
      <w:pPr>
        <w:jc w:val="both"/>
        <w:ind w:right="300" w:firstLine="444"/>
        <w:spacing w:after="0" w:line="264" w:lineRule="auto"/>
        <w:tabs>
          <w:tab w:leader="none" w:pos="9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 Materials</w:t>
      </w:r>
      <w:r>
        <w:rPr>
          <w:rFonts w:ascii="Arial" w:cs="Arial" w:eastAsia="Arial" w:hAnsi="Arial"/>
          <w:sz w:val="18"/>
          <w:szCs w:val="18"/>
          <w:color w:val="auto"/>
        </w:rPr>
        <w:t>” means those written, electronic, computerized, digital or other similar tangible or intangible media to the extent containing or embodying any SpecCo Licensed Know-How, AgCo Licensed Know-How, SpecCo Licensed Copyrights, AgCo Licensed Copyrights, Licensed Standards or Business Software.</w:t>
      </w:r>
    </w:p>
    <w:p>
      <w:pPr>
        <w:spacing w:after="0" w:line="181" w:lineRule="exact"/>
        <w:rPr>
          <w:rFonts w:ascii="Arial" w:cs="Arial" w:eastAsia="Arial" w:hAnsi="Arial"/>
          <w:sz w:val="18"/>
          <w:szCs w:val="18"/>
          <w:color w:val="auto"/>
        </w:rPr>
      </w:pPr>
    </w:p>
    <w:p>
      <w:pPr>
        <w:ind w:right="200" w:firstLine="444"/>
        <w:spacing w:after="0" w:line="264" w:lineRule="auto"/>
        <w:tabs>
          <w:tab w:leader="none" w:pos="9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Copyrights</w:t>
      </w:r>
      <w:r>
        <w:rPr>
          <w:rFonts w:ascii="Arial" w:cs="Arial" w:eastAsia="Arial" w:hAnsi="Arial"/>
          <w:sz w:val="18"/>
          <w:szCs w:val="18"/>
          <w:color w:val="auto"/>
        </w:rPr>
        <w:t xml:space="preserve">” means (i) with respect to the licenses granted to SpecCo hereunder, the AgCo Licensed Copyrights and the Copyrights licensed under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hereof, and (ii) with respect to the licenses granted to AgCo hereunder, the SpecCo Licensed Copyrights and the Copyrights licensed under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hereof.</w:t>
      </w:r>
    </w:p>
    <w:p>
      <w:pPr>
        <w:spacing w:after="0" w:line="181" w:lineRule="exact"/>
        <w:rPr>
          <w:rFonts w:ascii="Arial" w:cs="Arial" w:eastAsia="Arial" w:hAnsi="Arial"/>
          <w:sz w:val="18"/>
          <w:szCs w:val="18"/>
          <w:color w:val="auto"/>
        </w:rPr>
      </w:pPr>
    </w:p>
    <w:p>
      <w:pPr>
        <w:ind w:left="920" w:hanging="476"/>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Facility</w:t>
      </w:r>
      <w:r>
        <w:rPr>
          <w:rFonts w:ascii="Arial" w:cs="Arial" w:eastAsia="Arial" w:hAnsi="Arial"/>
          <w:sz w:val="18"/>
          <w:szCs w:val="18"/>
          <w:color w:val="auto"/>
        </w:rPr>
        <w:t>” means any facility owned by or operated on behalf of an Authorized User.</w:t>
      </w:r>
    </w:p>
    <w:p>
      <w:pPr>
        <w:spacing w:after="0" w:line="225" w:lineRule="exact"/>
        <w:rPr>
          <w:rFonts w:ascii="Arial" w:cs="Arial" w:eastAsia="Arial" w:hAnsi="Arial"/>
          <w:sz w:val="18"/>
          <w:szCs w:val="18"/>
          <w:color w:val="auto"/>
        </w:rPr>
      </w:pPr>
    </w:p>
    <w:p>
      <w:pPr>
        <w:ind w:right="140" w:firstLine="444"/>
        <w:spacing w:after="0" w:line="259" w:lineRule="auto"/>
        <w:tabs>
          <w:tab w:leader="none" w:pos="9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IP</w:t>
      </w:r>
      <w:r>
        <w:rPr>
          <w:rFonts w:ascii="Arial" w:cs="Arial" w:eastAsia="Arial" w:hAnsi="Arial"/>
          <w:sz w:val="18"/>
          <w:szCs w:val="18"/>
          <w:color w:val="auto"/>
        </w:rPr>
        <w:t>” means (i) with respect to the licenses granted to SpecCo or the SpecCo Licensees, as applicable, hereunder, the AgCo Licensed IP, the AgCo Licensed Standards, and the Business Software Controlled by AgCo or any of its Affiliates, and (ii) with respect to the licenses granted to AgCo or the AgCo Licensees, as applicable, hereunder, the SpecCo Licensed IP, the SpecCo Licensed Standards, and the Business Software Controlled by SpecCo or any of its Affiliates.</w:t>
      </w:r>
    </w:p>
    <w:p>
      <w:pPr>
        <w:spacing w:after="0" w:line="186" w:lineRule="exact"/>
        <w:rPr>
          <w:rFonts w:ascii="Arial" w:cs="Arial" w:eastAsia="Arial" w:hAnsi="Arial"/>
          <w:sz w:val="18"/>
          <w:szCs w:val="18"/>
          <w:color w:val="auto"/>
        </w:rPr>
      </w:pPr>
    </w:p>
    <w:p>
      <w:pPr>
        <w:ind w:right="100" w:firstLine="444"/>
        <w:spacing w:after="0" w:line="286" w:lineRule="auto"/>
        <w:tabs>
          <w:tab w:leader="none" w:pos="921"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Know-How</w:t>
      </w:r>
      <w:r>
        <w:rPr>
          <w:rFonts w:ascii="Arial" w:cs="Arial" w:eastAsia="Arial" w:hAnsi="Arial"/>
          <w:sz w:val="17"/>
          <w:szCs w:val="17"/>
          <w:color w:val="auto"/>
        </w:rPr>
        <w:t xml:space="preserve">” means (i) with respect to the licenses granted to SpecCo or the SpecCo Licensees, as applicable, hereunder, the AgCo Licensed Know-How and the Know-How licensed under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hereof, and (ii) with respect to the licenses granted to AgCo or the AgCo Licensees, as applicable, hereunder, the SpecCo Licensed Know-How and the Know-How licensed under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hereof.</w:t>
      </w:r>
    </w:p>
    <w:p>
      <w:pPr>
        <w:spacing w:after="0" w:line="165" w:lineRule="exact"/>
        <w:rPr>
          <w:rFonts w:ascii="Arial" w:cs="Arial" w:eastAsia="Arial" w:hAnsi="Arial"/>
          <w:sz w:val="17"/>
          <w:szCs w:val="17"/>
          <w:color w:val="auto"/>
        </w:rPr>
      </w:pPr>
    </w:p>
    <w:p>
      <w:pPr>
        <w:jc w:val="both"/>
        <w:ind w:right="220" w:firstLine="444"/>
        <w:spacing w:after="0" w:line="342" w:lineRule="auto"/>
        <w:tabs>
          <w:tab w:leader="none" w:pos="921"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Licensed Patents</w:t>
      </w:r>
      <w:r>
        <w:rPr>
          <w:rFonts w:ascii="Arial" w:cs="Arial" w:eastAsia="Arial" w:hAnsi="Arial"/>
          <w:sz w:val="16"/>
          <w:szCs w:val="16"/>
          <w:color w:val="auto"/>
        </w:rPr>
        <w:t>” means (i) with respect to the licenses granted to SpecCo or the SpecCo Licensees, as applicable, hereunder, the AgCo Licensed Patents, and (ii) with respect to the licenses granted to AgCo or the AgCo Licensees, as applicable hereunder, the SpecCo Licensed Patents.</w:t>
      </w:r>
    </w:p>
    <w:p>
      <w:pPr>
        <w:spacing w:after="0" w:line="123" w:lineRule="exact"/>
        <w:rPr>
          <w:rFonts w:ascii="Arial" w:cs="Arial" w:eastAsia="Arial" w:hAnsi="Arial"/>
          <w:sz w:val="16"/>
          <w:szCs w:val="16"/>
          <w:color w:val="auto"/>
        </w:rPr>
      </w:pPr>
    </w:p>
    <w:p>
      <w:pPr>
        <w:ind w:right="20" w:firstLine="444"/>
        <w:spacing w:after="0" w:line="264" w:lineRule="auto"/>
        <w:tabs>
          <w:tab w:leader="none" w:pos="9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Standards</w:t>
      </w:r>
      <w:r>
        <w:rPr>
          <w:rFonts w:ascii="Arial" w:cs="Arial" w:eastAsia="Arial" w:hAnsi="Arial"/>
          <w:sz w:val="18"/>
          <w:szCs w:val="18"/>
          <w:color w:val="auto"/>
        </w:rPr>
        <w:t>” means (i) with respect to the licenses granted to SpecCo or the SpecCo Licensees, as applicable, hereunder, the AgCo Licensed Standards and (ii) with respect to the licenses granted to AgCo or the AgCo Licensees, as applicable hereunder, the SpecCo Licensed Standards.</w:t>
      </w:r>
    </w:p>
    <w:p>
      <w:pPr>
        <w:spacing w:after="0" w:line="181" w:lineRule="exact"/>
        <w:rPr>
          <w:rFonts w:ascii="Arial" w:cs="Arial" w:eastAsia="Arial" w:hAnsi="Arial"/>
          <w:sz w:val="18"/>
          <w:szCs w:val="18"/>
          <w:color w:val="auto"/>
        </w:rPr>
      </w:pPr>
    </w:p>
    <w:p>
      <w:pPr>
        <w:ind w:right="40" w:firstLine="444"/>
        <w:spacing w:after="0" w:line="259" w:lineRule="auto"/>
        <w:tabs>
          <w:tab w:leader="none" w:pos="9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Licensee</w:t>
      </w:r>
      <w:r>
        <w:rPr>
          <w:rFonts w:ascii="Arial" w:cs="Arial" w:eastAsia="Arial" w:hAnsi="Arial"/>
          <w:sz w:val="18"/>
          <w:szCs w:val="18"/>
          <w:color w:val="auto"/>
        </w:rPr>
        <w:t>” means (i) the relevant AgCo Licensee with respect to the SpecCo Licensed IP and the SpecCo Licensed Standards, and AgCo and its applicable Affiliates with respect to the Business Software Controlled by SpecCo or any of its Affiliates hereunder, and (ii) the relevant SpecCo Licensees with respect to the AgCo Licensed IP and the AgCo Licensed Standards, and SpecCo and its applicable Affiliates with respect to the Business Software Controlled by AgCo or any of its Affiliates 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2" w:name="page53"/>
    <w:bookmarkEnd w:id="52"/>
    <w:p>
      <w:pPr>
        <w:ind w:right="120" w:firstLine="444"/>
        <w:spacing w:after="0" w:line="286" w:lineRule="auto"/>
        <w:tabs>
          <w:tab w:leader="none" w:pos="921" w:val="left"/>
        </w:tabs>
        <w:numPr>
          <w:ilvl w:val="1"/>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Licensor</w:t>
      </w:r>
      <w:r>
        <w:rPr>
          <w:rFonts w:ascii="Arial" w:cs="Arial" w:eastAsia="Arial" w:hAnsi="Arial"/>
          <w:sz w:val="17"/>
          <w:szCs w:val="17"/>
          <w:color w:val="auto"/>
        </w:rPr>
        <w:t>” means (i) the AgCo Licensors with respect to the AgCo Licensed IP and the AgCo Licensed Standards, and AgCo with respect to the Business Software Controlled by AgCo or any of its Affiliates, and (ii) the SpecCo Licensors with respect to the SpecCo Licensed IP and the SpecCo Licensed Standards, and SpecCo with respect to the Business Software Controlled by SpecCo or any of its Affiliates.</w:t>
      </w:r>
    </w:p>
    <w:p>
      <w:pPr>
        <w:spacing w:after="0" w:line="165" w:lineRule="exact"/>
        <w:rPr>
          <w:rFonts w:ascii="Arial" w:cs="Arial" w:eastAsia="Arial" w:hAnsi="Arial"/>
          <w:sz w:val="17"/>
          <w:szCs w:val="17"/>
          <w:color w:val="auto"/>
        </w:rPr>
      </w:pPr>
    </w:p>
    <w:p>
      <w:pPr>
        <w:ind w:right="180" w:firstLine="444"/>
        <w:spacing w:after="0" w:line="277" w:lineRule="auto"/>
        <w:tabs>
          <w:tab w:leader="none" w:pos="921"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Time</w:t>
      </w:r>
      <w:r>
        <w:rPr>
          <w:rFonts w:ascii="Arial" w:cs="Arial" w:eastAsia="Arial" w:hAnsi="Arial"/>
          <w:sz w:val="18"/>
          <w:szCs w:val="18"/>
          <w:color w:val="auto"/>
        </w:rPr>
        <w:t>” means the effective time of the mergers of E. I. du Pont de Nemours and Company and the Dow Chemical Company with wholly owned subsidiaries of DowDuPont, Inc.</w:t>
      </w:r>
    </w:p>
    <w:p>
      <w:pPr>
        <w:spacing w:after="0" w:line="170" w:lineRule="exact"/>
        <w:rPr>
          <w:rFonts w:ascii="Arial" w:cs="Arial" w:eastAsia="Arial" w:hAnsi="Arial"/>
          <w:sz w:val="18"/>
          <w:szCs w:val="18"/>
          <w:color w:val="auto"/>
        </w:rPr>
      </w:pPr>
    </w:p>
    <w:p>
      <w:pPr>
        <w:ind w:left="920" w:hanging="476"/>
        <w:spacing w:after="0"/>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700" w:firstLine="444"/>
        <w:spacing w:after="0" w:line="277" w:lineRule="auto"/>
        <w:tabs>
          <w:tab w:leader="none" w:pos="921"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Personnel</w:t>
      </w:r>
      <w:r>
        <w:rPr>
          <w:rFonts w:ascii="Arial" w:cs="Arial" w:eastAsia="Arial" w:hAnsi="Arial"/>
          <w:sz w:val="18"/>
          <w:szCs w:val="18"/>
          <w:color w:val="auto"/>
        </w:rPr>
        <w:t>” means, with respect to a Party or its Affiliates, such Party’s or Affiliate’s employees, officers, agents, consultants, and contractors, and any other Person over whom such Party or Affiliate exercises control.</w:t>
      </w:r>
    </w:p>
    <w:p>
      <w:pPr>
        <w:spacing w:after="0" w:line="170" w:lineRule="exact"/>
        <w:rPr>
          <w:rFonts w:ascii="Arial" w:cs="Arial" w:eastAsia="Arial" w:hAnsi="Arial"/>
          <w:sz w:val="18"/>
          <w:szCs w:val="18"/>
          <w:color w:val="auto"/>
        </w:rPr>
      </w:pPr>
    </w:p>
    <w:p>
      <w:pPr>
        <w:ind w:left="920" w:hanging="476"/>
        <w:spacing w:after="0"/>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444"/>
        <w:spacing w:after="0" w:line="276" w:lineRule="auto"/>
        <w:tabs>
          <w:tab w:leader="none" w:pos="921" w:val="left"/>
        </w:tabs>
        <w:numPr>
          <w:ilvl w:val="1"/>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Data</w:t>
      </w:r>
      <w:r>
        <w:rPr>
          <w:rFonts w:ascii="Arial" w:cs="Arial" w:eastAsia="Arial" w:hAnsi="Arial"/>
          <w:sz w:val="17"/>
          <w:szCs w:val="17"/>
          <w:color w:val="auto"/>
        </w:rPr>
        <w:t>” means any and all regulatory data (including studies, data, raw data, efficacy data, reports, physical samples, reviews (including business risk reviews), opinions, self-GRAS determinations, information or other compliance requirements, including safety, risk and exposure assessments and modeling for product contamination or impurity issues), in written, electronic, computerized, digital, or other tangible or intangible media, actually submitted to, or maintained to support a submission to (whether submitted or not), a Governmental Entity or a Third Party to seek, obtain or maintain a Governmental Approval or demonstrate regulatory compliance.</w:t>
      </w:r>
    </w:p>
    <w:p>
      <w:pPr>
        <w:spacing w:after="0" w:line="172" w:lineRule="exact"/>
        <w:rPr>
          <w:rFonts w:ascii="Arial" w:cs="Arial" w:eastAsia="Arial" w:hAnsi="Arial"/>
          <w:sz w:val="17"/>
          <w:szCs w:val="17"/>
          <w:color w:val="auto"/>
        </w:rPr>
      </w:pPr>
    </w:p>
    <w:p>
      <w:pPr>
        <w:ind w:left="920" w:hanging="476"/>
        <w:spacing w:after="0"/>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476"/>
        <w:spacing w:after="0"/>
        <w:tabs>
          <w:tab w:leader="none" w:pos="9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Seeds and Beads IP</w:t>
      </w:r>
      <w:r>
        <w:rPr>
          <w:rFonts w:ascii="Arial" w:cs="Arial" w:eastAsia="Arial" w:hAnsi="Arial"/>
          <w:sz w:val="17"/>
          <w:szCs w:val="17"/>
          <w:color w:val="auto"/>
        </w:rPr>
        <w:t xml:space="preserve">” means all Intellectual Property expressly identified on </w:t>
      </w:r>
      <w:r>
        <w:rPr>
          <w:rFonts w:ascii="Arial" w:cs="Arial" w:eastAsia="Arial" w:hAnsi="Arial"/>
          <w:sz w:val="17"/>
          <w:szCs w:val="17"/>
          <w:u w:val="single" w:color="auto"/>
          <w:color w:val="auto"/>
        </w:rPr>
        <w:t>Schedules 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as relating to “seeds and beads”.</w:t>
      </w:r>
    </w:p>
    <w:p>
      <w:pPr>
        <w:spacing w:after="0" w:line="236" w:lineRule="exact"/>
        <w:rPr>
          <w:rFonts w:ascii="Arial" w:cs="Arial" w:eastAsia="Arial" w:hAnsi="Arial"/>
          <w:sz w:val="17"/>
          <w:szCs w:val="17"/>
          <w:color w:val="auto"/>
        </w:rPr>
      </w:pPr>
    </w:p>
    <w:p>
      <w:pPr>
        <w:ind w:firstLine="444"/>
        <w:spacing w:after="0" w:line="264" w:lineRule="auto"/>
        <w:tabs>
          <w:tab w:leader="none" w:pos="921"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all computer programs (whether in source code, object code, or other form), software implementations of algorithms, and related documentation, including flowcharts and other logic and design diagrams, technical, functional and other specifications, and user and training materials related to any of the foregoing.</w:t>
      </w:r>
    </w:p>
    <w:p>
      <w:pPr>
        <w:spacing w:after="0" w:line="181" w:lineRule="exact"/>
        <w:rPr>
          <w:rFonts w:ascii="Arial" w:cs="Arial" w:eastAsia="Arial" w:hAnsi="Arial"/>
          <w:sz w:val="18"/>
          <w:szCs w:val="18"/>
          <w:color w:val="auto"/>
        </w:rPr>
      </w:pPr>
    </w:p>
    <w:p>
      <w:pPr>
        <w:ind w:left="920" w:hanging="476"/>
        <w:spacing w:after="0"/>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SpecCo Field</w:t>
      </w:r>
      <w:r>
        <w:rPr>
          <w:rFonts w:ascii="Arial" w:cs="Arial" w:eastAsia="Arial" w:hAnsi="Arial"/>
          <w:sz w:val="18"/>
          <w:szCs w:val="18"/>
          <w:color w:val="auto"/>
        </w:rPr>
        <w:t>” means the field of the Specialty Products Business and natural evolutions thereof.</w:t>
      </w:r>
    </w:p>
    <w:p>
      <w:pPr>
        <w:spacing w:after="0" w:line="225" w:lineRule="exact"/>
        <w:rPr>
          <w:rFonts w:ascii="Arial" w:cs="Arial" w:eastAsia="Arial" w:hAnsi="Arial"/>
          <w:sz w:val="18"/>
          <w:szCs w:val="18"/>
          <w:color w:val="auto"/>
        </w:rPr>
      </w:pPr>
    </w:p>
    <w:p>
      <w:pPr>
        <w:ind w:right="220" w:firstLine="444"/>
        <w:spacing w:after="0" w:line="264" w:lineRule="auto"/>
        <w:tabs>
          <w:tab w:leader="none" w:pos="921"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SpecCo Licensed Copyrights</w:t>
      </w:r>
      <w:r>
        <w:rPr>
          <w:rFonts w:ascii="Arial" w:cs="Arial" w:eastAsia="Arial" w:hAnsi="Arial"/>
          <w:sz w:val="18"/>
          <w:szCs w:val="18"/>
          <w:color w:val="auto"/>
        </w:rPr>
        <w:t xml:space="preserve">” means any and all Copyrights to the extent Controlled by SpecCo or any of its Affiliates, and Used in the Agriculture Business, as of the Effective Date, including the Copyrights set forth on </w:t>
      </w:r>
      <w:r>
        <w:rPr>
          <w:rFonts w:ascii="Arial" w:cs="Arial" w:eastAsia="Arial" w:hAnsi="Arial"/>
          <w:sz w:val="18"/>
          <w:szCs w:val="18"/>
          <w:u w:val="single" w:color="auto"/>
          <w:color w:val="auto"/>
        </w:rPr>
        <w:t>Schedule F</w:t>
      </w:r>
      <w:r>
        <w:rPr>
          <w:rFonts w:ascii="Arial" w:cs="Arial" w:eastAsia="Arial" w:hAnsi="Arial"/>
          <w:sz w:val="18"/>
          <w:szCs w:val="18"/>
          <w:color w:val="auto"/>
        </w:rPr>
        <w:t>. Notwithstanding the foregoing, SpecCo Licensed Copyrights expressly exclude any and all (i) Know-How, (ii) IT Assets and (iii) Excluded IP.</w:t>
      </w:r>
    </w:p>
    <w:p>
      <w:pPr>
        <w:spacing w:after="0" w:line="181" w:lineRule="exact"/>
        <w:rPr>
          <w:rFonts w:ascii="Arial" w:cs="Arial" w:eastAsia="Arial" w:hAnsi="Arial"/>
          <w:sz w:val="18"/>
          <w:szCs w:val="18"/>
          <w:color w:val="auto"/>
        </w:rPr>
      </w:pPr>
    </w:p>
    <w:p>
      <w:pPr>
        <w:ind w:left="920" w:hanging="476"/>
        <w:spacing w:after="0"/>
        <w:tabs>
          <w:tab w:leader="none" w:pos="9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SpecCo Licensed Engineering Standards</w:t>
      </w:r>
      <w:r>
        <w:rPr>
          <w:rFonts w:ascii="Arial" w:cs="Arial" w:eastAsia="Arial" w:hAnsi="Arial"/>
          <w:sz w:val="16"/>
          <w:szCs w:val="16"/>
          <w:color w:val="auto"/>
        </w:rPr>
        <w:t xml:space="preserve">” means Engineering Standards (including as set forth on </w:t>
      </w:r>
      <w:r>
        <w:rPr>
          <w:rFonts w:ascii="Arial" w:cs="Arial" w:eastAsia="Arial" w:hAnsi="Arial"/>
          <w:sz w:val="16"/>
          <w:szCs w:val="16"/>
          <w:u w:val="single" w:color="auto"/>
          <w:color w:val="auto"/>
        </w:rPr>
        <w:t>Schedule E(iii)</w:t>
      </w:r>
      <w:r>
        <w:rPr>
          <w:rFonts w:ascii="Arial" w:cs="Arial" w:eastAsia="Arial" w:hAnsi="Arial"/>
          <w:sz w:val="16"/>
          <w:szCs w:val="16"/>
          <w:color w:val="auto"/>
        </w:rPr>
        <w:t>), each, to the extent both</w:t>
      </w:r>
    </w:p>
    <w:p>
      <w:pPr>
        <w:spacing w:after="0" w:line="46" w:lineRule="exact"/>
        <w:rPr>
          <w:rFonts w:ascii="Arial" w:cs="Arial" w:eastAsia="Arial" w:hAnsi="Arial"/>
          <w:sz w:val="16"/>
          <w:szCs w:val="16"/>
          <w:color w:val="auto"/>
        </w:rPr>
      </w:pPr>
    </w:p>
    <w:p>
      <w:pPr>
        <w:ind w:right="380" w:firstLine="4"/>
        <w:spacing w:after="0" w:line="255" w:lineRule="auto"/>
        <w:tabs>
          <w:tab w:leader="none" w:pos="2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owned by SpecCo or any of its Affiliates, or with respect to which SpecCo or any of its Affiliates has the right to grant the license or other rights granted to AgCo hereunder without payment obligations to any Third Party, as of the Effective Date and (ii) that is actually used by AgCo or its Affiliates in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53" w:name="page54"/>
    <w:bookmarkEnd w:id="53"/>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conduct of the Agriculture Business as of the Effective Date. Notwithstanding the foregoing, the SpecCo Licensed Engineering Standards shall expressly exclude (i) Regulatory Data, (ii) Governmental Approvals, (iii) CRISPR Technology, (iv) TMODs IP, (v) Trademarks, and (vi) the Intellectual Property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81" w:lineRule="exact"/>
        <w:rPr>
          <w:sz w:val="20"/>
          <w:szCs w:val="20"/>
          <w:color w:val="auto"/>
        </w:rPr>
      </w:pPr>
    </w:p>
    <w:p>
      <w:pPr>
        <w:ind w:left="920" w:hanging="476"/>
        <w:spacing w:after="0"/>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SpecCo Licensed IP</w:t>
      </w:r>
      <w:r>
        <w:rPr>
          <w:rFonts w:ascii="Arial" w:cs="Arial" w:eastAsia="Arial" w:hAnsi="Arial"/>
          <w:sz w:val="18"/>
          <w:szCs w:val="18"/>
          <w:color w:val="auto"/>
        </w:rPr>
        <w:t>” means the SpecCo Licensed Patents, SpecCo Licensed Know-How and SpecCo Licensed Copyrights.</w:t>
      </w:r>
    </w:p>
    <w:p>
      <w:pPr>
        <w:spacing w:after="0" w:line="225" w:lineRule="exact"/>
        <w:rPr>
          <w:rFonts w:ascii="Arial" w:cs="Arial" w:eastAsia="Arial" w:hAnsi="Arial"/>
          <w:sz w:val="18"/>
          <w:szCs w:val="18"/>
          <w:color w:val="auto"/>
        </w:rPr>
      </w:pPr>
    </w:p>
    <w:p>
      <w:pPr>
        <w:ind w:right="100" w:firstLine="444"/>
        <w:spacing w:after="0" w:line="264" w:lineRule="auto"/>
        <w:tabs>
          <w:tab w:leader="none" w:pos="921"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SpecCo Licensed Know-How</w:t>
      </w:r>
      <w:r>
        <w:rPr>
          <w:rFonts w:ascii="Arial" w:cs="Arial" w:eastAsia="Arial" w:hAnsi="Arial"/>
          <w:sz w:val="18"/>
          <w:szCs w:val="18"/>
          <w:color w:val="auto"/>
        </w:rPr>
        <w:t xml:space="preserve">” means any and all Know-How to the extent Controlled by SpecCo or any of its Affiliates, and Used in the Agriculture Business, as of the Effective Date, including the Know-How set forth on </w:t>
      </w:r>
      <w:r>
        <w:rPr>
          <w:rFonts w:ascii="Arial" w:cs="Arial" w:eastAsia="Arial" w:hAnsi="Arial"/>
          <w:sz w:val="18"/>
          <w:szCs w:val="18"/>
          <w:u w:val="single" w:color="auto"/>
          <w:color w:val="auto"/>
        </w:rPr>
        <w:t>Schedule G</w:t>
      </w:r>
      <w:r>
        <w:rPr>
          <w:rFonts w:ascii="Arial" w:cs="Arial" w:eastAsia="Arial" w:hAnsi="Arial"/>
          <w:sz w:val="18"/>
          <w:szCs w:val="18"/>
          <w:color w:val="auto"/>
        </w:rPr>
        <w:t>. Notwithstanding the foregoing, SpecCo Licensed Know-How expressly excludes any and all (i) IT Assets and (ii) Excluded IP.</w:t>
      </w:r>
    </w:p>
    <w:p>
      <w:pPr>
        <w:spacing w:after="0" w:line="181" w:lineRule="exact"/>
        <w:rPr>
          <w:rFonts w:ascii="Arial" w:cs="Arial" w:eastAsia="Arial" w:hAnsi="Arial"/>
          <w:sz w:val="18"/>
          <w:szCs w:val="18"/>
          <w:color w:val="auto"/>
        </w:rPr>
      </w:pPr>
    </w:p>
    <w:p>
      <w:pPr>
        <w:ind w:right="20" w:firstLine="444"/>
        <w:spacing w:after="0" w:line="255" w:lineRule="auto"/>
        <w:tabs>
          <w:tab w:leader="none" w:pos="921"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SpecCo Licensed Patents</w:t>
      </w:r>
      <w:r>
        <w:rPr>
          <w:rFonts w:ascii="Arial" w:cs="Arial" w:eastAsia="Arial" w:hAnsi="Arial"/>
          <w:sz w:val="18"/>
          <w:szCs w:val="18"/>
          <w:color w:val="auto"/>
        </w:rPr>
        <w:t xml:space="preserve">” means any and all (i) Patents set forth on </w:t>
      </w:r>
      <w:r>
        <w:rPr>
          <w:rFonts w:ascii="Arial" w:cs="Arial" w:eastAsia="Arial" w:hAnsi="Arial"/>
          <w:sz w:val="18"/>
          <w:szCs w:val="18"/>
          <w:u w:val="single" w:color="auto"/>
          <w:color w:val="auto"/>
        </w:rPr>
        <w:t>Schedule H</w:t>
      </w:r>
      <w:r>
        <w:rPr>
          <w:rFonts w:ascii="Arial" w:cs="Arial" w:eastAsia="Arial" w:hAnsi="Arial"/>
          <w:sz w:val="18"/>
          <w:szCs w:val="18"/>
          <w:color w:val="auto"/>
        </w:rPr>
        <w:t xml:space="preserve"> to the extent Controlled by SpecCo or any of its Affiliates as of the Effective Date, (ii) Patents to the extent such Patents Cover any SpecCo Licensed Know-How and are Controlled by SpecCo or any of its Affiliates following the Effective Date and (iii) to the extent Controlled by SpecCo or any of its Affiliates as of or following the Effective Date, continuations, divisionals, renewals, continuations-in-part, patents of addition, restorations, extensions, supplementary protection certificates, reissues and re-examinations of, and all other Patents that claim priority to, any Patents described in either of the foregoing subsections (i) or (ii), and foreign equivalents thereof, in each case to the extent the claims are supported by any Patents described in either of the foregoing subsections (i) or (ii) (but in all cases expressly excluding any and all Excluded IP).</w:t>
      </w:r>
    </w:p>
    <w:p>
      <w:pPr>
        <w:spacing w:after="0" w:line="189" w:lineRule="exact"/>
        <w:rPr>
          <w:rFonts w:ascii="Arial" w:cs="Arial" w:eastAsia="Arial" w:hAnsi="Arial"/>
          <w:sz w:val="18"/>
          <w:szCs w:val="18"/>
          <w:color w:val="auto"/>
        </w:rPr>
      </w:pPr>
    </w:p>
    <w:p>
      <w:pPr>
        <w:ind w:firstLine="444"/>
        <w:spacing w:after="0" w:line="255" w:lineRule="auto"/>
        <w:tabs>
          <w:tab w:leader="none" w:pos="921"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SpecCo Licensed SHE Standards</w:t>
      </w:r>
      <w:r>
        <w:rPr>
          <w:rFonts w:ascii="Arial" w:cs="Arial" w:eastAsia="Arial" w:hAnsi="Arial"/>
          <w:sz w:val="18"/>
          <w:szCs w:val="18"/>
          <w:color w:val="auto"/>
        </w:rPr>
        <w:t xml:space="preserve">” means the DuPont Safety, Health, and Environmental Standards (including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E(iv)</w:t>
      </w:r>
      <w:r>
        <w:rPr>
          <w:rFonts w:ascii="Arial" w:cs="Arial" w:eastAsia="Arial" w:hAnsi="Arial"/>
          <w:sz w:val="18"/>
          <w:szCs w:val="18"/>
          <w:color w:val="auto"/>
        </w:rPr>
        <w:t xml:space="preserve">), each, to the extent both (i) owned by SpecCo or any of its Affiliates, or with respect to which SpecCo or any of its Affiliates has the right to grant the license or other rights granted to AgCo hereunder without payment obligations to any Third Party, as of the Effective Date and (ii) that is actually used by AgCo or its Affiliates in the conduct of the Agriculture Business as of the Effective Date. Notwithstanding the foregoing, the SpecCo Licensed SHE Standards shall expressly exclude (i) Regulatory Data, (ii) Governmental Approvals, (iii) CRISPR Technology, (iv) TMODS IP, (v) Trademarks, and (vi) the Intellectual Property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920" w:hanging="476"/>
        <w:spacing w:after="0"/>
        <w:tabs>
          <w:tab w:leader="none" w:pos="9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SpecCo Licensed Standards</w:t>
      </w:r>
      <w:r>
        <w:rPr>
          <w:rFonts w:ascii="Arial" w:cs="Arial" w:eastAsia="Arial" w:hAnsi="Arial"/>
          <w:sz w:val="17"/>
          <w:szCs w:val="17"/>
          <w:color w:val="auto"/>
        </w:rPr>
        <w:t>” means the SpecCo Licensed SHE Standards and the SpecCo Licensed Engineering Standards.</w:t>
      </w:r>
    </w:p>
    <w:p>
      <w:pPr>
        <w:spacing w:after="0" w:line="236" w:lineRule="exact"/>
        <w:rPr>
          <w:rFonts w:ascii="Arial" w:cs="Arial" w:eastAsia="Arial" w:hAnsi="Arial"/>
          <w:sz w:val="17"/>
          <w:szCs w:val="17"/>
          <w:color w:val="auto"/>
        </w:rPr>
      </w:pPr>
    </w:p>
    <w:p>
      <w:pPr>
        <w:ind w:left="920" w:hanging="476"/>
        <w:spacing w:after="0"/>
        <w:tabs>
          <w:tab w:leader="none" w:pos="9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SpecCo Licensees</w:t>
      </w:r>
      <w:r>
        <w:rPr>
          <w:rFonts w:ascii="Arial" w:cs="Arial" w:eastAsia="Arial" w:hAnsi="Arial"/>
          <w:sz w:val="16"/>
          <w:szCs w:val="16"/>
          <w:color w:val="auto"/>
        </w:rPr>
        <w:t>” means (a) PM Taiwan, Inc., with respect to the licenses granted hereunder by Pioneer Hi-Bred International, Inc., and</w:t>
      </w:r>
    </w:p>
    <w:p>
      <w:pPr>
        <w:spacing w:after="0" w:line="46" w:lineRule="exact"/>
        <w:rPr>
          <w:rFonts w:ascii="Arial" w:cs="Arial" w:eastAsia="Arial" w:hAnsi="Arial"/>
          <w:sz w:val="16"/>
          <w:szCs w:val="16"/>
          <w:color w:val="auto"/>
        </w:rPr>
      </w:pPr>
    </w:p>
    <w:p>
      <w:pPr>
        <w:ind w:right="100" w:firstLine="4"/>
        <w:spacing w:after="0" w:line="261"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 Holding IB, Inc., Specialty Products N&amp;H, Inc., DuPont Electronics, Inc., DuPont Safety &amp; Construction, Inc., and DuPont Polymers, Inc., with respect to licenses granted hereunder by E.I. du Pont de Nemours and Company.</w:t>
      </w:r>
    </w:p>
    <w:p>
      <w:pPr>
        <w:spacing w:after="0" w:line="183" w:lineRule="exact"/>
        <w:rPr>
          <w:rFonts w:ascii="Arial" w:cs="Arial" w:eastAsia="Arial" w:hAnsi="Arial"/>
          <w:sz w:val="18"/>
          <w:szCs w:val="18"/>
          <w:color w:val="auto"/>
        </w:rPr>
      </w:pPr>
    </w:p>
    <w:p>
      <w:pPr>
        <w:ind w:right="280" w:firstLine="444"/>
        <w:spacing w:after="0" w:line="277" w:lineRule="auto"/>
        <w:tabs>
          <w:tab w:leader="none" w:pos="921"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SpecCo Licensors</w:t>
      </w:r>
      <w:r>
        <w:rPr>
          <w:rFonts w:ascii="Arial" w:cs="Arial" w:eastAsia="Arial" w:hAnsi="Arial"/>
          <w:sz w:val="18"/>
          <w:szCs w:val="18"/>
          <w:color w:val="auto"/>
        </w:rPr>
        <w:t>” means PM Taiwan, SP Holding IB, Inc., Specialty Products N&amp;H, Inc., DuPont Electronics, Inc., DuPont Safety &amp; Construction, Inc., and DuPont Polymers, Inc.</w:t>
      </w:r>
    </w:p>
    <w:p>
      <w:pPr>
        <w:spacing w:after="0" w:line="170" w:lineRule="exact"/>
        <w:rPr>
          <w:rFonts w:ascii="Arial" w:cs="Arial" w:eastAsia="Arial" w:hAnsi="Arial"/>
          <w:sz w:val="18"/>
          <w:szCs w:val="18"/>
          <w:color w:val="auto"/>
        </w:rPr>
      </w:pPr>
    </w:p>
    <w:p>
      <w:pPr>
        <w:ind w:left="920" w:hanging="476"/>
        <w:spacing w:after="0"/>
        <w:tabs>
          <w:tab w:leader="none" w:pos="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4" w:name="page55"/>
    <w:bookmarkEnd w:id="54"/>
    <w:p>
      <w:pPr>
        <w:ind w:left="920" w:hanging="476"/>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476"/>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AgCo, SpecCo, and their respective Affiliates.</w:t>
      </w:r>
    </w:p>
    <w:p>
      <w:pPr>
        <w:spacing w:after="0" w:line="225" w:lineRule="exact"/>
        <w:rPr>
          <w:rFonts w:ascii="Arial" w:cs="Arial" w:eastAsia="Arial" w:hAnsi="Arial"/>
          <w:sz w:val="18"/>
          <w:szCs w:val="18"/>
          <w:color w:val="auto"/>
        </w:rPr>
      </w:pPr>
    </w:p>
    <w:p>
      <w:pPr>
        <w:ind w:right="60" w:firstLine="444"/>
        <w:spacing w:after="0" w:line="264" w:lineRule="auto"/>
        <w:tabs>
          <w:tab w:leader="none" w:pos="9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Infringement</w:t>
      </w:r>
      <w:r>
        <w:rPr>
          <w:rFonts w:ascii="Arial" w:cs="Arial" w:eastAsia="Arial" w:hAnsi="Arial"/>
          <w:sz w:val="18"/>
          <w:szCs w:val="18"/>
          <w:color w:val="auto"/>
        </w:rPr>
        <w:t>” means (a) any Third Party activities that constitute, or would reasonably be expected to constitute, an infringement, misappropriation or other violation within the field for which Licensee has been granted a license hereunder of any Licensed IP or (b) any Third Party allegations of invalidity or unenforceability of any Licensed IP.</w:t>
      </w:r>
    </w:p>
    <w:p>
      <w:pPr>
        <w:spacing w:after="0" w:line="181" w:lineRule="exact"/>
        <w:rPr>
          <w:rFonts w:ascii="Arial" w:cs="Arial" w:eastAsia="Arial" w:hAnsi="Arial"/>
          <w:sz w:val="18"/>
          <w:szCs w:val="18"/>
          <w:color w:val="auto"/>
        </w:rPr>
      </w:pPr>
    </w:p>
    <w:p>
      <w:pPr>
        <w:ind w:right="100" w:firstLine="444"/>
        <w:spacing w:after="0" w:line="257" w:lineRule="auto"/>
        <w:tabs>
          <w:tab w:leader="none" w:pos="9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Payments</w:t>
      </w:r>
      <w:r>
        <w:rPr>
          <w:rFonts w:ascii="Arial" w:cs="Arial" w:eastAsia="Arial" w:hAnsi="Arial"/>
          <w:sz w:val="18"/>
          <w:szCs w:val="18"/>
          <w:color w:val="auto"/>
        </w:rPr>
        <w:t>” means any and all obligations on the part of Licensor or its Affiliates to pay royalties, sublicense fees, milestones or other amounts to Third Parties pursuant to Contracts existing as of the Effective Date (or, in the case of Wrong Pockets Patents, Contracts existing as of the date of the Wrong Pockets Notice) to which Licensor or any of its Affiliates is a party or is otherwise bound, in each case to the extent that such obligation to pay arises from, or is a result of the grant to or exercise by Licensee or any Sublicensees of, any license, sublicense or other right to practice granted hereunder.</w:t>
      </w:r>
    </w:p>
    <w:p>
      <w:pPr>
        <w:spacing w:after="0" w:line="188" w:lineRule="exact"/>
        <w:rPr>
          <w:rFonts w:ascii="Arial" w:cs="Arial" w:eastAsia="Arial" w:hAnsi="Arial"/>
          <w:sz w:val="18"/>
          <w:szCs w:val="18"/>
          <w:color w:val="auto"/>
        </w:rPr>
      </w:pPr>
    </w:p>
    <w:p>
      <w:pPr>
        <w:ind w:right="140" w:firstLine="444"/>
        <w:spacing w:after="0" w:line="277" w:lineRule="auto"/>
        <w:tabs>
          <w:tab w:leader="none" w:pos="9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TMODS License Agreement</w:t>
      </w:r>
      <w:r>
        <w:rPr>
          <w:rFonts w:ascii="Arial" w:cs="Arial" w:eastAsia="Arial" w:hAnsi="Arial"/>
          <w:sz w:val="18"/>
          <w:szCs w:val="18"/>
          <w:color w:val="auto"/>
        </w:rPr>
        <w:t>” means that certain DuPont TMODS Dynamic Process Simulation Software Agreement entered into by and between AgCo and SpecCo, dated as of the Effective Date.</w:t>
      </w:r>
    </w:p>
    <w:p>
      <w:pPr>
        <w:spacing w:after="0" w:line="170" w:lineRule="exact"/>
        <w:rPr>
          <w:rFonts w:ascii="Arial" w:cs="Arial" w:eastAsia="Arial" w:hAnsi="Arial"/>
          <w:sz w:val="18"/>
          <w:szCs w:val="18"/>
          <w:color w:val="auto"/>
        </w:rPr>
      </w:pPr>
    </w:p>
    <w:p>
      <w:pPr>
        <w:ind w:right="240" w:firstLine="444"/>
        <w:spacing w:after="0" w:line="277" w:lineRule="auto"/>
        <w:tabs>
          <w:tab w:leader="none" w:pos="9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Umbrella Secrecy Agreement</w:t>
      </w:r>
      <w:r>
        <w:rPr>
          <w:rFonts w:ascii="Arial" w:cs="Arial" w:eastAsia="Arial" w:hAnsi="Arial"/>
          <w:sz w:val="18"/>
          <w:szCs w:val="18"/>
          <w:color w:val="auto"/>
        </w:rPr>
        <w:t>” means the Umbrella Secrecy Agreement, dated as of the Effective Date, between SpecCo, AgCo and the other signatories thereto.</w:t>
      </w:r>
    </w:p>
    <w:p>
      <w:pPr>
        <w:spacing w:after="0" w:line="170" w:lineRule="exact"/>
        <w:rPr>
          <w:rFonts w:ascii="Arial" w:cs="Arial" w:eastAsia="Arial" w:hAnsi="Arial"/>
          <w:sz w:val="18"/>
          <w:szCs w:val="18"/>
          <w:color w:val="auto"/>
        </w:rPr>
      </w:pPr>
    </w:p>
    <w:p>
      <w:pPr>
        <w:ind w:firstLine="444"/>
        <w:spacing w:after="0" w:line="255" w:lineRule="auto"/>
        <w:tabs>
          <w:tab w:leader="none" w:pos="9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Used</w:t>
      </w:r>
      <w:r>
        <w:rPr>
          <w:rFonts w:ascii="Arial" w:cs="Arial" w:eastAsia="Arial" w:hAnsi="Arial"/>
          <w:sz w:val="18"/>
          <w:szCs w:val="18"/>
          <w:color w:val="auto"/>
        </w:rPr>
        <w:t xml:space="preserve">” means, with respect to the applicable Patent, Copyright or Know-How, that, as of the Effective Date, (i) such Intellectual Property is actually used, or (ii) (1) there is a bona fide plan and intention to use such Intellectual Property with a product that is expected to be commercially launched within eight and one half (8.5) years of the Effective Date or that is set forth on </w:t>
      </w:r>
      <w:r>
        <w:rPr>
          <w:rFonts w:ascii="Arial" w:cs="Arial" w:eastAsia="Arial" w:hAnsi="Arial"/>
          <w:sz w:val="18"/>
          <w:szCs w:val="18"/>
          <w:u w:val="single" w:color="auto"/>
          <w:color w:val="auto"/>
        </w:rPr>
        <w:t>Schedule J</w:t>
      </w:r>
      <w:r>
        <w:rPr>
          <w:rFonts w:ascii="Arial" w:cs="Arial" w:eastAsia="Arial" w:hAnsi="Arial"/>
          <w:sz w:val="18"/>
          <w:szCs w:val="18"/>
          <w:color w:val="auto"/>
        </w:rPr>
        <w:t>, and (2) senior management has agreed to or approved, in writing, a capital investment or commitment to allocate resources or man-hours to implement such plan and intention, in each case in respect of the foregoing subsections (i) and (ii), as established by contemporaneous written records created in the ordinary course of business (which records shall be in a form consistent with the form that actual use, or similar plans and approvals, as applicable, were documented by the applicable Party (or its predecessors in interest) prior to the Merger Time).</w:t>
      </w:r>
    </w:p>
    <w:p>
      <w:pPr>
        <w:spacing w:after="0" w:line="189" w:lineRule="exact"/>
        <w:rPr>
          <w:rFonts w:ascii="Arial" w:cs="Arial" w:eastAsia="Arial" w:hAnsi="Arial"/>
          <w:sz w:val="18"/>
          <w:szCs w:val="18"/>
          <w:color w:val="auto"/>
        </w:rPr>
      </w:pPr>
    </w:p>
    <w:p>
      <w:pPr>
        <w:ind w:left="920" w:hanging="476"/>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Wrong Pockets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hanging="476"/>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Wrong Pockets Patent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right="40" w:firstLine="1433"/>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References; Interpretation</w:t>
      </w:r>
      <w:r>
        <w:rPr>
          <w:rFonts w:ascii="Arial" w:cs="Arial" w:eastAsia="Arial" w:hAnsi="Arial"/>
          <w:sz w:val="18"/>
          <w:szCs w:val="18"/>
          <w:color w:val="auto"/>
        </w:rPr>
        <w:t>. For the purposes of this Agreement, (a) words in the singular shall be held to include the plural and vice versa, and words of one gender shall be held to include the other gender as the context requires; (b) references to the terms Article, Section, paragraph, clause, Exhibit and Schedule are references to the Articles, Sections, paragraphs, clauses, Exhibits and Schedules to this Agreement unless otherwise specified; (c)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(g) references to “written” or “in writing” include in electronic form;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55" w:name="page56"/>
    <w:bookmarkEnd w:id="55"/>
    <w:p>
      <w:pPr>
        <w:ind w:left="-4" w:right="60" w:firstLine="4"/>
        <w:spacing w:after="0" w:line="285" w:lineRule="auto"/>
        <w:tabs>
          <w:tab w:leader="none" w:pos="251"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headings contained in this Agreement are for reference purposes only and shall not affect in any way the meaning or interpretation of this Agreement; (i)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(j) a reference to any Person includes such Person’s successors and permitted assigns; (k) any reference to “days” means calendar days unless Business Days are expressly specified;</w:t>
      </w:r>
    </w:p>
    <w:p>
      <w:pPr>
        <w:spacing w:after="0" w:line="2" w:lineRule="exact"/>
        <w:rPr>
          <w:rFonts w:ascii="Arial" w:cs="Arial" w:eastAsia="Arial" w:hAnsi="Arial"/>
          <w:sz w:val="16"/>
          <w:szCs w:val="16"/>
          <w:color w:val="auto"/>
        </w:rPr>
      </w:pPr>
    </w:p>
    <w:p>
      <w:pPr>
        <w:ind w:left="-4" w:firstLine="4"/>
        <w:spacing w:after="0" w:line="285" w:lineRule="auto"/>
        <w:tabs>
          <w:tab w:leader="none" w:pos="211" w:val="left"/>
        </w:tabs>
        <w:numPr>
          <w:ilvl w:val="0"/>
          <w:numId w:val="59"/>
        </w:numPr>
        <w:rPr>
          <w:rFonts w:ascii="Arial" w:cs="Arial" w:eastAsia="Arial" w:hAnsi="Arial"/>
          <w:sz w:val="16"/>
          <w:szCs w:val="16"/>
          <w:color w:val="auto"/>
        </w:rPr>
      </w:pPr>
      <w:r>
        <w:rPr>
          <w:rFonts w:ascii="Arial" w:cs="Arial" w:eastAsia="Arial" w:hAnsi="Arial"/>
          <w:sz w:val="16"/>
          <w:szCs w:val="16"/>
          <w:color w:val="auto"/>
        </w:rPr>
        <w:t>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(m) any statute defined or referred to herein means such statute as from time to time amended, modified or supplemented, unless otherwise specifically indicated; (n) the use of the phrases “the date of this Agreement”, “the date hereof”, “of even date herewith” and terms of similar import shall be deemed to refer to the date set forth in the preamble to this Agreement; (o) the phrase “ordinary course of business” shall be deemed to be followed by the words “consistent with past practice” whether or not such words actually follow such phrase; (p) where a word or phrase is defined herein, each of its other grammatical forms shall have a corresponding meaning; and (q) any consent given by any Party pursuant to this Agreement shall be valid only if contained in a written instrument signed by such Party. Unless the context requires otherwise, references in this Agreement to “SpecCo” shall also be deemed to refer to the applicable member of the SpecCo Group, references to “AgCo” shall also be deemed to refer to the applicable member of the AgCo Group and, in connection therewith, any references to actions or omissions to be taken, or refrained from being taken, as the case may be, by SpecCo or AgCo shall be deemed to require SpecCo or AgCo, as the case may be, to cause the applicable members of the SpecCo Group or the AgCo Group, respectively, to take, or refrain from taking, any such action.</w:t>
      </w:r>
    </w:p>
    <w:p>
      <w:pPr>
        <w:spacing w:after="0" w:line="38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u w:val="single" w:color="auto"/>
          <w:color w:val="auto"/>
        </w:rPr>
        <w:t>GRANTS OF RIGHTS</w:t>
      </w:r>
    </w:p>
    <w:p>
      <w:pPr>
        <w:spacing w:after="0" w:line="211" w:lineRule="exact"/>
        <w:rPr>
          <w:sz w:val="20"/>
          <w:szCs w:val="20"/>
          <w:color w:val="auto"/>
        </w:rPr>
      </w:pPr>
    </w:p>
    <w:p>
      <w:pPr>
        <w:ind w:left="1436"/>
        <w:spacing w:after="0"/>
        <w:tabs>
          <w:tab w:leader="none" w:pos="2396"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Licenses to SpecCo of AgCo Licensed IP</w:t>
      </w:r>
      <w:r>
        <w:rPr>
          <w:rFonts w:ascii="Arial" w:cs="Arial" w:eastAsia="Arial" w:hAnsi="Arial"/>
          <w:sz w:val="16"/>
          <w:szCs w:val="16"/>
          <w:color w:val="auto"/>
        </w:rPr>
        <w:t>.</w:t>
      </w:r>
    </w:p>
    <w:p>
      <w:pPr>
        <w:spacing w:after="0" w:line="117" w:lineRule="exact"/>
        <w:rPr>
          <w:sz w:val="20"/>
          <w:szCs w:val="20"/>
          <w:color w:val="auto"/>
        </w:rPr>
      </w:pPr>
    </w:p>
    <w:p>
      <w:pPr>
        <w:ind w:left="-4" w:right="40" w:firstLine="1436"/>
        <w:spacing w:after="0" w:line="291" w:lineRule="auto"/>
        <w:tabs>
          <w:tab w:leader="none" w:pos="1808"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Non-Exclusive License to Know-How and Copyrights</w:t>
      </w:r>
      <w:r>
        <w:rPr>
          <w:rFonts w:ascii="Arial" w:cs="Arial" w:eastAsia="Arial" w:hAnsi="Arial"/>
          <w:sz w:val="16"/>
          <w:szCs w:val="16"/>
          <w:color w:val="auto"/>
        </w:rPr>
        <w:t xml:space="preserve">. Subject to the terms and conditions of this Agreement, the AgCo Licensors hereby grant, and AgCo shall cause its Affiliates to grant, to the relevant SpecCo Licensees an irrevocable, royalty-free, fully paid-up, sublicensable (to the extent permitted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transferable (subject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worldwide, non-exclusive license in, to and under the AgCo Licensed Know-How and the AgCo Licensed Copyrights for any and all uses in the SpecCo Field. For clarity, subject to the terms and conditions of this Agreement, the license in, to and under the applicable AgCo Licensed IP set forth in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shall include the right to practice the same to make (including have made), use, sell, offer for sale, import, and export any and all products within the SpecCo Field, and use, practice, copy, perform, render, develop, improve, display, redistribute, modify, and make derivative works of such AgCo Licensed IP, within the SpecCo Field.</w:t>
      </w:r>
    </w:p>
    <w:p>
      <w:pPr>
        <w:spacing w:after="0" w:line="167" w:lineRule="exact"/>
        <w:rPr>
          <w:rFonts w:ascii="Arial" w:cs="Arial" w:eastAsia="Arial" w:hAnsi="Arial"/>
          <w:sz w:val="16"/>
          <w:szCs w:val="16"/>
          <w:color w:val="auto"/>
        </w:rPr>
      </w:pPr>
    </w:p>
    <w:p>
      <w:pPr>
        <w:jc w:val="both"/>
        <w:ind w:left="-4" w:right="40" w:firstLine="1436"/>
        <w:spacing w:after="0" w:line="259" w:lineRule="auto"/>
        <w:tabs>
          <w:tab w:leader="none" w:pos="181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Non-Exclusive License to Patents</w:t>
      </w:r>
      <w:r>
        <w:rPr>
          <w:rFonts w:ascii="Arial" w:cs="Arial" w:eastAsia="Arial" w:hAnsi="Arial"/>
          <w:sz w:val="18"/>
          <w:szCs w:val="18"/>
          <w:color w:val="auto"/>
        </w:rPr>
        <w:t xml:space="preserve">. Subject to the terms and conditions of this Agreement, the AgCo Licensors hereby grant to the relevant SpecCo Licensees, an irrevocable, royalty-free, fully paid-up, sublicensable (to the extent permitted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transferable (subject to </w:t>
      </w:r>
      <w:r>
        <w:rPr>
          <w:rFonts w:ascii="Arial" w:cs="Arial" w:eastAsia="Arial" w:hAnsi="Arial"/>
          <w:sz w:val="18"/>
          <w:szCs w:val="18"/>
          <w:u w:val="single" w:color="auto"/>
          <w:color w:val="auto"/>
        </w:rPr>
        <w:t>Section 10.2</w:t>
      </w:r>
      <w:r>
        <w:rPr>
          <w:rFonts w:ascii="Arial" w:cs="Arial" w:eastAsia="Arial" w:hAnsi="Arial"/>
          <w:sz w:val="18"/>
          <w:szCs w:val="18"/>
          <w:color w:val="auto"/>
        </w:rPr>
        <w:t>), worldwide, non-exclusive license in, to and under the AgCo Licensed Patents for any and all uses in the SpecCo Field. For clarity, subject to</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6"/>
          </w:cols>
          <w:pgMar w:left="444" w:top="274" w:right="439" w:bottom="1440" w:gutter="0" w:footer="0" w:header="0"/>
        </w:sectPr>
      </w:pPr>
    </w:p>
    <w:bookmarkStart w:id="56" w:name="page57"/>
    <w:bookmarkEnd w:id="56"/>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terms and conditions of this Agreement, the license in, to and under the AgCo Licensed Patents set forth in this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shall include the right to practice the same to make (including have made), use, sell, offer for sale, import, and export any and all products within the SpecCo Field.</w:t>
      </w:r>
    </w:p>
    <w:p>
      <w:pPr>
        <w:spacing w:after="0" w:line="232"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Licenses to AgCo of SpecCo Licensed IP</w:t>
      </w:r>
      <w:r>
        <w:rPr>
          <w:rFonts w:ascii="Arial" w:cs="Arial" w:eastAsia="Arial" w:hAnsi="Arial"/>
          <w:sz w:val="16"/>
          <w:szCs w:val="16"/>
          <w:color w:val="auto"/>
        </w:rPr>
        <w:t>.</w:t>
      </w:r>
    </w:p>
    <w:p>
      <w:pPr>
        <w:spacing w:after="0" w:line="117" w:lineRule="exact"/>
        <w:rPr>
          <w:sz w:val="20"/>
          <w:szCs w:val="20"/>
          <w:color w:val="auto"/>
        </w:rPr>
      </w:pPr>
    </w:p>
    <w:p>
      <w:pPr>
        <w:ind w:right="20" w:firstLine="1436"/>
        <w:spacing w:after="0" w:line="291" w:lineRule="auto"/>
        <w:tabs>
          <w:tab w:leader="none" w:pos="181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Non-Exclusive License to Know-How and Copyrights</w:t>
      </w:r>
      <w:r>
        <w:rPr>
          <w:rFonts w:ascii="Arial" w:cs="Arial" w:eastAsia="Arial" w:hAnsi="Arial"/>
          <w:sz w:val="16"/>
          <w:szCs w:val="16"/>
          <w:color w:val="auto"/>
        </w:rPr>
        <w:t xml:space="preserve">. Subject to the terms and conditions of this Agreement, the SpecCo Licensors hereby grant, and SpecCo shall cause its Affiliates to grant, to the relevant AgCo Licensees an irrevocable, royalty-free, fully paid-up, sublicensable (to the extent permitted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transferable (subject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worldwide, non-exclusive license in, to and under the SpecCo Licensed Know-How and SpecCo Licensed Copyrights for any and all uses in the AgCo Field. For clarity, subject to the terms and conditions of this Agreement, the license in, to and under the applicable SpecCo Licensed IP set forth in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shall include the right to practice the same to make (including have made), use, sell, offer for sale, import, and export any and all products within the AgCo Field, and use, practice, copy, perform, render, develop, improve, display, redistribute, modify, and make derivative works of such SpecCo Licensed IP, within the AgCo Field.</w:t>
      </w:r>
    </w:p>
    <w:p>
      <w:pPr>
        <w:spacing w:after="0" w:line="167" w:lineRule="exact"/>
        <w:rPr>
          <w:rFonts w:ascii="Arial" w:cs="Arial" w:eastAsia="Arial" w:hAnsi="Arial"/>
          <w:sz w:val="16"/>
          <w:szCs w:val="16"/>
          <w:color w:val="auto"/>
        </w:rPr>
      </w:pPr>
    </w:p>
    <w:p>
      <w:pPr>
        <w:ind w:firstLine="1436"/>
        <w:spacing w:after="0" w:line="297" w:lineRule="auto"/>
        <w:tabs>
          <w:tab w:leader="none" w:pos="182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Non-Exclusive License to Patents</w:t>
      </w:r>
      <w:r>
        <w:rPr>
          <w:rFonts w:ascii="Arial" w:cs="Arial" w:eastAsia="Arial" w:hAnsi="Arial"/>
          <w:sz w:val="16"/>
          <w:szCs w:val="16"/>
          <w:color w:val="auto"/>
        </w:rPr>
        <w:t xml:space="preserve">. Subject to the terms and conditions of this Agreement, the SpecCo Licensors hereby grant to the relevant AgCo Licensees, an irrevocable, royalty-free, fully paid-up, sublicensable (to the extent permitted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transferable (subject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worldwide, non-exclusive license in, to and under the SpecCo Licensed Patents for any and all uses in the AgCo Field. For clarity, subject to the terms and conditions of this Agreement, the license in, to and under the SpecCo Licensed Patents set forth in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shall include the right to practice the same to make (including have made), use, sell, offer for sale, import, and export any and all products within the AgCo Field.</w:t>
      </w:r>
    </w:p>
    <w:p>
      <w:pPr>
        <w:spacing w:after="0" w:line="266"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5"/>
          <w:szCs w:val="15"/>
          <w:u w:val="single" w:color="auto"/>
          <w:color w:val="auto"/>
        </w:rPr>
        <w:t>Licenses to Standards</w:t>
      </w:r>
      <w:r>
        <w:rPr>
          <w:rFonts w:ascii="Arial" w:cs="Arial" w:eastAsia="Arial" w:hAnsi="Arial"/>
          <w:sz w:val="15"/>
          <w:szCs w:val="15"/>
          <w:color w:val="auto"/>
        </w:rPr>
        <w:t>.</w:t>
      </w:r>
    </w:p>
    <w:p>
      <w:pPr>
        <w:spacing w:after="0" w:line="117" w:lineRule="exact"/>
        <w:rPr>
          <w:sz w:val="20"/>
          <w:szCs w:val="20"/>
          <w:color w:val="auto"/>
        </w:rPr>
      </w:pPr>
    </w:p>
    <w:p>
      <w:pPr>
        <w:ind w:right="20" w:firstLine="1436"/>
        <w:spacing w:after="0" w:line="273" w:lineRule="auto"/>
        <w:tabs>
          <w:tab w:leader="none" w:pos="1812"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the applicable AgCo Licensors hereby grant, and AgCo shall cause its Affiliates to grant, to the relevant SpecCo Licensees, an irrevocable, royalty-free, fully paid-up, sublicensable (to the extent permitted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transferable (subject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non-exclusive license to use the AgCo Licensed Standards at the SpecCo Licensed Facilities solely in connection with the conduct of the Specialty Products Business by SpecCo or any of its Affiliates. Without limiting the foregoing, the grant in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includes a right and license to use, reproduce, distribute, display, perform, adapt, modify and create derivative works of the AgCo Licensed Standards by and among the Authorized Users only for the licensed uses set forth in this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120" w:firstLine="1436"/>
        <w:spacing w:after="0" w:line="273" w:lineRule="auto"/>
        <w:tabs>
          <w:tab w:leader="none" w:pos="1823"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the applicable SpecCo Licensors hereby grant, and SpecCo shall cause its Affiliates to grant, to the relevant AgCo Licensees, an irrevocable, royalty-free, fully paid-up, sublicensable (to the extent permitted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transferable (subject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non-exclusive license to use the SpecCo Licensed Standards at the AgCo Licensed Facilities solely in connection with the conduct of the Agriculture Business by AgCo or any of its Affiliates. Without limiting the foregoing, the grant in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includes a right and license to use, reproduce, distribute, display, perform, adapt, modify and create derivative works of the SpecCo Licensed Standards by and among the Authorized Users only for the licensed uses set forth in this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57" w:name="page58"/>
    <w:bookmarkEnd w:id="57"/>
    <w:p>
      <w:pPr>
        <w:ind w:firstLine="1436"/>
        <w:spacing w:after="0" w:line="271" w:lineRule="auto"/>
        <w:tabs>
          <w:tab w:leader="none" w:pos="1812"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herein, neither Licensor nor any of its Affiliates shall have any obligation with respect to training Licensee or any of its Affiliates to implement or use the Licensed Standards. For clarity, the Licensed Standards shall not be subject to any updates by Licensor or its Affiliates (even if Licensor or its Affiliates update the same for their own use). The Parties acknowledge that from time to time applicable Law may conflict with and supersede aspects of Licensed Standards and Licensor shall have no obligation to Licensee with respect thereto in such event. For clarity, as between the Parties, SpecCo shall own all Intellectual Property (including, for clarity, Copyrights) in any DuPont Safety, Health and Environmental Standards or Engineering Standards that constitute Intellectual Property included in the Specialty Products Assets, and AgCo shall own all Intellectual Property (including, for clarity, Copyrights) in any DuPont Safety, Health and Environmental Standards or Engineering Standards that constitute Intellectual Property included in the Agriculture Assets.</w:t>
      </w:r>
    </w:p>
    <w:p>
      <w:pPr>
        <w:spacing w:after="0" w:line="179" w:lineRule="exact"/>
        <w:rPr>
          <w:sz w:val="20"/>
          <w:szCs w:val="20"/>
          <w:color w:val="auto"/>
        </w:rPr>
      </w:pPr>
    </w:p>
    <w:p>
      <w:pPr>
        <w:ind w:right="160" w:firstLine="1873"/>
        <w:spacing w:after="0" w:line="30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Business Software License</w:t>
      </w:r>
      <w:r>
        <w:rPr>
          <w:rFonts w:ascii="Arial" w:cs="Arial" w:eastAsia="Arial" w:hAnsi="Arial"/>
          <w:sz w:val="16"/>
          <w:szCs w:val="16"/>
          <w:color w:val="auto"/>
        </w:rPr>
        <w:t xml:space="preserve">. Subject to the terms and conditions of this Agreement, Licensor (or its Affiliate, as applicable) hereby grants, and shall cause its Affiliates to grant, to Licensee (or its Affiliate, as applicable) an irrevocable, royalty-free, fully paid-up, sublicensable (to the extent permitted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transferable (subject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worldwide, non-exclusive license to its Business Software for use solely in connection with, if such Licensee is AgCo, the Agriculture Business or, if such Licensee is SpecCo, the Specialty Products Business.</w:t>
      </w:r>
    </w:p>
    <w:p>
      <w:pPr>
        <w:spacing w:after="0" w:line="262"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Wrong Pockets</w:t>
      </w:r>
      <w:r>
        <w:rPr>
          <w:rFonts w:ascii="Arial" w:cs="Arial" w:eastAsia="Arial" w:hAnsi="Arial"/>
          <w:sz w:val="16"/>
          <w:szCs w:val="16"/>
          <w:color w:val="auto"/>
        </w:rPr>
        <w:t>.</w:t>
      </w:r>
    </w:p>
    <w:p>
      <w:pPr>
        <w:spacing w:after="0" w:line="117" w:lineRule="exact"/>
        <w:rPr>
          <w:sz w:val="20"/>
          <w:szCs w:val="20"/>
          <w:color w:val="auto"/>
        </w:rPr>
      </w:pPr>
    </w:p>
    <w:p>
      <w:pPr>
        <w:ind w:right="280" w:firstLine="1436"/>
        <w:spacing w:after="0" w:line="277" w:lineRule="auto"/>
        <w:tabs>
          <w:tab w:leader="none" w:pos="185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Party (a “</w:t>
      </w:r>
      <w:r>
        <w:rPr>
          <w:rFonts w:ascii="Arial" w:cs="Arial" w:eastAsia="Arial" w:hAnsi="Arial"/>
          <w:sz w:val="18"/>
          <w:szCs w:val="18"/>
          <w:u w:val="single" w:color="auto"/>
          <w:color w:val="auto"/>
        </w:rPr>
        <w:t>Notifying Party</w:t>
      </w:r>
      <w:r>
        <w:rPr>
          <w:rFonts w:ascii="Arial" w:cs="Arial" w:eastAsia="Arial" w:hAnsi="Arial"/>
          <w:sz w:val="18"/>
          <w:szCs w:val="18"/>
          <w:color w:val="auto"/>
        </w:rPr>
        <w:t>”) shall have the right to provide prompt written notice (a “</w:t>
      </w:r>
      <w:r>
        <w:rPr>
          <w:rFonts w:ascii="Arial" w:cs="Arial" w:eastAsia="Arial" w:hAnsi="Arial"/>
          <w:sz w:val="18"/>
          <w:szCs w:val="18"/>
          <w:u w:val="single" w:color="auto"/>
          <w:color w:val="auto"/>
        </w:rPr>
        <w:t>Wrong Pockets Notice</w:t>
      </w:r>
      <w:r>
        <w:rPr>
          <w:rFonts w:ascii="Arial" w:cs="Arial" w:eastAsia="Arial" w:hAnsi="Arial"/>
          <w:sz w:val="18"/>
          <w:szCs w:val="18"/>
          <w:color w:val="auto"/>
        </w:rPr>
        <w:t>”) to the other Party (a “</w:t>
      </w:r>
      <w:r>
        <w:rPr>
          <w:rFonts w:ascii="Arial" w:cs="Arial" w:eastAsia="Arial" w:hAnsi="Arial"/>
          <w:sz w:val="18"/>
          <w:szCs w:val="18"/>
          <w:u w:val="single" w:color="auto"/>
          <w:color w:val="auto"/>
        </w:rPr>
        <w:t>Receiving Party</w:t>
      </w:r>
      <w:r>
        <w:rPr>
          <w:rFonts w:ascii="Arial" w:cs="Arial" w:eastAsia="Arial" w:hAnsi="Arial"/>
          <w:sz w:val="18"/>
          <w:szCs w:val="18"/>
          <w:color w:val="auto"/>
        </w:rPr>
        <w:t>”), including in response to an inquiry from the Receiving Party, if, following the Effective Date:</w:t>
      </w:r>
    </w:p>
    <w:p>
      <w:pPr>
        <w:spacing w:after="0" w:line="62" w:lineRule="exact"/>
        <w:rPr>
          <w:rFonts w:ascii="Arial" w:cs="Arial" w:eastAsia="Arial" w:hAnsi="Arial"/>
          <w:sz w:val="18"/>
          <w:szCs w:val="18"/>
          <w:color w:val="auto"/>
        </w:rPr>
      </w:pPr>
    </w:p>
    <w:p>
      <w:pPr>
        <w:ind w:left="440" w:right="400" w:firstLine="1380"/>
        <w:spacing w:after="0" w:line="264" w:lineRule="auto"/>
        <w:tabs>
          <w:tab w:leader="none" w:pos="216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Notifying Party identifies a Patent Controlled by the other Party as of the Effective Date that is not included in the Licensed Patents licensed to such Notifying Party, and such Notifying Party reasonably believes that such Patent was Used in the Agriculture Business or the Specialty Products Business, as applicable, as of the Effective Date; or</w:t>
      </w:r>
    </w:p>
    <w:p>
      <w:pPr>
        <w:spacing w:after="0" w:line="73" w:lineRule="exact"/>
        <w:rPr>
          <w:rFonts w:ascii="Arial" w:cs="Arial" w:eastAsia="Arial" w:hAnsi="Arial"/>
          <w:sz w:val="18"/>
          <w:szCs w:val="18"/>
          <w:color w:val="auto"/>
        </w:rPr>
      </w:pPr>
    </w:p>
    <w:p>
      <w:pPr>
        <w:ind w:left="440" w:right="40" w:firstLine="1380"/>
        <w:spacing w:after="0" w:line="259" w:lineRule="auto"/>
        <w:tabs>
          <w:tab w:leader="none" w:pos="221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Notifying Party identifies a Use by such Notifying Party of a Licensed Patent (including, for clarity, any Wrong Pockets Patent) that is not within such Notifying Party’s licensed field of use hereunder for such Licensed Patent, and such Notifying Party reasonably believes that the Use of such Licensed Patent as of the Effective Date was within the Agriculture Business (if AgCo is the Notifying Party) or the Specialty Products Business (if SpecCo is the Notifying Party).</w:t>
      </w:r>
    </w:p>
    <w:p>
      <w:pPr>
        <w:spacing w:after="0" w:line="186" w:lineRule="exact"/>
        <w:rPr>
          <w:rFonts w:ascii="Arial" w:cs="Arial" w:eastAsia="Arial" w:hAnsi="Arial"/>
          <w:sz w:val="18"/>
          <w:szCs w:val="18"/>
          <w:color w:val="auto"/>
        </w:rPr>
      </w:pPr>
    </w:p>
    <w:p>
      <w:pPr>
        <w:ind w:right="180" w:firstLine="1436"/>
        <w:spacing w:after="0" w:line="308" w:lineRule="auto"/>
        <w:tabs>
          <w:tab w:leader="none" w:pos="1823"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Wrong Pockets Notice shall both identify the applicable Patent and describe the Use thereof in the Agriculture Business (if the Notifying Party is AgCo), or the Specialty Products Business (if the Notifying Party is SpecCo), as of the Effective Date.</w:t>
      </w:r>
    </w:p>
    <w:p>
      <w:pPr>
        <w:spacing w:after="0" w:line="146" w:lineRule="exact"/>
        <w:rPr>
          <w:rFonts w:ascii="Arial" w:cs="Arial" w:eastAsia="Arial" w:hAnsi="Arial"/>
          <w:sz w:val="17"/>
          <w:szCs w:val="17"/>
          <w:color w:val="auto"/>
        </w:rPr>
      </w:pPr>
    </w:p>
    <w:p>
      <w:pPr>
        <w:ind w:right="320" w:firstLine="1436"/>
        <w:spacing w:after="0" w:line="308" w:lineRule="auto"/>
        <w:tabs>
          <w:tab w:leader="none" w:pos="1812"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Unless otherwise agreed in writing by the Parties, if a Notifying Party provides a Wrong Pockets Notice in accordance with </w:t>
      </w:r>
      <w:r>
        <w:rPr>
          <w:rFonts w:ascii="Arial" w:cs="Arial" w:eastAsia="Arial" w:hAnsi="Arial"/>
          <w:sz w:val="17"/>
          <w:szCs w:val="17"/>
          <w:u w:val="single" w:color="auto"/>
          <w:color w:val="auto"/>
        </w:rPr>
        <w:t>Section 2.5(a)</w:t>
      </w:r>
      <w:r>
        <w:rPr>
          <w:rFonts w:ascii="Arial" w:cs="Arial" w:eastAsia="Arial" w:hAnsi="Arial"/>
          <w:sz w:val="17"/>
          <w:szCs w:val="17"/>
          <w:color w:val="auto"/>
        </w:rPr>
        <w:t>, the Notifying Party shall, within sixty (60) days of providing the Wrong Pockets Notice, demonstrate to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58" w:name="page59"/>
    <w:bookmarkEnd w:id="58"/>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Receiving Party by clear and convincing evidence (the “</w:t>
      </w:r>
      <w:r>
        <w:rPr>
          <w:rFonts w:ascii="Arial" w:cs="Arial" w:eastAsia="Arial" w:hAnsi="Arial"/>
          <w:sz w:val="17"/>
          <w:szCs w:val="17"/>
          <w:u w:val="single" w:color="auto"/>
          <w:color w:val="auto"/>
        </w:rPr>
        <w:t>Evidentiary Requirement</w:t>
      </w:r>
      <w:r>
        <w:rPr>
          <w:rFonts w:ascii="Arial" w:cs="Arial" w:eastAsia="Arial" w:hAnsi="Arial"/>
          <w:sz w:val="17"/>
          <w:szCs w:val="17"/>
          <w:color w:val="auto"/>
        </w:rPr>
        <w:t>”) that the identified Patent was Used in the manner identified in the Wrong Pockets Notice within the Agriculture Business (if the Notifying Party is AgCo) or the Specialty Products Business (if the Notifying Party is SpecCo) as of the Effective Date (such evidence, the “</w:t>
      </w:r>
      <w:r>
        <w:rPr>
          <w:rFonts w:ascii="Arial" w:cs="Arial" w:eastAsia="Arial" w:hAnsi="Arial"/>
          <w:sz w:val="17"/>
          <w:szCs w:val="17"/>
          <w:u w:val="single" w:color="auto"/>
          <w:color w:val="auto"/>
        </w:rPr>
        <w:t>Demonstration of Use</w:t>
      </w:r>
      <w:r>
        <w:rPr>
          <w:rFonts w:ascii="Arial" w:cs="Arial" w:eastAsia="Arial" w:hAnsi="Arial"/>
          <w:sz w:val="17"/>
          <w:szCs w:val="17"/>
          <w:color w:val="auto"/>
        </w:rPr>
        <w:t xml:space="preserve">”). The Receiving Party shall notify the Notifying Party in writing within thirty (30) days of receipt of the Demonstration of Use whether it reasonably believes in good faith that the Demonstration of Use satisfies the Evidentiary Requirement. Solely to the extent (with respect to the Patent and Use identified in the applicable Wrong Pockets Notice) that the Demonstration of Use satisfies the Evidentiary Requirements (whether determined by the Receiving Party in accordance with the foregoing, or in accordance with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if the Receiving Party fails to provide the Notifying Party with a response regarding whether the Demonstration of Use satisfies the Evidentiary Requirements within the applicable thirty (30) day period in accordance with the foregoing, such Patent shall be licensed to the Notifying Party for such Use (in the case of a Wrong Pockets Notice described in </w:t>
      </w:r>
      <w:r>
        <w:rPr>
          <w:rFonts w:ascii="Arial" w:cs="Arial" w:eastAsia="Arial" w:hAnsi="Arial"/>
          <w:sz w:val="17"/>
          <w:szCs w:val="17"/>
          <w:u w:val="single" w:color="auto"/>
          <w:color w:val="auto"/>
        </w:rPr>
        <w:t>Section 2.5(a)(i)</w:t>
      </w:r>
      <w:r>
        <w:rPr>
          <w:rFonts w:ascii="Arial" w:cs="Arial" w:eastAsia="Arial" w:hAnsi="Arial"/>
          <w:sz w:val="17"/>
          <w:szCs w:val="17"/>
          <w:color w:val="auto"/>
        </w:rPr>
        <w:t>) (each such Patent, a “</w:t>
      </w:r>
      <w:r>
        <w:rPr>
          <w:rFonts w:ascii="Arial" w:cs="Arial" w:eastAsia="Arial" w:hAnsi="Arial"/>
          <w:sz w:val="17"/>
          <w:szCs w:val="17"/>
          <w:u w:val="single" w:color="auto"/>
          <w:color w:val="auto"/>
        </w:rPr>
        <w:t>Wrong Pockets Patent</w:t>
      </w:r>
      <w:r>
        <w:rPr>
          <w:rFonts w:ascii="Arial" w:cs="Arial" w:eastAsia="Arial" w:hAnsi="Arial"/>
          <w:sz w:val="17"/>
          <w:szCs w:val="17"/>
          <w:color w:val="auto"/>
        </w:rPr>
        <w:t xml:space="preserve">”), or such Use shall be included in the Notifying Party’s field of use for such Patent (in the case of a Wrong Pockets Notice described in </w:t>
      </w:r>
      <w:r>
        <w:rPr>
          <w:rFonts w:ascii="Arial" w:cs="Arial" w:eastAsia="Arial" w:hAnsi="Arial"/>
          <w:sz w:val="17"/>
          <w:szCs w:val="17"/>
          <w:u w:val="single" w:color="auto"/>
          <w:color w:val="auto"/>
        </w:rPr>
        <w:t>Section 2.5(a)</w:t>
      </w:r>
      <w:r>
        <w:rPr>
          <w:rFonts w:ascii="Arial" w:cs="Arial" w:eastAsia="Arial" w:hAnsi="Arial"/>
          <w:sz w:val="17"/>
          <w:szCs w:val="17"/>
          <w:color w:val="auto"/>
        </w:rPr>
        <w:t>(ii)), as applicable, in each case, as further described in the following subsections (i) and (ii).</w:t>
      </w:r>
    </w:p>
    <w:p>
      <w:pPr>
        <w:spacing w:after="0" w:line="75" w:lineRule="exact"/>
        <w:rPr>
          <w:sz w:val="20"/>
          <w:szCs w:val="20"/>
          <w:color w:val="auto"/>
        </w:rPr>
      </w:pPr>
    </w:p>
    <w:p>
      <w:pPr>
        <w:ind w:left="440" w:firstLine="1380"/>
        <w:spacing w:after="0" w:line="270" w:lineRule="auto"/>
        <w:tabs>
          <w:tab w:leader="none" w:pos="2165"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Subject to the foregoing in this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unless otherwise agreed in writing by the Parties, with respect to a Wrong Pockets Notice described in </w:t>
      </w:r>
      <w:r>
        <w:rPr>
          <w:rFonts w:ascii="Arial" w:cs="Arial" w:eastAsia="Arial" w:hAnsi="Arial"/>
          <w:sz w:val="17"/>
          <w:szCs w:val="17"/>
          <w:u w:val="single" w:color="auto"/>
          <w:color w:val="auto"/>
        </w:rPr>
        <w:t>Section 2.5(a)(i)</w:t>
      </w:r>
      <w:r>
        <w:rPr>
          <w:rFonts w:ascii="Arial" w:cs="Arial" w:eastAsia="Arial" w:hAnsi="Arial"/>
          <w:sz w:val="17"/>
          <w:szCs w:val="17"/>
          <w:color w:val="auto"/>
        </w:rPr>
        <w:t xml:space="preserve">, each Patent identified in such notice (if the Demonstration of Use therefor satisfies the Evidentiary Requirement or the Receiving Party fails to provide the Notifying Party with a response in accordance with this </w:t>
      </w:r>
      <w:r>
        <w:rPr>
          <w:rFonts w:ascii="Arial" w:cs="Arial" w:eastAsia="Arial" w:hAnsi="Arial"/>
          <w:sz w:val="17"/>
          <w:szCs w:val="17"/>
          <w:u w:val="single" w:color="auto"/>
          <w:color w:val="auto"/>
        </w:rPr>
        <w:t>Section 2.5(c)</w:t>
      </w:r>
      <w:r>
        <w:rPr>
          <w:rFonts w:ascii="Arial" w:cs="Arial" w:eastAsia="Arial" w:hAnsi="Arial"/>
          <w:sz w:val="17"/>
          <w:szCs w:val="17"/>
          <w:color w:val="auto"/>
        </w:rPr>
        <w:t>) shall be a SpecCo Licensed Patent if AgCo is the Notifying Party or an AgCo Licensed Patent if SpecCo is the Notifying Party, and for clarity, the license to the Notifying Party therefor shall be non-exclusive and the field for which it is licensed pursuant to this Agreement (which, notwithstanding anything to the contrary herein, shall be deemed to be the AgCo Field for such Patent if AgCo is the Notifying Party and the SpecCo Field for such Patent if SpecCo is the Notifying Party) shall be limited solely to the Use made by such Notifying Party and its Affiliates as of the Effective Date (to the extent that the Demonstration of Use therefor satisfies the Evidentiary Requirement) and natural evolutions thereof, subject to the terms and conditions of any licenses and other rights granted by or on behalf of Licensor or any of its Affiliates to any Third Parties with respect to such Patent prior to the date of the Wrong Pockets Notice.</w:t>
      </w:r>
    </w:p>
    <w:p>
      <w:pPr>
        <w:spacing w:after="0" w:line="69" w:lineRule="exact"/>
        <w:rPr>
          <w:rFonts w:ascii="Arial" w:cs="Arial" w:eastAsia="Arial" w:hAnsi="Arial"/>
          <w:sz w:val="17"/>
          <w:szCs w:val="17"/>
          <w:color w:val="auto"/>
        </w:rPr>
      </w:pPr>
    </w:p>
    <w:p>
      <w:pPr>
        <w:ind w:left="440" w:firstLine="1380"/>
        <w:spacing w:after="0" w:line="254" w:lineRule="auto"/>
        <w:tabs>
          <w:tab w:leader="none" w:pos="22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Subject to the foregoing in this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unless otherwise agreed in writing by the Parties, with respect to a Wrong Pockets Notice described in </w:t>
      </w:r>
      <w:r>
        <w:rPr>
          <w:rFonts w:ascii="Arial" w:cs="Arial" w:eastAsia="Arial" w:hAnsi="Arial"/>
          <w:sz w:val="18"/>
          <w:szCs w:val="18"/>
          <w:u w:val="single" w:color="auto"/>
          <w:color w:val="auto"/>
        </w:rPr>
        <w:t>Section 2.5(a)(ii)</w:t>
      </w:r>
      <w:r>
        <w:rPr>
          <w:rFonts w:ascii="Arial" w:cs="Arial" w:eastAsia="Arial" w:hAnsi="Arial"/>
          <w:sz w:val="18"/>
          <w:szCs w:val="18"/>
          <w:color w:val="auto"/>
        </w:rPr>
        <w:t xml:space="preserve">, each Use for a Licensed Patent identified in the Wrong Pockets Notice (to the extent that Demonstration of Use therefor satisfies the Evidentiary Requirement or the Receiving Party fails to provide the Notifying Party with a response in accordance with this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and natural evolutions thereof shall be deemed to be in the AgCo Field for such Licensed Patent if AgCo is the Notifying Party and in the SpecCo Field for such Licensed Patent if SpecCo is the Notifying Party and the license granted to such field shall be nonexclusive;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rights with respect to such Use retained by the Notifying Party shall be subject to the terms and conditions of any licenses and other rights granted by or on behalf of the Receiving Party or any of its Affiliates to any Third Parties with respect to such Patent prior to the date of the Wrong Pockets Notice.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59" w:name="page60"/>
    <w:bookmarkEnd w:id="59"/>
    <w:p>
      <w:pPr>
        <w:ind w:left="1816" w:hanging="384"/>
        <w:spacing w:after="0"/>
        <w:tabs>
          <w:tab w:leader="none" w:pos="1816" w:val="left"/>
        </w:tabs>
        <w:numPr>
          <w:ilvl w:val="1"/>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herein, unless otherwise agreed upon by the Parties, each Party shall only have two</w:t>
      </w:r>
    </w:p>
    <w:p>
      <w:pPr>
        <w:spacing w:after="0" w:line="46" w:lineRule="exact"/>
        <w:rPr>
          <w:rFonts w:ascii="Arial" w:cs="Arial" w:eastAsia="Arial" w:hAnsi="Arial"/>
          <w:sz w:val="16"/>
          <w:szCs w:val="16"/>
          <w:color w:val="auto"/>
        </w:rPr>
      </w:pPr>
    </w:p>
    <w:p>
      <w:pPr>
        <w:ind w:left="-4" w:right="200" w:firstLine="4"/>
        <w:spacing w:after="0" w:line="277" w:lineRule="auto"/>
        <w:tabs>
          <w:tab w:leader="none" w:pos="251"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years after the Effective Date to provide a Wrong Pockets Notice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to the other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the case of </w:t>
      </w:r>
      <w:r>
        <w:rPr>
          <w:rFonts w:ascii="Arial" w:cs="Arial" w:eastAsia="Arial" w:hAnsi="Arial"/>
          <w:sz w:val="17"/>
          <w:szCs w:val="17"/>
          <w:u w:val="single" w:color="auto"/>
          <w:color w:val="auto"/>
        </w:rPr>
        <w:t>Section 2.5(a)(i)</w:t>
      </w:r>
      <w:r>
        <w:rPr>
          <w:rFonts w:ascii="Arial" w:cs="Arial" w:eastAsia="Arial" w:hAnsi="Arial"/>
          <w:sz w:val="17"/>
          <w:szCs w:val="17"/>
          <w:color w:val="auto"/>
        </w:rPr>
        <w:t>, with respect to Patent applications filed prior to the Effective Date, such period shall extend until the date that is six (6) months after the publication of such Patent application if the expiration of such six (6) month period occurs after such two (2) year period expires.</w:t>
      </w:r>
    </w:p>
    <w:p>
      <w:pPr>
        <w:spacing w:after="0" w:line="173" w:lineRule="exact"/>
        <w:rPr>
          <w:rFonts w:ascii="Arial" w:cs="Arial" w:eastAsia="Arial" w:hAnsi="Arial"/>
          <w:sz w:val="17"/>
          <w:szCs w:val="17"/>
          <w:color w:val="auto"/>
        </w:rPr>
      </w:pPr>
    </w:p>
    <w:p>
      <w:pPr>
        <w:ind w:left="-4" w:right="180" w:firstLine="1436"/>
        <w:spacing w:after="0" w:line="264" w:lineRule="auto"/>
        <w:tabs>
          <w:tab w:leader="none" w:pos="1809"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Sections 2.5(a)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unless and only to the extent that the Receiving Party provides its prior written consent (which the Receiving Party may withhold in its sole discretion), in the event that the Parties expressly discussed prior to the Effective Date that:</w:t>
      </w:r>
    </w:p>
    <w:p>
      <w:pPr>
        <w:spacing w:after="0" w:line="73" w:lineRule="exact"/>
        <w:rPr>
          <w:rFonts w:ascii="Arial" w:cs="Arial" w:eastAsia="Arial" w:hAnsi="Arial"/>
          <w:sz w:val="18"/>
          <w:szCs w:val="18"/>
          <w:color w:val="auto"/>
        </w:rPr>
      </w:pPr>
    </w:p>
    <w:p>
      <w:pPr>
        <w:ind w:left="436" w:right="100" w:firstLine="1380"/>
        <w:spacing w:after="0" w:line="259" w:lineRule="auto"/>
        <w:tabs>
          <w:tab w:leader="none" w:pos="2161" w:val="left"/>
        </w:tabs>
        <w:numPr>
          <w:ilvl w:val="2"/>
          <w:numId w:val="67"/>
        </w:numPr>
        <w:rPr>
          <w:rFonts w:ascii="Arial" w:cs="Arial" w:eastAsia="Arial" w:hAnsi="Arial"/>
          <w:sz w:val="18"/>
          <w:szCs w:val="18"/>
          <w:color w:val="auto"/>
        </w:rPr>
      </w:pPr>
      <w:r>
        <w:rPr>
          <w:rFonts w:ascii="Arial" w:cs="Arial" w:eastAsia="Arial" w:hAnsi="Arial"/>
          <w:sz w:val="18"/>
          <w:szCs w:val="18"/>
          <w:color w:val="auto"/>
        </w:rPr>
        <w:t xml:space="preserve">any Patent would not be included in the Notifying Party’s Licensed Patents in the case of a Wrong Pockets Notice described in </w:t>
      </w:r>
      <w:r>
        <w:rPr>
          <w:rFonts w:ascii="Arial" w:cs="Arial" w:eastAsia="Arial" w:hAnsi="Arial"/>
          <w:sz w:val="18"/>
          <w:szCs w:val="18"/>
          <w:u w:val="single" w:color="auto"/>
          <w:color w:val="auto"/>
        </w:rPr>
        <w:t>Section 2.5(a)(i)</w:t>
      </w:r>
      <w:r>
        <w:rPr>
          <w:rFonts w:ascii="Arial" w:cs="Arial" w:eastAsia="Arial" w:hAnsi="Arial"/>
          <w:sz w:val="18"/>
          <w:szCs w:val="18"/>
          <w:color w:val="auto"/>
        </w:rPr>
        <w:t>, such Patent shall not be included in the Notifying Party’s Licensed Patents (</w:t>
      </w:r>
      <w:r>
        <w:rPr>
          <w:rFonts w:ascii="Arial" w:cs="Arial" w:eastAsia="Arial" w:hAnsi="Arial"/>
          <w:sz w:val="18"/>
          <w:szCs w:val="18"/>
          <w:u w:val="single" w:color="auto"/>
          <w:color w:val="auto"/>
        </w:rPr>
        <w:t>provided that</w:t>
      </w:r>
      <w:r>
        <w:rPr>
          <w:rFonts w:ascii="Arial" w:cs="Arial" w:eastAsia="Arial" w:hAnsi="Arial"/>
          <w:sz w:val="18"/>
          <w:szCs w:val="18"/>
          <w:color w:val="auto"/>
        </w:rPr>
        <w:t>, in determining that such Patent would not be a Licensed Patent hereunder, the Parties discussed prior to the Effective Date the Use identified in the Wrong Pockets Notice for such Patent); or</w:t>
      </w:r>
    </w:p>
    <w:p>
      <w:pPr>
        <w:spacing w:after="0" w:line="78" w:lineRule="exact"/>
        <w:rPr>
          <w:rFonts w:ascii="Arial" w:cs="Arial" w:eastAsia="Arial" w:hAnsi="Arial"/>
          <w:sz w:val="18"/>
          <w:szCs w:val="18"/>
          <w:color w:val="auto"/>
        </w:rPr>
      </w:pPr>
    </w:p>
    <w:p>
      <w:pPr>
        <w:ind w:left="436" w:right="40" w:firstLine="1380"/>
        <w:spacing w:after="0" w:line="264" w:lineRule="auto"/>
        <w:tabs>
          <w:tab w:leader="none" w:pos="2211" w:val="left"/>
        </w:tabs>
        <w:numPr>
          <w:ilvl w:val="2"/>
          <w:numId w:val="67"/>
        </w:numPr>
        <w:rPr>
          <w:rFonts w:ascii="Arial" w:cs="Arial" w:eastAsia="Arial" w:hAnsi="Arial"/>
          <w:sz w:val="18"/>
          <w:szCs w:val="18"/>
          <w:color w:val="auto"/>
        </w:rPr>
      </w:pPr>
      <w:r>
        <w:rPr>
          <w:rFonts w:ascii="Arial" w:cs="Arial" w:eastAsia="Arial" w:hAnsi="Arial"/>
          <w:sz w:val="18"/>
          <w:szCs w:val="18"/>
          <w:color w:val="auto"/>
        </w:rPr>
        <w:t xml:space="preserve">any Use would not be included in the Notifying Party’s field of use for a specific Licensed Patent in the case of a Wrong Pockets Notice described in </w:t>
      </w:r>
      <w:r>
        <w:rPr>
          <w:rFonts w:ascii="Arial" w:cs="Arial" w:eastAsia="Arial" w:hAnsi="Arial"/>
          <w:sz w:val="18"/>
          <w:szCs w:val="18"/>
          <w:u w:val="single" w:color="auto"/>
          <w:color w:val="auto"/>
        </w:rPr>
        <w:t>Section 2.5(a)(ii)</w:t>
      </w:r>
      <w:r>
        <w:rPr>
          <w:rFonts w:ascii="Arial" w:cs="Arial" w:eastAsia="Arial" w:hAnsi="Arial"/>
          <w:sz w:val="18"/>
          <w:szCs w:val="18"/>
          <w:color w:val="auto"/>
        </w:rPr>
        <w:t xml:space="preserve"> (as applicable), such Use shall not be included in the Notifying Party’s licensed field of use for such Patent.</w:t>
      </w:r>
    </w:p>
    <w:p>
      <w:pPr>
        <w:spacing w:after="0" w:line="181" w:lineRule="exact"/>
        <w:rPr>
          <w:sz w:val="20"/>
          <w:szCs w:val="20"/>
          <w:color w:val="auto"/>
        </w:rPr>
      </w:pPr>
    </w:p>
    <w:p>
      <w:pPr>
        <w:ind w:left="436" w:right="460" w:firstLine="1380"/>
        <w:spacing w:after="0" w:line="277" w:lineRule="auto"/>
        <w:tabs>
          <w:tab w:leader="none" w:pos="221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Sections 2.5(a)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2.5(e</w:t>
      </w:r>
      <w:r>
        <w:rPr>
          <w:rFonts w:ascii="Arial" w:cs="Arial" w:eastAsia="Arial" w:hAnsi="Arial"/>
          <w:sz w:val="18"/>
          <w:szCs w:val="18"/>
          <w:color w:val="auto"/>
        </w:rPr>
        <w:t>), those patents set forth on Schedule K are specifically excluded from and are not subject to a Wrong Pockets Notice.</w:t>
      </w:r>
    </w:p>
    <w:p>
      <w:pPr>
        <w:spacing w:after="0" w:line="279" w:lineRule="exact"/>
        <w:rPr>
          <w:sz w:val="20"/>
          <w:szCs w:val="20"/>
          <w:color w:val="auto"/>
        </w:rPr>
      </w:pPr>
    </w:p>
    <w:p>
      <w:pPr>
        <w:ind w:left="1436"/>
        <w:spacing w:after="0"/>
        <w:tabs>
          <w:tab w:leader="none" w:pos="2396"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5"/>
          <w:szCs w:val="15"/>
          <w:u w:val="single" w:color="auto"/>
          <w:color w:val="auto"/>
        </w:rPr>
        <w:t>Sublicenses</w:t>
      </w:r>
      <w:r>
        <w:rPr>
          <w:rFonts w:ascii="Arial" w:cs="Arial" w:eastAsia="Arial" w:hAnsi="Arial"/>
          <w:sz w:val="15"/>
          <w:szCs w:val="15"/>
          <w:color w:val="auto"/>
        </w:rPr>
        <w:t>.</w:t>
      </w:r>
    </w:p>
    <w:p>
      <w:pPr>
        <w:spacing w:after="0" w:line="117" w:lineRule="exact"/>
        <w:rPr>
          <w:sz w:val="20"/>
          <w:szCs w:val="20"/>
          <w:color w:val="auto"/>
        </w:rPr>
      </w:pPr>
    </w:p>
    <w:p>
      <w:pPr>
        <w:ind w:left="-4" w:firstLine="1436"/>
        <w:spacing w:after="0" w:line="288" w:lineRule="auto"/>
        <w:tabs>
          <w:tab w:leader="none" w:pos="1809"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Licensee may sublicense the license and rights granted to Licensee under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(as applicable) to (i) its Affiliates, (ii) in the case of all Licensed IP other than the Seeds and Beads IP, Third Parties in connection with the operation of the business of Licensee or its Affiliates, but not for the independent use of any such Third Party, including distributors that need to practice the applicable Intellectual Property to provide ordinary course distribution services to Licensee and its Affiliates; </w:t>
      </w:r>
      <w:r>
        <w:rPr>
          <w:rFonts w:ascii="Arial" w:cs="Arial" w:eastAsia="Arial" w:hAnsi="Arial"/>
          <w:sz w:val="16"/>
          <w:szCs w:val="16"/>
          <w:u w:val="single" w:color="auto"/>
          <w:color w:val="auto"/>
        </w:rPr>
        <w:t>provided that</w:t>
      </w:r>
      <w:r>
        <w:rPr>
          <w:rFonts w:ascii="Arial" w:cs="Arial" w:eastAsia="Arial" w:hAnsi="Arial"/>
          <w:sz w:val="16"/>
          <w:szCs w:val="16"/>
          <w:color w:val="auto"/>
        </w:rPr>
        <w:t>, with respect to the Licensed Standards, sublicensing to such Third Parties shall be solely for such Third Parties to provide services to the Specialty Products Business or Agriculture Business (as applicable) in the ordinary course at any or all Licensed Facilities (but not for the independent use of such Third Party), (iii) in the case of the Seeds and Beads IP, to Third Parties (1) who are bona fide collaborators or partners of Licensee or any of its Affiliates, or (2) in connection with which sublicense Licensee or any of its Affiliates is also granting a license or other rights to any other Intellectual Property for seed coating and seed treatment technology owned by or licensed to Licensee or any of its Affiliates, in each case (1) and (2), for use in connection with the practice of seed coating and seed treatment technology, and (iv) with the prior written consent of Licensor, other Third Parties (each such Affiliate or Third Party, a “</w:t>
      </w:r>
      <w:r>
        <w:rPr>
          <w:rFonts w:ascii="Arial" w:cs="Arial" w:eastAsia="Arial" w:hAnsi="Arial"/>
          <w:sz w:val="16"/>
          <w:szCs w:val="16"/>
          <w:u w:val="single" w:color="auto"/>
          <w:color w:val="auto"/>
        </w:rPr>
        <w:t>Sublicensee</w:t>
      </w:r>
      <w:r>
        <w:rPr>
          <w:rFonts w:ascii="Arial" w:cs="Arial" w:eastAsia="Arial" w:hAnsi="Arial"/>
          <w:sz w:val="16"/>
          <w:szCs w:val="16"/>
          <w:color w:val="auto"/>
        </w:rPr>
        <w:t>”).</w:t>
      </w:r>
    </w:p>
    <w:p>
      <w:pPr>
        <w:spacing w:after="0" w:line="10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96"/>
          </w:cols>
          <w:pgMar w:left="444" w:top="274" w:right="459" w:bottom="1440" w:gutter="0" w:footer="0" w:header="0"/>
        </w:sectPr>
      </w:pPr>
    </w:p>
    <w:bookmarkStart w:id="60" w:name="page61"/>
    <w:bookmarkEnd w:id="60"/>
    <w:p>
      <w:pPr>
        <w:ind w:left="-80" w:right="20" w:firstLine="1436"/>
        <w:spacing w:after="0" w:line="269" w:lineRule="auto"/>
        <w:tabs>
          <w:tab w:leader="none" w:pos="1743" w:val="left"/>
        </w:tabs>
        <w:numPr>
          <w:ilvl w:val="0"/>
          <w:numId w:val="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sublicense granted by a Licensee under the license granted to such Licensee in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shall be granted pursuant to an agreement that (i) is subject to, and consistent with, the terms and conditions of this Agreement and includes provisions at least as protective of Licensor and its Affiliates as the provisions of this Agreement (except that such sublicense shall not be required to provide rights for Licensor to audit Sublicensee in accordance with, and subject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(1) if the sublicense is granted to an Affiliate or (2) with respect to sublicenses of Licensed Know-How, Licensed Copyrights or Business Software where the primary purpose of such arrangement with sublicensee is not to grant access to such Licensed Know-How, Licensed Copyrights or Business Software), (ii) to the extent with respect to Licensed Patents or AgCo Licensed Standards and if Sublicensee is a Third Party, provides that Licensor shall be an intended beneficiary thereunder with the right of direct enforcement against the Sublicensee (including, for clarity, with respect to the audit rights set forth in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to the extent applicable), and (iii) to the extent with respect to Licensed Patents or AgCo Licensed Standards, is in writing if the Sublicensee is a Third Party. For clarity, granting a sublicense shall not relieve Licensee of any obligations hereunder and Licensee shall cause each of its Sublicensees to comply, and shall remain responsible for its Sublicensees’ compliance, with the terms hereof applicable to Licensee.</w:t>
      </w:r>
    </w:p>
    <w:p>
      <w:pPr>
        <w:spacing w:after="0" w:line="291" w:lineRule="exact"/>
        <w:rPr>
          <w:sz w:val="20"/>
          <w:szCs w:val="20"/>
          <w:color w:val="auto"/>
        </w:rPr>
      </w:pPr>
    </w:p>
    <w:p>
      <w:pPr>
        <w:ind w:left="1360"/>
        <w:spacing w:after="0"/>
        <w:tabs>
          <w:tab w:leader="none" w:pos="232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Third Party Rights</w:t>
      </w:r>
      <w:r>
        <w:rPr>
          <w:rFonts w:ascii="Arial" w:cs="Arial" w:eastAsia="Arial" w:hAnsi="Arial"/>
          <w:sz w:val="16"/>
          <w:szCs w:val="16"/>
          <w:color w:val="auto"/>
        </w:rPr>
        <w:t>.</w:t>
      </w:r>
    </w:p>
    <w:p>
      <w:pPr>
        <w:spacing w:after="0" w:line="117" w:lineRule="exact"/>
        <w:rPr>
          <w:sz w:val="20"/>
          <w:szCs w:val="20"/>
          <w:color w:val="auto"/>
        </w:rPr>
      </w:pPr>
    </w:p>
    <w:p>
      <w:pPr>
        <w:ind w:left="-80" w:firstLine="1436"/>
        <w:spacing w:after="0" w:line="268" w:lineRule="auto"/>
        <w:tabs>
          <w:tab w:leader="none" w:pos="1732"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the terms and conditions of this Agreement (including the licenses granted under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are subject to any and all rights of and obligations owed to any Third Parties with respect to the Licensed IP under any Contracts existing as of the Effective Date (or in the case of any Wrong Pockets Patents, existing as of or prior to the date of the Wrong Pockets Notice) to which Licensor or any of its Affiliates is a party or is otherwise bound, and to the extent that, as a result of such rights or obligations, any license or other rights granted hereunder: (i) may not be granted without the consent of or payment of a fee or other consideration; or (ii) will cause Licensor or any of its Affiliates to be in breach of any of its or their obligations to any Third Party, the applicable licenses and other rights granted hereunder shall only be granted to the extent such consent has been obtained or such fee or other consideration has been paid. The Parties shall use commercially reasonable efforts to obtain any such consents to the extent required to grant Licensee the rights granted hereunder;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the foregoing shall not require the Parties to duplicate any obligations undertaken under the Separation Agreement and (ii) notwithstanding anything herein to the contrary, Licensor shall have no obligation to agree to or make any payments or other concessions, except as mutually agreed in writing between the Parties, or participate in any act or omission that will cause Licensor to be in breach of its or their obligations to any Third Party. Notwithstanding the foregoing, Licensee shall not be deemed in breach of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only if, and for such time, Licensee is not aware of such rights of or obligations owed to such Third Party.</w:t>
      </w:r>
    </w:p>
    <w:p>
      <w:pPr>
        <w:spacing w:after="0" w:line="187" w:lineRule="exact"/>
        <w:rPr>
          <w:rFonts w:ascii="Arial" w:cs="Arial" w:eastAsia="Arial" w:hAnsi="Arial"/>
          <w:sz w:val="17"/>
          <w:szCs w:val="17"/>
          <w:color w:val="auto"/>
        </w:rPr>
      </w:pPr>
    </w:p>
    <w:p>
      <w:pPr>
        <w:ind w:left="-80" w:firstLine="1436"/>
        <w:spacing w:after="0" w:line="273" w:lineRule="auto"/>
        <w:tabs>
          <w:tab w:leader="none" w:pos="17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Third Party Payments, if any, with respect to the Licensed IP shall be Licensee’s sole responsibility. Licensee shall pay the Third Party Payments directly to the applicable Third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such Third Party does not permit Licensee to pay such Third Party Payments to such Third Party directly (whether pursuant to the applicable Contract or otherwise) after the Parties have used commercially reasonable efforts to permit the Licensee to pay the Third Party directly, the Parties shall cooperate in good faith to ensure that such Third Party Payments are paid by Licensee to Licensor in a manner that ensures Licensor’s payment thereof is in compliance with the obligations to the applicable Third Party. Such cooperation shall include Licensee (i)</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520" w:top="274" w:right="519" w:bottom="1440" w:gutter="0" w:footer="0" w:header="0"/>
        </w:sectPr>
      </w:pPr>
    </w:p>
    <w:bookmarkStart w:id="61" w:name="page62"/>
    <w:bookmarkEnd w:id="6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preparing and providing Licensor with reasonably detailed written reports reflecting calculation of the applicable Third Party Payments and any other information required by the applicable Third Parties and (ii) paying Licensor the applicable Third Party Payments by wire transfer of immediately available funds to the bank account designated by Licensor in writing no less than ten (10) days prior to the due date of such payment pursuant to the terms of the applicable Contract. If either Party becomes aware of any Third Party Payments, it shall reasonably promptly notify the other Party in writing, and notwithstanding anything to the contrary in this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Licensee shall not be deemed in breach of this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if, and for such time, Licensee is not aware of the applicable Third Party Payments; </w:t>
      </w:r>
      <w:r>
        <w:rPr>
          <w:rFonts w:ascii="Arial" w:cs="Arial" w:eastAsia="Arial" w:hAnsi="Arial"/>
          <w:sz w:val="18"/>
          <w:szCs w:val="18"/>
          <w:u w:val="single" w:color="auto"/>
          <w:color w:val="auto"/>
        </w:rPr>
        <w:t>provided that</w:t>
      </w:r>
      <w:r>
        <w:rPr>
          <w:rFonts w:ascii="Arial" w:cs="Arial" w:eastAsia="Arial" w:hAnsi="Arial"/>
          <w:sz w:val="18"/>
          <w:szCs w:val="18"/>
          <w:color w:val="auto"/>
        </w:rPr>
        <w:t>, upon learning of such Third Party Payments, Licensee shall promptly pay such Third Party Payments to the applicable Third Party directly (or such other Person as reasonably directed by Licensor) to the extent such Third Party Payments are past due.</w:t>
      </w:r>
    </w:p>
    <w:p>
      <w:pPr>
        <w:spacing w:after="0" w:line="192" w:lineRule="exact"/>
        <w:rPr>
          <w:sz w:val="20"/>
          <w:szCs w:val="20"/>
          <w:color w:val="auto"/>
        </w:rPr>
      </w:pPr>
    </w:p>
    <w:p>
      <w:pPr>
        <w:ind w:left="1440"/>
        <w:spacing w:after="0"/>
        <w:tabs>
          <w:tab w:leader="none" w:pos="18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 xml:space="preserve">Certain agreements subject to Subsections (a) and (b) hereof are set forth on </w:t>
      </w:r>
      <w:r>
        <w:rPr>
          <w:rFonts w:ascii="Arial" w:cs="Arial" w:eastAsia="Arial" w:hAnsi="Arial"/>
          <w:sz w:val="16"/>
          <w:szCs w:val="16"/>
          <w:u w:val="single" w:color="auto"/>
          <w:color w:val="auto"/>
        </w:rPr>
        <w:t>Schedule L</w:t>
      </w:r>
      <w:r>
        <w:rPr>
          <w:rFonts w:ascii="Arial" w:cs="Arial" w:eastAsia="Arial" w:hAnsi="Arial"/>
          <w:sz w:val="16"/>
          <w:szCs w:val="16"/>
          <w:color w:val="auto"/>
        </w:rPr>
        <w:t xml:space="preserve"> hereto.</w:t>
      </w:r>
    </w:p>
    <w:p>
      <w:pPr>
        <w:spacing w:after="0" w:line="117" w:lineRule="exact"/>
        <w:rPr>
          <w:sz w:val="20"/>
          <w:szCs w:val="20"/>
          <w:color w:val="auto"/>
        </w:rPr>
      </w:pPr>
    </w:p>
    <w:p>
      <w:pPr>
        <w:ind w:right="100" w:firstLine="1433"/>
        <w:spacing w:after="0" w:line="308"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No Use Outside Field</w:t>
      </w:r>
      <w:r>
        <w:rPr>
          <w:rFonts w:ascii="Arial" w:cs="Arial" w:eastAsia="Arial" w:hAnsi="Arial"/>
          <w:sz w:val="17"/>
          <w:szCs w:val="17"/>
          <w:color w:val="auto"/>
        </w:rPr>
        <w:t>. Each Party shall not, and shall cause its Affiliates to not, as Licensee, exercise rights under any Licensed IP except to the extent expressly licensed hereunder or expressly agreed upon in advance in writing by Licensor.</w:t>
      </w:r>
    </w:p>
    <w:p>
      <w:pPr>
        <w:spacing w:after="0" w:line="38" w:lineRule="exact"/>
        <w:rPr>
          <w:sz w:val="20"/>
          <w:szCs w:val="20"/>
          <w:color w:val="auto"/>
        </w:rPr>
      </w:pPr>
    </w:p>
    <w:p>
      <w:pPr>
        <w:ind w:right="60" w:firstLine="1433"/>
        <w:spacing w:after="0" w:line="27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Reservation of Rights</w:t>
      </w:r>
      <w:r>
        <w:rPr>
          <w:rFonts w:ascii="Arial" w:cs="Arial" w:eastAsia="Arial" w:hAnsi="Arial"/>
          <w:sz w:val="17"/>
          <w:szCs w:val="17"/>
          <w:color w:val="auto"/>
        </w:rPr>
        <w:t xml:space="preserve">. Each Party reserves its and its Affiliates’ rights in and to all Intellectual Property that is not expressly licensed or otherwise granted hereunder. Without limiting the foregoing, this Agreement and the licenses and rights granted herein do not, and shall not be construed to, confer any rights upon either Party, its Affiliates, or its Sublicensees by implication, estoppel, or otherwise as to any of the other Party’s Intellectual Property (including, for clarity, any Excluded IP, except to the extent expressly licensed under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280" w:lineRule="exact"/>
        <w:rPr>
          <w:sz w:val="20"/>
          <w:szCs w:val="20"/>
          <w:color w:val="auto"/>
        </w:rPr>
      </w:pPr>
    </w:p>
    <w:p>
      <w:pPr>
        <w:ind w:left="1440"/>
        <w:spacing w:after="0"/>
        <w:tabs>
          <w:tab w:leader="none" w:pos="24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Retention and Transfer of Licensed Know-How</w:t>
      </w:r>
      <w:r>
        <w:rPr>
          <w:rFonts w:ascii="Arial" w:cs="Arial" w:eastAsia="Arial" w:hAnsi="Arial"/>
          <w:sz w:val="16"/>
          <w:szCs w:val="16"/>
          <w:color w:val="auto"/>
        </w:rPr>
        <w:t>.</w:t>
      </w:r>
    </w:p>
    <w:p>
      <w:pPr>
        <w:spacing w:after="0" w:line="117" w:lineRule="exact"/>
        <w:rPr>
          <w:sz w:val="20"/>
          <w:szCs w:val="20"/>
          <w:color w:val="auto"/>
        </w:rPr>
      </w:pPr>
    </w:p>
    <w:p>
      <w:pPr>
        <w:ind w:firstLine="1436"/>
        <w:spacing w:after="0" w:line="283" w:lineRule="auto"/>
        <w:tabs>
          <w:tab w:leader="none" w:pos="1812" w:val="left"/>
        </w:tabs>
        <w:numPr>
          <w:ilvl w:val="1"/>
          <w:numId w:val="72"/>
        </w:numPr>
        <w:rPr>
          <w:rFonts w:ascii="Arial" w:cs="Arial" w:eastAsia="Arial" w:hAnsi="Arial"/>
          <w:sz w:val="16"/>
          <w:szCs w:val="16"/>
          <w:color w:val="auto"/>
        </w:rPr>
      </w:pPr>
      <w:r>
        <w:rPr>
          <w:rFonts w:ascii="Arial" w:cs="Arial" w:eastAsia="Arial" w:hAnsi="Arial"/>
          <w:sz w:val="16"/>
          <w:szCs w:val="16"/>
          <w:color w:val="auto"/>
        </w:rPr>
        <w:t>If AgCo or SpecCo (the “</w:t>
      </w:r>
      <w:r>
        <w:rPr>
          <w:rFonts w:ascii="Arial" w:cs="Arial" w:eastAsia="Arial" w:hAnsi="Arial"/>
          <w:sz w:val="16"/>
          <w:szCs w:val="16"/>
          <w:u w:val="single" w:color="auto"/>
          <w:color w:val="auto"/>
        </w:rPr>
        <w:t>Requesting Party</w:t>
      </w:r>
      <w:r>
        <w:rPr>
          <w:rFonts w:ascii="Arial" w:cs="Arial" w:eastAsia="Arial" w:hAnsi="Arial"/>
          <w:sz w:val="16"/>
          <w:szCs w:val="16"/>
          <w:color w:val="auto"/>
        </w:rPr>
        <w:t>”) reasonably believes that any Know-How Materials are in possession or control of the other Party (such Party, the “</w:t>
      </w:r>
      <w:r>
        <w:rPr>
          <w:rFonts w:ascii="Arial" w:cs="Arial" w:eastAsia="Arial" w:hAnsi="Arial"/>
          <w:sz w:val="16"/>
          <w:szCs w:val="16"/>
          <w:u w:val="single" w:color="auto"/>
          <w:color w:val="auto"/>
        </w:rPr>
        <w:t>Holding Party</w:t>
      </w:r>
      <w:r>
        <w:rPr>
          <w:rFonts w:ascii="Arial" w:cs="Arial" w:eastAsia="Arial" w:hAnsi="Arial"/>
          <w:sz w:val="16"/>
          <w:szCs w:val="16"/>
          <w:color w:val="auto"/>
        </w:rPr>
        <w:t>”) or any of its Affiliates and such Know-How Materials are not in the possession or control of the Requesting Party or any of its Affiliates, and the Requesting Party makes a request in writing during the two (2) year period following the Effective Date that the Holding Party deliver the Know-How Materials to the Requesting Party, the Holding Party shall review such request and, to the extent in the possession or control of the Holding Party or any of its Affiliates and, for purposes of Business Software only, is reasonably accessible to the Holding Party for purposes of transfer to the Requesting Party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subject to the below provisos, such accessibility shall not take into account whether such Business Software is integrated with other Software), deliver the Know-How Materials to the Requesting Party as promptly as reasonably practicable and in any event within thirty (30) Business Days of receiving such request from the Requesting Party; </w:t>
      </w:r>
      <w:r>
        <w:rPr>
          <w:rFonts w:ascii="Arial" w:cs="Arial" w:eastAsia="Arial" w:hAnsi="Arial"/>
          <w:sz w:val="16"/>
          <w:szCs w:val="16"/>
          <w:u w:val="single" w:color="auto"/>
          <w:color w:val="auto"/>
        </w:rPr>
        <w:t>provided that</w:t>
      </w:r>
      <w:r>
        <w:rPr>
          <w:rFonts w:ascii="Arial" w:cs="Arial" w:eastAsia="Arial" w:hAnsi="Arial"/>
          <w:sz w:val="16"/>
          <w:szCs w:val="16"/>
          <w:color w:val="auto"/>
        </w:rPr>
        <w:t>, the Holding Party shall notify the Requesting Party within such thirty (30) Business Day period if it reasonably believes that such request requires a longer period of review to determine if the request concerns SpecCo Licensed Know-How, AgCo Licensed Know-How, SpecCo Licensed Copyrights, AgCo Licensed Copyrights, AgCo Licensed Standards or Business Software (as applicable) or to locate the applicable Know-How Materials, and the Holding Party shall take all reasonable steps to review and provide such Know-How Materials (as applicable) within an additional sixty (60) days of expiration of such initial thirty</w:t>
      </w:r>
    </w:p>
    <w:p>
      <w:pPr>
        <w:spacing w:after="0" w:line="3" w:lineRule="exact"/>
        <w:rPr>
          <w:rFonts w:ascii="Arial" w:cs="Arial" w:eastAsia="Arial" w:hAnsi="Arial"/>
          <w:sz w:val="16"/>
          <w:szCs w:val="16"/>
          <w:color w:val="auto"/>
        </w:rPr>
      </w:pPr>
    </w:p>
    <w:p>
      <w:pPr>
        <w:ind w:left="340" w:hanging="336"/>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Business Day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with respect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62" w:name="page63"/>
    <w:bookmarkEnd w:id="6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any Business Software requested by a Requesting Party hereunder that is integrated with other Software, the Parties shall discuss in good faith a reasonable deadline in lieu of the foregoing timing for delivering any such Business Software to the Requesting Party, and the Requesting Party agrees that it shall bear all reasonable out-of-pocket costs and expenses of preparing such Software for delivery subject to the Requesting Party’s advance approval of such costs;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to the extent the request does not constitute SpecCo Licensed Know-How, SpecCo Licensed Copyrights or Business Software (if the Requesting Party is AgCo) or AgCo Licensed Know-How, AgCo Licensed Copyrights, AgCo Licensed Standards, or Business Software (if the Requesting Party is SpecCo), the Holding Party shall not be required to deliver such Know-How Materials to the Requesting Party, but shall provide the Requesting Party with an explanation in reasonable detail of the basis of such determination and shall make itself and its relevant Affiliates available to discuss in good faith with the Requesting Party.</w:t>
      </w:r>
    </w:p>
    <w:p>
      <w:pPr>
        <w:spacing w:after="0" w:line="179" w:lineRule="exact"/>
        <w:rPr>
          <w:sz w:val="20"/>
          <w:szCs w:val="20"/>
          <w:color w:val="auto"/>
        </w:rPr>
      </w:pPr>
    </w:p>
    <w:p>
      <w:pPr>
        <w:ind w:firstLine="1436"/>
        <w:spacing w:after="0" w:line="255" w:lineRule="auto"/>
        <w:tabs>
          <w:tab w:leader="none" w:pos="1823"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clarity, and notwithstanding anything to the contrary, in no event shall Licensor or its Affiliates be required hereunder to provide any written, electronic, computerized, digital or other tangible or intangible media to the extent comprising, containing, reflecting or embodying any SpecCo Licensed Know-How, AgCo Licensed Know-How, SpecCo Licensed Copyrights, AgCo Licensed Copyrights, AgCo Licensed Standards, or Business Software to Licensee, that has already been provided to, or is in the possession of, Licensee or its Affiliates. For the avoidance of doubt, nothing in this Agreement shall be interpreted as requiring that Licensor or any of its Affiliates transfer or grant access to tangible biological material to Licensee or any of its Affiliates.</w:t>
      </w:r>
    </w:p>
    <w:p>
      <w:pPr>
        <w:spacing w:after="0" w:line="193" w:lineRule="exact"/>
        <w:rPr>
          <w:sz w:val="20"/>
          <w:szCs w:val="20"/>
          <w:color w:val="auto"/>
        </w:rPr>
      </w:pPr>
    </w:p>
    <w:p>
      <w:pPr>
        <w:ind w:firstLine="1433"/>
        <w:spacing w:after="0" w:line="267"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Audit</w:t>
      </w:r>
      <w:r>
        <w:rPr>
          <w:rFonts w:ascii="Arial" w:cs="Arial" w:eastAsia="Arial" w:hAnsi="Arial"/>
          <w:sz w:val="17"/>
          <w:szCs w:val="17"/>
          <w:color w:val="auto"/>
        </w:rPr>
        <w:t xml:space="preserve">. Not more than once per year, or at any time a Party has a reasonable, good faith belief that the other Party has materially breached this Agreement, or (to the extent with respect to this Agreement) the Umbrella Secrecy Agreement, and provides written notice to such other Party as well as detailed documentation or other evidence of such alleged breach, upon thirty (30) days’ advance written notice, such first Party may cause an independent Third Party auditor that is reasonably acceptable to the audited Party and subject to written confidentiality obligations that are reasonably acceptable to the audited Party to audit, during regular business hours and in a manner that complies with the reasonable building and security requirements of the audited Party and its Affiliates, the books, records and facilities of such audited Party and its Affiliates to the extent reasonably necessary to determine such audited Party’s and its Affiliates’ compliance with this Agreement or (to the extent with respect to this Agreement) the Umbrella Secrecy Agreement. Any audit conducted under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not interfere unreasonably with the operations of such audited Party or any of its Affiliates. The Party requesting the audit shall pay the costs of conducting such audit;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such audit reveals a material breach of this Agreement or (to the extent with respect to this Agreement), the Umbrella Secrecy Agreement, the audited Party shall pay all such costs. Upon conclusion of the audit, the Third Party auditor shall furnish to both Parties a report stating only its findings during such audit as to whether or not the audited Party is in compliance with this Agreement, and if such audit has revealed a breach, shall include no more information than is reasonably necessary to provide the basis for such finding. All information learned or obtained from such audit shall be deemed Confidential Information for purposes of this Agreement. Notwithstanding anything to the contrary in this Section, the audited Party may require that the Third Party conducting the audit pursuant to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be accompanied by the audited Party’s (and in the case of an audit of its Affiliates or Sublicensees, its Affiliate’s or its Sublicensee’s, respectively) representatives at all times during such audit. For clarity, Licensee shall cause its Affiliates that are Sublicensees to comply with this </w:t>
      </w:r>
      <w:r>
        <w:rPr>
          <w:rFonts w:ascii="Arial" w:cs="Arial" w:eastAsia="Arial" w:hAnsi="Arial"/>
          <w:sz w:val="17"/>
          <w:szCs w:val="17"/>
          <w:u w:val="single" w:color="auto"/>
          <w:color w:val="auto"/>
        </w:rPr>
        <w:t>Section 2.12</w:t>
      </w:r>
      <w:r>
        <w:rPr>
          <w:rFonts w:ascii="Arial" w:cs="Arial" w:eastAsia="Arial" w:hAnsi="Arial"/>
          <w:sz w:val="17"/>
          <w:szCs w:val="17"/>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63" w:name="page64"/>
    <w:bookmarkEnd w:id="6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OWNERSHIP</w:t>
      </w:r>
    </w:p>
    <w:p>
      <w:pPr>
        <w:spacing w:after="0" w:line="211" w:lineRule="exact"/>
        <w:rPr>
          <w:sz w:val="20"/>
          <w:szCs w:val="20"/>
          <w:color w:val="auto"/>
        </w:rPr>
      </w:pPr>
    </w:p>
    <w:p>
      <w:pPr>
        <w:ind w:right="100" w:firstLine="1433"/>
        <w:spacing w:after="0" w:line="29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Ownership</w:t>
      </w:r>
      <w:r>
        <w:rPr>
          <w:rFonts w:ascii="Arial" w:cs="Arial" w:eastAsia="Arial" w:hAnsi="Arial"/>
          <w:sz w:val="16"/>
          <w:szCs w:val="16"/>
          <w:color w:val="auto"/>
        </w:rPr>
        <w:t xml:space="preserve">. As between the Parties (including their respective Affiliates), (a) AgCo acknowledges and agrees that SpecCo and its Affiliates own the SpecCo Licensed IP, the SpecCo Licensed Standards, and the Business Software licensed to AgCo under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ind w:right="100" w:firstLine="4"/>
        <w:spacing w:after="0" w:line="288" w:lineRule="auto"/>
        <w:tabs>
          <w:tab w:leader="none" w:pos="2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SpecCo acknowledges and agrees that AgCo and its Affiliates own the AgCo Licensed IP, the AgCo Licensed Standards, and the Business Software licensed to SpecCo under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(c) each Party acknowledges and agrees that (i) except to the extent expressly provided herein, neither Party, nor its Affiliates or its Sublicensees, will acquire any ownership rights in the Licensed IP licensed to such Party hereunder, and (ii) such Party shall not, and shall cause its Affiliates and its Sublicensees to not, represent or make any claim that they have ownership of any right, title or interest in any such Licensed IP. To the extent that a Party, its Affiliates or its Sublicensees (as applicable) is assigned or otherwise obtains ownership of any right, title or interest in or to any Licensed IP in contravention of this </w:t>
      </w:r>
      <w:r>
        <w:rPr>
          <w:rFonts w:ascii="Arial" w:cs="Arial" w:eastAsia="Arial" w:hAnsi="Arial"/>
          <w:sz w:val="16"/>
          <w:szCs w:val="16"/>
          <w:u w:val="single" w:color="auto"/>
          <w:color w:val="auto"/>
        </w:rPr>
        <w:t>Section 3.1</w:t>
      </w:r>
      <w:r>
        <w:rPr>
          <w:rFonts w:ascii="Arial" w:cs="Arial" w:eastAsia="Arial" w:hAnsi="Arial"/>
          <w:sz w:val="16"/>
          <w:szCs w:val="16"/>
          <w:color w:val="auto"/>
        </w:rPr>
        <w:t>, such Party hereby assigns, and shall cause its Affiliates and Sublicensees (as applicable) to assign, to the other Party (or to such Affiliate or Third Party designated by such other Party in writing) all such right, title and interest.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PROSECUTION AND MAINTENANCE</w:t>
      </w:r>
    </w:p>
    <w:p>
      <w:pPr>
        <w:spacing w:after="0" w:line="211"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Responsibility and Cooperation</w:t>
      </w:r>
      <w:r>
        <w:rPr>
          <w:rFonts w:ascii="Arial" w:cs="Arial" w:eastAsia="Arial" w:hAnsi="Arial"/>
          <w:sz w:val="16"/>
          <w:szCs w:val="16"/>
          <w:color w:val="auto"/>
        </w:rPr>
        <w:t>.</w:t>
      </w:r>
    </w:p>
    <w:p>
      <w:pPr>
        <w:spacing w:after="0" w:line="117" w:lineRule="exact"/>
        <w:rPr>
          <w:sz w:val="20"/>
          <w:szCs w:val="20"/>
          <w:color w:val="auto"/>
        </w:rPr>
      </w:pPr>
    </w:p>
    <w:p>
      <w:pPr>
        <w:ind w:firstLine="1436"/>
        <w:spacing w:after="0" w:line="312" w:lineRule="auto"/>
        <w:tabs>
          <w:tab w:leader="none" w:pos="1812"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4.1(b)</w:t>
      </w:r>
      <w:r>
        <w:rPr>
          <w:rFonts w:ascii="Arial" w:cs="Arial" w:eastAsia="Arial" w:hAnsi="Arial"/>
          <w:sz w:val="16"/>
          <w:szCs w:val="16"/>
          <w:color w:val="auto"/>
        </w:rPr>
        <w:t>, as between the Parties, Licensor shall have sole responsibility (but not the obligation) for filing, prosecuting and maintaining all Patents within the Licensed IP with respect to which such Licensor or any of its Affiliates is granting a license to Licensee hereunder. Licensor shall be solely responsible for all costs and expenses incurred in connection with such filing, prosecution and maintenance.</w:t>
      </w:r>
    </w:p>
    <w:p>
      <w:pPr>
        <w:spacing w:after="0" w:line="146" w:lineRule="exact"/>
        <w:rPr>
          <w:rFonts w:ascii="Arial" w:cs="Arial" w:eastAsia="Arial" w:hAnsi="Arial"/>
          <w:sz w:val="16"/>
          <w:szCs w:val="16"/>
          <w:color w:val="auto"/>
        </w:rPr>
      </w:pPr>
    </w:p>
    <w:p>
      <w:pPr>
        <w:ind w:right="20" w:firstLine="1436"/>
        <w:spacing w:after="0" w:line="286" w:lineRule="auto"/>
        <w:tabs>
          <w:tab w:leader="none" w:pos="1823"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during the Term, Licensor decides to abandon, or otherwise allow to lapse, any issued AgCo Licensed Patent (if AgCo is the Licensor) or SpecCo Licensed Patent (if SpecCo is the Licensor) or published application therefor (the “</w:t>
      </w:r>
      <w:r>
        <w:rPr>
          <w:rFonts w:ascii="Arial" w:cs="Arial" w:eastAsia="Arial" w:hAnsi="Arial"/>
          <w:sz w:val="16"/>
          <w:szCs w:val="16"/>
          <w:u w:val="single" w:color="auto"/>
          <w:color w:val="auto"/>
        </w:rPr>
        <w:t>First Abandoned Patent</w:t>
      </w:r>
      <w:r>
        <w:rPr>
          <w:rFonts w:ascii="Arial" w:cs="Arial" w:eastAsia="Arial" w:hAnsi="Arial"/>
          <w:sz w:val="16"/>
          <w:szCs w:val="16"/>
          <w:color w:val="auto"/>
        </w:rPr>
        <w:t>”), and substantially simultaneously decides to abandon, or otherwise allow to lapse all foreign equivalents thereof and all other Patents that claim priority to such First Abandoned Patent in all jurisdictions in which such Patents are registered or applied-for (the “</w:t>
      </w:r>
      <w:r>
        <w:rPr>
          <w:rFonts w:ascii="Arial" w:cs="Arial" w:eastAsia="Arial" w:hAnsi="Arial"/>
          <w:sz w:val="16"/>
          <w:szCs w:val="16"/>
          <w:u w:val="single" w:color="auto"/>
          <w:color w:val="auto"/>
        </w:rPr>
        <w:t>Abandoned Patent Family</w:t>
      </w:r>
      <w:r>
        <w:rPr>
          <w:rFonts w:ascii="Arial" w:cs="Arial" w:eastAsia="Arial" w:hAnsi="Arial"/>
          <w:sz w:val="16"/>
          <w:szCs w:val="16"/>
          <w:color w:val="auto"/>
        </w:rPr>
        <w:t>”), Licensor shall use commercially reasonable efforts to notify Licensee of such decision at least thirty (30) days prior to any deadline for taking action to avoid abandonment (or other loss of rights) of such First Abandoned Patent. Upon receipt of such notice, Licensee shall have the right to elect to assume responsibility for prosecution and maintenance of any or all Patents in such Abandoned Patent Family (the “</w:t>
      </w:r>
      <w:r>
        <w:rPr>
          <w:rFonts w:ascii="Arial" w:cs="Arial" w:eastAsia="Arial" w:hAnsi="Arial"/>
          <w:sz w:val="16"/>
          <w:szCs w:val="16"/>
          <w:u w:val="single" w:color="auto"/>
          <w:color w:val="auto"/>
        </w:rPr>
        <w:t>Assumed Patents</w:t>
      </w:r>
      <w:r>
        <w:rPr>
          <w:rFonts w:ascii="Arial" w:cs="Arial" w:eastAsia="Arial" w:hAnsi="Arial"/>
          <w:sz w:val="16"/>
          <w:szCs w:val="16"/>
          <w:color w:val="auto"/>
        </w:rPr>
        <w:t>”) solely by providing Licensor with written notice of such election within thirty (30) days (or such shorter period requested where the final deadline is in less than thirty (30) days) following such notice from Licensor, and Licensor shall either: (i) withdraw its decision to abandon and continue prosecuting or maintaining the Assumed Patents at its expense; or (ii) assign, and hereby does assign, its entire right, title, and interest in all Assumed Patents to Licensee at Licensee’s sole cost and expense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for clarity, Licensee shall not be required to pay any additional consideration to Licensor in exchange for such assignment, but shall be required to reimburse Licensor for its out-of-pocket costs and expenses incurred in connection with assigning such Patents); </w:t>
      </w:r>
      <w:r>
        <w:rPr>
          <w:rFonts w:ascii="Arial" w:cs="Arial" w:eastAsia="Arial" w:hAnsi="Arial"/>
          <w:sz w:val="16"/>
          <w:szCs w:val="16"/>
          <w:u w:val="single" w:color="auto"/>
          <w:color w:val="auto"/>
        </w:rPr>
        <w:t>provided that</w:t>
      </w:r>
      <w:r>
        <w:rPr>
          <w:rFonts w:ascii="Arial" w:cs="Arial" w:eastAsia="Arial" w:hAnsi="Arial"/>
          <w:sz w:val="16"/>
          <w:szCs w:val="16"/>
          <w:color w:val="auto"/>
        </w:rPr>
        <w:t>, Licensor shall not be in breach of the foregoing if Licensor uses commercially reasonable efforts to notify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64" w:name="page65"/>
    <w:bookmarkEnd w:id="6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Licensee of its decision to abandon (or otherwise lose rights) but inadvertently and in good faith fails to so notify Licensee. In the event that Licensor assigns any Assumed Patents to Licensee in accordance with the foregoing clause (ii), such Patents shall no longer be (i) if the Licensor is AgCo, AgCo Licensed Patents and instead shall be SpecCo Licensed Patents, for which the AgCo Field shall be all fields of use, or (ii) if the Licensor is SpecCo, SpecCo Licensed Patents and instead shall be AgCo Licensed Patents, for which the SpecCo Field shall be all fields of use. Notwithstanding anything to the contrary herein, in the event that any Licensed Patent is assigned to Licensee pursuant to this </w:t>
      </w:r>
      <w:r>
        <w:rPr>
          <w:rFonts w:ascii="Arial" w:cs="Arial" w:eastAsia="Arial" w:hAnsi="Arial"/>
          <w:sz w:val="16"/>
          <w:szCs w:val="16"/>
          <w:u w:val="single" w:color="auto"/>
          <w:color w:val="auto"/>
        </w:rPr>
        <w:t>(b)</w:t>
      </w:r>
      <w:r>
        <w:rPr>
          <w:rFonts w:ascii="Arial" w:cs="Arial" w:eastAsia="Arial" w:hAnsi="Arial"/>
          <w:sz w:val="16"/>
          <w:szCs w:val="16"/>
          <w:color w:val="auto"/>
        </w:rPr>
        <w:t>, such Licensed Patent shall be subject to the terms and conditions of any licenses and other rights granted by or on behalf of Licensor or any of its Affiliates with respect to such Licensed Patent prior to the date of such assignment (to the extent that such terms and conditions do not conflict with any of the terms hereof), and unless otherwise agreed in writing, the assignee Party may abandon such Patent without notice or obligation of assignment to the other Party.</w:t>
      </w:r>
    </w:p>
    <w:p>
      <w:pPr>
        <w:spacing w:after="0" w:line="166" w:lineRule="exact"/>
        <w:rPr>
          <w:sz w:val="20"/>
          <w:szCs w:val="20"/>
          <w:color w:val="auto"/>
        </w:rPr>
      </w:pPr>
    </w:p>
    <w:p>
      <w:pPr>
        <w:ind w:right="20" w:firstLine="1436"/>
        <w:spacing w:after="0" w:line="253" w:lineRule="auto"/>
        <w:tabs>
          <w:tab w:leader="none" w:pos="181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For clarity, Licensor’s obligations under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do not apply to the (i) filing or validating of any national or regional applications based on any international or regional Patent applications or filings (including any PCT or EPO applications) whether or not designated under such applications or filings, (ii) filing of any Patent application, including the filing of any divisional, continuation or continuation-in-part application, or (iii) maintaining or prosecuting of any unpublished Patent applications. If any Licensed Patent subject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is subject to the terms of any Contract existing as of the Effective Date to which the Licensor or any of its Affiliates is a party or otherwise bound whereby a Third Party has the right to elect to assume responsibility for prosecution or maintenance of, or request assignment of, such Licensed Patent, and such Third Party elects not to exercise all such rights in such Licensed Patent, such Licensed Patent shall become subject to the terms of </w:t>
      </w:r>
      <w:r>
        <w:rPr>
          <w:rFonts w:ascii="Arial" w:cs="Arial" w:eastAsia="Arial" w:hAnsi="Arial"/>
          <w:sz w:val="18"/>
          <w:szCs w:val="18"/>
          <w:u w:val="single" w:color="auto"/>
          <w:color w:val="auto"/>
        </w:rPr>
        <w:t>Section 4.1(b)</w:t>
      </w:r>
      <w:r>
        <w:rPr>
          <w:rFonts w:ascii="Arial" w:cs="Arial" w:eastAsia="Arial" w:hAnsi="Arial"/>
          <w:sz w:val="18"/>
          <w:szCs w:val="18"/>
          <w:color w:val="auto"/>
        </w:rPr>
        <w:t>, except if Licensor’s grant of such rights to Licensee, or Licensee’s exercise of such rights, would breach any contractual rights or obligations owed to such Third Party or any of its Affiliates.</w:t>
      </w:r>
    </w:p>
    <w:p>
      <w:pPr>
        <w:spacing w:after="0" w:line="197" w:lineRule="exact"/>
        <w:rPr>
          <w:sz w:val="20"/>
          <w:szCs w:val="20"/>
          <w:color w:val="auto"/>
        </w:rPr>
      </w:pPr>
    </w:p>
    <w:p>
      <w:pPr>
        <w:ind w:right="120" w:firstLine="1433"/>
        <w:spacing w:after="0" w:line="26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No Additional Obligations</w:t>
      </w:r>
      <w:r>
        <w:rPr>
          <w:rFonts w:ascii="Arial" w:cs="Arial" w:eastAsia="Arial" w:hAnsi="Arial"/>
          <w:sz w:val="18"/>
          <w:szCs w:val="18"/>
          <w:color w:val="auto"/>
        </w:rPr>
        <w:t>. For clarity, this Agreement shall not obligate either Party to disclose to the other Party, or maintain, register, monitor, prosecute, pay for or offer to pay for (including by offering remuneration to any inventors), defend, enforce or otherwise manage any Intellectual Property, except to the extent expressly set forth herein.</w:t>
      </w:r>
    </w:p>
    <w:p>
      <w:pPr>
        <w:spacing w:after="0" w:line="181" w:lineRule="exact"/>
        <w:rPr>
          <w:sz w:val="20"/>
          <w:szCs w:val="20"/>
          <w:color w:val="auto"/>
        </w:rPr>
      </w:pPr>
    </w:p>
    <w:p>
      <w:pPr>
        <w:jc w:val="both"/>
        <w:ind w:right="20" w:firstLine="1433"/>
        <w:spacing w:after="0" w:line="286"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Third Party Agreements</w:t>
      </w:r>
      <w:r>
        <w:rPr>
          <w:rFonts w:ascii="Arial" w:cs="Arial" w:eastAsia="Arial" w:hAnsi="Arial"/>
          <w:sz w:val="17"/>
          <w:szCs w:val="17"/>
          <w:color w:val="auto"/>
        </w:rPr>
        <w:t xml:space="preserve">. For clarity, and notwithstanding anything to the contrary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the Parties’ rights and obligations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subject to the terms of any Contracts existing as of the Effective Date to which the Licensor or any of its Affiliates is a party or otherwise bound, subject to the requirements for Licensor to notify Licensee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ENFORCEMENT</w:t>
      </w:r>
    </w:p>
    <w:p>
      <w:pPr>
        <w:spacing w:after="0" w:line="211"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Defense and Enforcement</w:t>
      </w:r>
      <w:r>
        <w:rPr>
          <w:rFonts w:ascii="Arial" w:cs="Arial" w:eastAsia="Arial" w:hAnsi="Arial"/>
          <w:sz w:val="16"/>
          <w:szCs w:val="16"/>
          <w:color w:val="auto"/>
        </w:rPr>
        <w:t>.</w:t>
      </w:r>
    </w:p>
    <w:p>
      <w:pPr>
        <w:spacing w:after="0" w:line="117" w:lineRule="exact"/>
        <w:rPr>
          <w:sz w:val="20"/>
          <w:szCs w:val="20"/>
          <w:color w:val="auto"/>
        </w:rPr>
      </w:pPr>
    </w:p>
    <w:p>
      <w:pPr>
        <w:ind w:firstLine="1436"/>
        <w:spacing w:after="0" w:line="286" w:lineRule="auto"/>
        <w:tabs>
          <w:tab w:leader="none" w:pos="181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Licensor’s Right</w:t>
      </w:r>
      <w:r>
        <w:rPr>
          <w:rFonts w:ascii="Arial" w:cs="Arial" w:eastAsia="Arial" w:hAnsi="Arial"/>
          <w:sz w:val="17"/>
          <w:szCs w:val="17"/>
          <w:color w:val="auto"/>
        </w:rPr>
        <w:t xml:space="preserve">. Subject to the remainder of this </w:t>
      </w:r>
      <w:r>
        <w:rPr>
          <w:rFonts w:ascii="Arial" w:cs="Arial" w:eastAsia="Arial" w:hAnsi="Arial"/>
          <w:sz w:val="17"/>
          <w:szCs w:val="17"/>
          <w:u w:val="single" w:color="auto"/>
          <w:color w:val="auto"/>
        </w:rPr>
        <w:t>Section 5.1</w:t>
      </w:r>
      <w:r>
        <w:rPr>
          <w:rFonts w:ascii="Arial" w:cs="Arial" w:eastAsia="Arial" w:hAnsi="Arial"/>
          <w:sz w:val="17"/>
          <w:szCs w:val="17"/>
          <w:color w:val="auto"/>
        </w:rPr>
        <w:t>, as between the Parties, Licensor shall have the sole right, but not the obligation, at its own cost and expense, to control enforcement or defense against any Third Party Infringement of the Licensed IP under which Licensor is granting a license to Licensee hereunder (including by bringing an Action or entering into settlement discussions).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65" w:name="page66"/>
    <w:bookmarkEnd w:id="65"/>
    <w:p>
      <w:pPr>
        <w:ind w:left="-20" w:right="200" w:firstLine="1436"/>
        <w:spacing w:after="0" w:line="293" w:lineRule="auto"/>
        <w:tabs>
          <w:tab w:leader="none" w:pos="180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Licensee’s Rights</w:t>
      </w:r>
      <w:r>
        <w:rPr>
          <w:rFonts w:ascii="Arial" w:cs="Arial" w:eastAsia="Arial" w:hAnsi="Arial"/>
          <w:sz w:val="16"/>
          <w:szCs w:val="16"/>
          <w:color w:val="auto"/>
        </w:rPr>
        <w:t xml:space="preserve">. In the case of any Third Party Infringement, Licensee may request (which request Licensor may deny if Licensor reasonably determines that such Licensed IP should not be enforced or defended, and discusses its reasoning therefor with Licensee) that Licensor enforce or defend (as applicable) such Licensed IP (including by bringing an Action or entering into settlement discussions), and if such request is granted, such enforcement or defense (as applicable) shall be controlled by Licensor at Licensee’s sole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Licensee must approve in writing of all such costs and expenses in advance, and Licensor shall have no obligation to enforce or defend (as applicable) such Licensed IP in the event that Licensee does not approve of such costs and expenses in any material respect.</w:t>
      </w:r>
    </w:p>
    <w:p>
      <w:pPr>
        <w:spacing w:after="0" w:line="164" w:lineRule="exact"/>
        <w:rPr>
          <w:rFonts w:ascii="Arial" w:cs="Arial" w:eastAsia="Arial" w:hAnsi="Arial"/>
          <w:sz w:val="16"/>
          <w:szCs w:val="16"/>
          <w:color w:val="auto"/>
        </w:rPr>
      </w:pPr>
    </w:p>
    <w:p>
      <w:pPr>
        <w:ind w:left="-20" w:right="20" w:firstLine="1436"/>
        <w:spacing w:after="0" w:line="287" w:lineRule="auto"/>
        <w:tabs>
          <w:tab w:leader="none" w:pos="179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If Licensor brings an Action with respect to any Third Party Infringement or enters into settlement discussions with respect thereto, Licensee shall provide reasonable assistance in connection therewith, at Licensor’s request and Licensee shall be reimbursed for its reasonable out-of-pocket costs and expenses incurred in connection therewith. Licensor shall keep Licensee regularly informed of the status and progress of such enforcement or defense, as applicable, and shall reasonably consider Licensee’s comments in connection with any Action or settlement discussions with respect thereto. Notwithstanding anything to the contrary herein, Licensee may, at its sole discretion and cost and expense, join as a party to any such Action;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necessary for standing purposes, Licensee shall join such Action upon Licensor’s reasonable request and Licensor shall reimburse Licensee’s reasonable out-of-pocket costs and expenses incurred in connection therewith. Licensee shall have the right to be represented by counsel (which shall act in an advisory capacity only, except for matters solely directed to Licensee) of its own choice in any such Action at its own cost and expense (subject to reimbursement of Licensee’s costs and expenses as described in, and subject to, the immediately preceding sentence). Notwithstanding the foregoing, in the event of enforcement or defense in accordance with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Licensee shall be solely responsible for all costs and expenses incurred pursuant to this </w:t>
      </w:r>
      <w:r>
        <w:rPr>
          <w:rFonts w:ascii="Arial" w:cs="Arial" w:eastAsia="Arial" w:hAnsi="Arial"/>
          <w:sz w:val="16"/>
          <w:szCs w:val="16"/>
          <w:u w:val="single" w:color="auto"/>
          <w:color w:val="auto"/>
        </w:rPr>
        <w:t>Section 5.1(c)</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20" w:right="60" w:firstLine="1436"/>
        <w:spacing w:after="0" w:line="259" w:lineRule="auto"/>
        <w:tabs>
          <w:tab w:leader="none" w:pos="180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Settlements</w:t>
      </w:r>
      <w:r>
        <w:rPr>
          <w:rFonts w:ascii="Arial" w:cs="Arial" w:eastAsia="Arial" w:hAnsi="Arial"/>
          <w:sz w:val="18"/>
          <w:szCs w:val="18"/>
          <w:color w:val="auto"/>
        </w:rPr>
        <w:t>. Notwithstanding anything to the contrary herein, Licensor shall not, without the prior written consent (not to be unreasonably withheld, conditioned or delayed) of Licensee, settle any Third Party Infringement with respect to any Licensed IP if doing so would give rise to liability or any other obligations of Licensee, its Affiliates or its Sublicensees for which Licensor is unwilling or unable to, or otherwise does not, provide full indemnification.</w:t>
      </w:r>
    </w:p>
    <w:p>
      <w:pPr>
        <w:spacing w:after="0" w:line="186" w:lineRule="exact"/>
        <w:rPr>
          <w:rFonts w:ascii="Arial" w:cs="Arial" w:eastAsia="Arial" w:hAnsi="Arial"/>
          <w:sz w:val="18"/>
          <w:szCs w:val="18"/>
          <w:color w:val="auto"/>
        </w:rPr>
      </w:pPr>
    </w:p>
    <w:p>
      <w:pPr>
        <w:ind w:left="-20" w:firstLine="1436"/>
        <w:spacing w:after="0" w:line="297" w:lineRule="auto"/>
        <w:tabs>
          <w:tab w:leader="none" w:pos="179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Recoveries</w:t>
      </w:r>
      <w:r>
        <w:rPr>
          <w:rFonts w:ascii="Arial" w:cs="Arial" w:eastAsia="Arial" w:hAnsi="Arial"/>
          <w:sz w:val="16"/>
          <w:szCs w:val="16"/>
          <w:color w:val="auto"/>
        </w:rPr>
        <w:t xml:space="preserve">. Any and all amounts recovered by Licensor in any Action regarding a Third Party Infringement or settlement with respect thereto shall, unless otherwise agreed (including in an agreement in connection with obtaining consent to settlement), be allocated first to reimburse Licensor’s out-of-pocket costs and expenses incurred in connection with such Action or settlement (including its obligations to Licensee pursuant to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and next to the Licensee’s out-of-pocket costs and expenses incurred in connection with such Action or settlement (including, as applicable, in accordance with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5.1(c)</w:t>
      </w:r>
      <w:r>
        <w:rPr>
          <w:rFonts w:ascii="Arial" w:cs="Arial" w:eastAsia="Arial" w:hAnsi="Arial"/>
          <w:sz w:val="16"/>
          <w:szCs w:val="16"/>
          <w:color w:val="auto"/>
        </w:rPr>
        <w:t>). Any and all remaining amounts recovered shall be retained by Licensor.</w:t>
      </w:r>
    </w:p>
    <w:p>
      <w:pPr>
        <w:spacing w:after="0" w:line="158" w:lineRule="exact"/>
        <w:rPr>
          <w:rFonts w:ascii="Arial" w:cs="Arial" w:eastAsia="Arial" w:hAnsi="Arial"/>
          <w:sz w:val="16"/>
          <w:szCs w:val="16"/>
          <w:color w:val="auto"/>
        </w:rPr>
      </w:pPr>
    </w:p>
    <w:p>
      <w:pPr>
        <w:ind w:left="-20" w:right="60" w:firstLine="1436"/>
        <w:spacing w:after="0" w:line="259" w:lineRule="auto"/>
        <w:tabs>
          <w:tab w:leader="none" w:pos="177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Interferences, etc</w:t>
      </w:r>
      <w:r>
        <w:rPr>
          <w:rFonts w:ascii="Arial" w:cs="Arial" w:eastAsia="Arial" w:hAnsi="Arial"/>
          <w:sz w:val="18"/>
          <w:szCs w:val="18"/>
          <w:color w:val="auto"/>
        </w:rPr>
        <w:t xml:space="preserve">. Notwithstanding anything to the contrary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 the event that any Third Party allegations of invalidity or unenforceability of any Patents included in the Licensed IP licensed to Licensee hereunder arise in an opposition, interference, reissue proceeding, reexamination or other patent office proceeding,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govern the Parties’ rights and obligations with respect thereto.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60" w:top="274" w:right="439" w:bottom="1440" w:gutter="0" w:footer="0" w:header="0"/>
        </w:sectPr>
      </w:pPr>
    </w:p>
    <w:bookmarkStart w:id="66" w:name="page67"/>
    <w:bookmarkEnd w:id="66"/>
    <w:p>
      <w:pPr>
        <w:jc w:val="both"/>
        <w:ind w:right="120" w:firstLine="143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5.2 </w:t>
      </w:r>
      <w:r>
        <w:rPr>
          <w:rFonts w:ascii="Arial" w:cs="Arial" w:eastAsia="Arial" w:hAnsi="Arial"/>
          <w:sz w:val="17"/>
          <w:szCs w:val="17"/>
          <w:u w:val="single" w:color="auto"/>
          <w:color w:val="auto"/>
        </w:rPr>
        <w:t>Third Party Agreements</w:t>
      </w:r>
      <w:r>
        <w:rPr>
          <w:rFonts w:ascii="Arial" w:cs="Arial" w:eastAsia="Arial" w:hAnsi="Arial"/>
          <w:sz w:val="17"/>
          <w:szCs w:val="17"/>
          <w:color w:val="auto"/>
        </w:rPr>
        <w:t xml:space="preserve">. For clarity, and notwithstanding anything to the contrary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the Parties’ rights and obligations set forth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be subject to the terms of any Contracts existing as of the Effective Date to which the Licensor or any of its Affiliates is a party or otherwise bound, subject to the requirements for Licensor to notify Licensee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17" w:lineRule="exact"/>
        <w:rPr>
          <w:sz w:val="20"/>
          <w:szCs w:val="20"/>
          <w:color w:val="auto"/>
        </w:rPr>
      </w:pPr>
    </w:p>
    <w:p>
      <w:pPr>
        <w:ind w:firstLine="1436"/>
        <w:spacing w:after="0" w:line="270" w:lineRule="auto"/>
        <w:tabs>
          <w:tab w:leader="none" w:pos="1812"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Party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agrees to indemnify, release, defend and hold harmless the other Party and its Affiliates and its and their directors, officers, agents, and successors (each, an “</w:t>
      </w:r>
      <w:r>
        <w:rPr>
          <w:rFonts w:ascii="Arial" w:cs="Arial" w:eastAsia="Arial" w:hAnsi="Arial"/>
          <w:sz w:val="17"/>
          <w:szCs w:val="17"/>
          <w:u w:val="single" w:color="auto"/>
          <w:color w:val="auto"/>
        </w:rPr>
        <w:t>Indemnitee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Indemnitees</w:t>
      </w:r>
      <w:r>
        <w:rPr>
          <w:rFonts w:ascii="Arial" w:cs="Arial" w:eastAsia="Arial" w:hAnsi="Arial"/>
          <w:sz w:val="17"/>
          <w:szCs w:val="17"/>
          <w:color w:val="auto"/>
        </w:rPr>
        <w:t xml:space="preserve">”) from and against any and all Indemnifiable Losses incurred or suffered by any of the Indemnitees, to the extent arising out of, relating to or resulting from (a) breach by the Indemnifying Party of this Agreement; (b) if the Indemnifying Party is the Licensee, use of the Licensed IP hereunder by or on behalf of such Party or its Sublicensees; and (c) if the Indemnifying Party is the Licensor, breach by or on behalf of Licensee, its Affiliates or its Sublicensees of any contractual rights of or contractual obligations owed to any Third Parties with respect to the Licensed IP;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prior to such breach, Licensor or any of its Affiliates is aware, and Licensee and its Affiliates are not aware, of such contractual rights or obligations, in each case (in respect of the foregoing subsections (a) through (c)), except to the extent that such Indemnifiable Losses (i) are subject to indemnification by the other Party pursuant to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(ii) arise out of fraud, bad faith, gross negligence or willful misconduct of the other Party or its Affiliates.</w:t>
      </w:r>
    </w:p>
    <w:p>
      <w:pPr>
        <w:spacing w:after="0" w:line="181" w:lineRule="exact"/>
        <w:rPr>
          <w:rFonts w:ascii="Arial" w:cs="Arial" w:eastAsia="Arial" w:hAnsi="Arial"/>
          <w:sz w:val="17"/>
          <w:szCs w:val="17"/>
          <w:color w:val="auto"/>
        </w:rPr>
      </w:pPr>
    </w:p>
    <w:p>
      <w:pPr>
        <w:ind w:right="20" w:firstLine="1436"/>
        <w:spacing w:after="0" w:line="259" w:lineRule="auto"/>
        <w:tabs>
          <w:tab w:leader="none" w:pos="18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Except for the entitlement to specific performance or other equitable remedy, each solely as contemplated by </w:t>
      </w:r>
      <w:r>
        <w:rPr>
          <w:rFonts w:ascii="Arial" w:cs="Arial" w:eastAsia="Arial" w:hAnsi="Arial"/>
          <w:sz w:val="18"/>
          <w:szCs w:val="18"/>
          <w:u w:val="single" w:color="auto"/>
          <w:color w:val="auto"/>
        </w:rPr>
        <w:t>Section 10.12</w:t>
      </w:r>
      <w:r>
        <w:rPr>
          <w:rFonts w:ascii="Arial" w:cs="Arial" w:eastAsia="Arial" w:hAnsi="Arial"/>
          <w:sz w:val="18"/>
          <w:szCs w:val="18"/>
          <w:color w:val="auto"/>
        </w:rPr>
        <w:t xml:space="preserve">, the remedies provided in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be deemed the sole and exclusive remedies of the Parties with respect to the subject matter of this Agreement, and the Parties each hereby waive to the extent permitted by applicable Law any other remedy to which they or any of their respective Indemnitees are entitled to hereunder at law or in equity with respect thereto.</w:t>
      </w:r>
    </w:p>
    <w:p>
      <w:pPr>
        <w:spacing w:after="0" w:line="187" w:lineRule="exact"/>
        <w:rPr>
          <w:sz w:val="20"/>
          <w:szCs w:val="20"/>
          <w:color w:val="auto"/>
        </w:rPr>
      </w:pPr>
    </w:p>
    <w:p>
      <w:pPr>
        <w:ind w:right="220" w:firstLine="1433"/>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xml:space="preserve">. The indemnification procedures set forth in </w:t>
      </w:r>
      <w:r>
        <w:rPr>
          <w:rFonts w:ascii="Arial" w:cs="Arial" w:eastAsia="Arial" w:hAnsi="Arial"/>
          <w:sz w:val="18"/>
          <w:szCs w:val="18"/>
          <w:u w:val="single" w:color="auto"/>
          <w:color w:val="auto"/>
        </w:rPr>
        <w:t>Sections 8.5</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8.10</w:t>
      </w:r>
      <w:r>
        <w:rPr>
          <w:rFonts w:ascii="Arial" w:cs="Arial" w:eastAsia="Arial" w:hAnsi="Arial"/>
          <w:sz w:val="18"/>
          <w:szCs w:val="18"/>
          <w:color w:val="auto"/>
        </w:rPr>
        <w:t xml:space="preserve"> of the Separation Agreement shall apply to the matters indemnified hereunder,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firstLine="1433"/>
        <w:spacing w:after="0" w:line="270"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Disclaimer of Representations and Warranties</w:t>
      </w:r>
      <w:r>
        <w:rPr>
          <w:rFonts w:ascii="Arial" w:cs="Arial" w:eastAsia="Arial" w:hAnsi="Arial"/>
          <w:sz w:val="17"/>
          <w:szCs w:val="17"/>
          <w:color w:val="auto"/>
        </w:rPr>
        <w:t>. EACH PARTY HEREBY ACKNOWLEDGES THAT, EXCEPT TO THE EXTENT EXPRESSLY SET FORTH IN THE SEPARATION AGREEMENT OR IN ANY OF THE OTHER ANCILLARY AGREEMENTS, EACH OF AGCO (ON BEHALF OF ITSELF AND EACH MEMBER OF THE AGCO GROUP) AND SPECCO (ON BEHALF OF ITSELF AND EACH MEMBER OF THE SPECCO GROUP) UNDERSTANDS AND AGREES THAT NEITHER PARTY IS REPRESENTING OR WARRANTING IN ANY WAY UNDER THIS AGREEMENT (INCLUDING WITH RESPECT TO ANY CONSENTS REQUIRED IN CONNECTION HEREWITH, MERCHANTABILITY OR FITNESS FOR A PARTICULAR PURPOSE, NON-INFRINGEMENT, VALIDITY, ENFORCEABILITY OR SCOPE OF THE LICENSED IP) AND EACH PARTY HEREBY EXPRESSLY DISCLAIMS ALL SUCH REPRESENTATIONS AND WARRANTIES. EXCEPT AS MAY EXPRESSLY BE SET FORTH IN THE SEPARATION AGREEMENT OR IN ANY OTHER ANCILLARY AGREEMENT, ALL LICENSED IP IS BEING LICENSED ON AN “AS IS,” “WHERE IS,” AND “WITH ALL FAULTS” BASIS.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67" w:name="page68"/>
    <w:bookmarkEnd w:id="67"/>
    <w:p>
      <w:pPr>
        <w:ind w:firstLine="143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6.4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xml:space="preserve">. NOTWITHSTANDING ANYTHING TO THE CONTRARY CONTAINED IN THIS AGREEMENT (INCLUDING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EXCEPT WITH RESPECT TO BREACHES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NEITHER PARTY SHALL BE LIABLE TO THE OTHER PARTY OR ITS AFFILIATES, WHETHER IN CONTRACT, TORT (INCLUDING NEGLIGENCE AND STRICT LIABILITY) OR OTHERWISE, AT LAW OR IN EQUITY, AND “LOSSES” SHALL NOT INCLUDE ANY AMOUNTS FOR ANY SPECIAL, INCIDENTAL, CONSEQUENTIAL OR PUNITIVE DAMAGES;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NOTHING HEREIN SHALL PREVENT ANY INDEMNITEE FROM BEING INDEMNIFIED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FOR ALL COMPONENTS OF AWARDS AGAINST THEM IN ANY THIRD PARTY CLAIM.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11" w:lineRule="exact"/>
        <w:rPr>
          <w:sz w:val="20"/>
          <w:szCs w:val="20"/>
          <w:color w:val="auto"/>
        </w:rPr>
      </w:pPr>
    </w:p>
    <w:p>
      <w:pPr>
        <w:ind w:right="200" w:firstLine="1433"/>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Disclosure and Use Restrictions</w:t>
      </w:r>
      <w:r>
        <w:rPr>
          <w:rFonts w:ascii="Arial" w:cs="Arial" w:eastAsia="Arial" w:hAnsi="Arial"/>
          <w:sz w:val="18"/>
          <w:szCs w:val="18"/>
          <w:color w:val="auto"/>
        </w:rPr>
        <w:t xml:space="preserve">. The Parties acknowledge and agree that the Umbrella Secrecy Agreement is hereby incorporated into this Agreement, and shall apply to the transactions contemplated by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For the avoidance of doubt, Licensee’s material breach of the Umbrella Secrecy Agreement with respect to Confidential Information shall constitute a material breach of this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w:t>
      </w:r>
    </w:p>
    <w:p>
      <w:pPr>
        <w:spacing w:after="0" w:line="211" w:lineRule="exact"/>
        <w:rPr>
          <w:sz w:val="20"/>
          <w:szCs w:val="20"/>
          <w:color w:val="auto"/>
        </w:rPr>
      </w:pPr>
    </w:p>
    <w:p>
      <w:pPr>
        <w:ind w:right="100" w:firstLine="1433"/>
        <w:spacing w:after="0" w:line="273"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Term</w:t>
      </w:r>
      <w:r>
        <w:rPr>
          <w:rFonts w:ascii="Arial" w:cs="Arial" w:eastAsia="Arial" w:hAnsi="Arial"/>
          <w:sz w:val="17"/>
          <w:szCs w:val="17"/>
          <w:color w:val="auto"/>
        </w:rPr>
        <w:t>. The terms of the licenses and other grants of rights (and related obligations) under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shall remain in effect (a) to the extent with respect to the Licensed Patents and Licensed Copyrights, on a Licensed Patent-by-Licensed Patent and Licensed Copyright-by-Licensed Copyright basis, until expiration, invalidation or abandonment of such Licensed Patent or Licensed Copyright (as applicable), (b) to the extent with respect to any Licensed Know-How, until such Licensed Know-How no longer constitutes Confidential Information; </w:t>
      </w:r>
      <w:r>
        <w:rPr>
          <w:rFonts w:ascii="Arial" w:cs="Arial" w:eastAsia="Arial" w:hAnsi="Arial"/>
          <w:sz w:val="17"/>
          <w:szCs w:val="17"/>
          <w:u w:val="single" w:color="auto"/>
          <w:color w:val="auto"/>
        </w:rPr>
        <w:t>provided that</w:t>
      </w:r>
      <w:r>
        <w:rPr>
          <w:rFonts w:ascii="Arial" w:cs="Arial" w:eastAsia="Arial" w:hAnsi="Arial"/>
          <w:sz w:val="17"/>
          <w:szCs w:val="17"/>
          <w:color w:val="auto"/>
        </w:rPr>
        <w:t>, after expiration of the Term with respect to any Licensed Know-How, the licenses granted hereunder to such Know-How shall survive such expiration in perpetuity, and (c) with respect to Business Software and Licensed Standards, in perpetuity.</w:t>
      </w:r>
    </w:p>
    <w:p>
      <w:pPr>
        <w:spacing w:after="0" w:line="287" w:lineRule="exact"/>
        <w:rPr>
          <w:sz w:val="20"/>
          <w:szCs w:val="20"/>
          <w:color w:val="auto"/>
        </w:rPr>
      </w:pPr>
    </w:p>
    <w:p>
      <w:pPr>
        <w:ind w:left="1440"/>
        <w:spacing w:after="0"/>
        <w:tabs>
          <w:tab w:leader="none" w:pos="240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117" w:lineRule="exact"/>
        <w:rPr>
          <w:sz w:val="20"/>
          <w:szCs w:val="20"/>
          <w:color w:val="auto"/>
        </w:rPr>
      </w:pPr>
    </w:p>
    <w:p>
      <w:pPr>
        <w:ind w:firstLine="1436"/>
        <w:spacing w:after="0" w:line="277" w:lineRule="auto"/>
        <w:tabs>
          <w:tab w:leader="none" w:pos="181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Accrued Rights</w:t>
      </w:r>
      <w:r>
        <w:rPr>
          <w:rFonts w:ascii="Arial" w:cs="Arial" w:eastAsia="Arial" w:hAnsi="Arial"/>
          <w:sz w:val="18"/>
          <w:szCs w:val="18"/>
          <w:color w:val="auto"/>
        </w:rPr>
        <w:t>. Expiration of this Agreement, in part or in its entirety, shall be without prejudice to any rights which shall have accrued to the benefit of either Party prior to such expiration.</w:t>
      </w:r>
    </w:p>
    <w:p>
      <w:pPr>
        <w:spacing w:after="0" w:line="170" w:lineRule="exact"/>
        <w:rPr>
          <w:rFonts w:ascii="Arial" w:cs="Arial" w:eastAsia="Arial" w:hAnsi="Arial"/>
          <w:sz w:val="18"/>
          <w:szCs w:val="18"/>
          <w:color w:val="auto"/>
        </w:rPr>
      </w:pPr>
    </w:p>
    <w:p>
      <w:pPr>
        <w:jc w:val="both"/>
        <w:ind w:right="460" w:firstLine="1436"/>
        <w:spacing w:after="0" w:line="342" w:lineRule="auto"/>
        <w:tabs>
          <w:tab w:leader="none" w:pos="182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The following provisions of this Agreement, together with all other provisions of this Agreement that expressly specify that they survive, shall survive expiration of this Agreement, in part or in its entirety: Articles I, III, VI, VII, IX and X and this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DISPUTE RESOLUTION</w:t>
      </w:r>
    </w:p>
    <w:p>
      <w:pPr>
        <w:spacing w:after="0" w:line="211" w:lineRule="exact"/>
        <w:rPr>
          <w:sz w:val="20"/>
          <w:szCs w:val="20"/>
          <w:color w:val="auto"/>
        </w:rPr>
      </w:pPr>
    </w:p>
    <w:p>
      <w:pPr>
        <w:ind w:right="140" w:firstLine="1433"/>
        <w:spacing w:after="0" w:line="302"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Negotiation and Arbitration</w:t>
      </w:r>
      <w:r>
        <w:rPr>
          <w:rFonts w:ascii="Arial" w:cs="Arial" w:eastAsia="Arial" w:hAnsi="Arial"/>
          <w:sz w:val="16"/>
          <w:szCs w:val="16"/>
          <w:color w:val="auto"/>
        </w:rPr>
        <w:t xml:space="preserve">. In the event of a controversy, dispute or Action between the Parties arising out of, in connection with, or in relation to this Agreement or any of the transactions contemplated hereby, including with respect to the interpretation, performance, nonperformance, validity or breach thereof, and including any Action based on contract, tort, statute or constitution, including the arbitrability of such controversy, dispute or Action, the procedures as set forth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of the Separation Agreement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firstLine="1433"/>
        <w:spacing w:after="0" w:line="288"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Complete Agreement; Construction</w:t>
      </w:r>
      <w:r>
        <w:rPr>
          <w:rFonts w:ascii="Arial" w:cs="Arial" w:eastAsia="Arial" w:hAnsi="Arial"/>
          <w:sz w:val="16"/>
          <w:szCs w:val="16"/>
          <w:color w:val="auto"/>
        </w:rPr>
        <w:t>. This Agreement, including the Exhibits and Schedules, together with the Separation Agreement, the Umbrella Secrecy Agreement, other Ancillary Agreements and, solely to the extent and for the limited purpose of effecting the Internal Reorganization, the Conveyancing and Assumption Instruments,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Exhibit or Schedule hereto, the Exhibit or Schedule shall prevail. In the event and to the extent that there shall be a conflict between the provisions of this Agreement and the provisions of the Separation Agreement, the terms and conditions of this Agreement shall control (except as expressly set forth in Section 12.1 of the Separation Agreement). In the event of any inconsistency between this Agreement and the provisions of (i) any Conveyancing and Assumption Instrument or (ii) that certain Intercompany License Agreement – IB, entered into as of April 30, 2019 by and between Pioneer Hi-Bred International, Inc., E.I. du Pont de Nemours and Company, PM Taiwan, Inc., DuPont US Holding, LLC, and DuPont Industrial Biosciences USA, LLC, the terms and conditions of this Agreement shall control.</w:t>
      </w:r>
    </w:p>
    <w:p>
      <w:pPr>
        <w:spacing w:after="0" w:line="277" w:lineRule="exact"/>
        <w:rPr>
          <w:sz w:val="20"/>
          <w:szCs w:val="20"/>
          <w:color w:val="auto"/>
        </w:rPr>
      </w:pPr>
    </w:p>
    <w:p>
      <w:pPr>
        <w:ind w:left="1440"/>
        <w:spacing w:after="0"/>
        <w:tabs>
          <w:tab w:leader="none" w:pos="25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w:t>
      </w:r>
    </w:p>
    <w:p>
      <w:pPr>
        <w:spacing w:after="0" w:line="117" w:lineRule="exact"/>
        <w:rPr>
          <w:sz w:val="20"/>
          <w:szCs w:val="20"/>
          <w:color w:val="auto"/>
        </w:rPr>
      </w:pPr>
    </w:p>
    <w:p>
      <w:pPr>
        <w:ind w:firstLine="1436"/>
        <w:spacing w:after="0" w:line="254" w:lineRule="auto"/>
        <w:tabs>
          <w:tab w:leader="none" w:pos="18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Neither this Agreement nor any of the rights, interests or obligations of a Party under this Agreement shall be assigned, in whole or in part, by operation of law or otherwise, by such Party without the prior written consent of the other Party (which consent may be granted or withheld in such other Party’s sole discretion);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such first Party (i) may assign, in whole or in part, by operation of law or otherwise, any of the foregoing to one or more of its Affiliates and (ii) may assign, in whole or in part, by operation of law or otherwise, any of the foregoing to the successor to all or a portion of the business or assets to which this Agreement relates;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(x) the assigning Party shall promptly notify the non-assigning Party in writing of any assignments it makes under </w:t>
      </w:r>
      <w:r>
        <w:rPr>
          <w:rFonts w:ascii="Arial" w:cs="Arial" w:eastAsia="Arial" w:hAnsi="Arial"/>
          <w:sz w:val="18"/>
          <w:szCs w:val="18"/>
          <w:u w:val="single" w:color="auto"/>
          <w:color w:val="auto"/>
        </w:rPr>
        <w:t>Section 10.2(a)(ii)</w:t>
      </w:r>
      <w:r>
        <w:rPr>
          <w:rFonts w:ascii="Arial" w:cs="Arial" w:eastAsia="Arial" w:hAnsi="Arial"/>
          <w:sz w:val="18"/>
          <w:szCs w:val="18"/>
          <w:color w:val="auto"/>
        </w:rPr>
        <w:t xml:space="preserve"> and (y) in either case of (i) or (ii), the party to whom this Agreement is assigned shall agree in writing to be bound by the terms of this Agreement as if named as a “Party” hereto with respect to all or such portion of this Agreement so assigned.</w:t>
      </w:r>
    </w:p>
    <w:p>
      <w:pPr>
        <w:spacing w:after="0" w:line="192" w:lineRule="exact"/>
        <w:rPr>
          <w:rFonts w:ascii="Arial" w:cs="Arial" w:eastAsia="Arial" w:hAnsi="Arial"/>
          <w:sz w:val="18"/>
          <w:szCs w:val="18"/>
          <w:color w:val="auto"/>
        </w:rPr>
      </w:pPr>
    </w:p>
    <w:p>
      <w:pPr>
        <w:ind w:right="200" w:firstLine="1436"/>
        <w:spacing w:after="0" w:line="342" w:lineRule="auto"/>
        <w:tabs>
          <w:tab w:leader="none" w:pos="1813"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Any assignment or other disposition in violation of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shall be void. No assignment shall relieve the assigning Party of any of its obligations under this Agreement that accrued prior to such assignment unless agreed to by the non-assigning Party.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0" w:right="479" w:bottom="1440" w:gutter="0" w:footer="0" w:header="0"/>
        </w:sectPr>
      </w:pPr>
    </w:p>
    <w:bookmarkStart w:id="69" w:name="page70"/>
    <w:bookmarkEnd w:id="69"/>
    <w:p>
      <w:pPr>
        <w:ind w:right="60" w:firstLine="143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w:t>
      </w:r>
    </w:p>
    <w:p>
      <w:pPr>
        <w:spacing w:after="0" w:line="187" w:lineRule="exact"/>
        <w:rPr>
          <w:sz w:val="20"/>
          <w:szCs w:val="20"/>
          <w:color w:val="auto"/>
        </w:rPr>
      </w:pPr>
    </w:p>
    <w:p>
      <w:pPr>
        <w:ind w:firstLine="1433"/>
        <w:spacing w:after="0" w:line="302"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to be given to any Party under this Agreement shall be sufficiently given for all purposes hereunder if in writing and delivered by hand, courier or overnight delivery service, or five (5) days after being mailed by certified or registered mail, return receipt requested, with appropriate postage prepaid, or electronically mailed (with a response confirming receipt), and shall be directed to the address set forth below (or at such other address for a Party as shall be specified in a notice given in accordance with this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 AgCo: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Corteva,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 Corteva,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974 Centre Road, Building 735</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Wilmington, DE 19805</w:t>
      </w:r>
    </w:p>
    <w:p>
      <w:pPr>
        <w:spacing w:after="0" w:line="9"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880"/>
        <w:spacing w:after="0"/>
        <w:tabs>
          <w:tab w:leader="none" w:pos="1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cornel.b.fuerer@corteva.com</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Brandon Van Dyke, Esq.</w:t>
      </w:r>
    </w:p>
    <w:p>
      <w:pPr>
        <w:spacing w:after="0" w:line="23"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Brandon.VanDyke@skadden.com</w:t>
      </w:r>
    </w:p>
    <w:p>
      <w:pPr>
        <w:spacing w:after="0" w:line="9"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(917) 777-3743</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 SpecCo: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DowDuPont,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 DuPont de Nemours,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974 Centre Road, Building 730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Wilmington, DE 19805</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Erik.T.Hoover@dupont.com</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Brandon Van Dyke, Esq.</w:t>
      </w:r>
    </w:p>
    <w:p>
      <w:pPr>
        <w:spacing w:after="0" w:line="23"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Brandon.VanDyke@skadden.com</w:t>
      </w:r>
    </w:p>
    <w:p>
      <w:pPr>
        <w:spacing w:after="0" w:line="9"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(917) 777-3743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70" w:name="page71"/>
    <w:bookmarkEnd w:id="70"/>
    <w:p>
      <w:pPr>
        <w:ind w:right="120" w:firstLine="143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10.5 </w:t>
      </w:r>
      <w:r>
        <w:rPr>
          <w:rFonts w:ascii="Arial" w:cs="Arial" w:eastAsia="Arial" w:hAnsi="Arial"/>
          <w:sz w:val="17"/>
          <w:szCs w:val="17"/>
          <w:u w:val="single" w:color="auto"/>
          <w:color w:val="auto"/>
        </w:rPr>
        <w:t>Waivers</w:t>
      </w:r>
      <w:r>
        <w:rPr>
          <w:rFonts w:ascii="Arial" w:cs="Arial" w:eastAsia="Arial" w:hAnsi="Arial"/>
          <w:sz w:val="17"/>
          <w:szCs w:val="17"/>
          <w:color w:val="auto"/>
        </w:rPr>
        <w:t>.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any other Party under this Agreement shall be in writing and signed by the Party giving such consent and shall be effective only against such Party (and the members of its Group).</w:t>
      </w:r>
    </w:p>
    <w:p>
      <w:pPr>
        <w:spacing w:after="0" w:line="178" w:lineRule="exact"/>
        <w:rPr>
          <w:sz w:val="20"/>
          <w:szCs w:val="20"/>
          <w:color w:val="auto"/>
        </w:rPr>
      </w:pPr>
    </w:p>
    <w:p>
      <w:pPr>
        <w:ind w:left="1440"/>
        <w:spacing w:after="0"/>
        <w:tabs>
          <w:tab w:leader="none" w:pos="250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not be modified or amended except by an agreement in writing signed by each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Parties.</w:t>
      </w:r>
    </w:p>
    <w:p>
      <w:pPr>
        <w:spacing w:after="0" w:line="211" w:lineRule="exact"/>
        <w:rPr>
          <w:sz w:val="20"/>
          <w:szCs w:val="20"/>
          <w:color w:val="auto"/>
        </w:rPr>
      </w:pPr>
    </w:p>
    <w:p>
      <w:pPr>
        <w:ind w:right="380" w:firstLine="1433"/>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Affiliates</w:t>
      </w:r>
      <w:r>
        <w:rPr>
          <w:rFonts w:ascii="Arial" w:cs="Arial" w:eastAsia="Arial" w:hAnsi="Arial"/>
          <w:sz w:val="18"/>
          <w:szCs w:val="18"/>
          <w:color w:val="auto"/>
        </w:rPr>
        <w:t>. Each of the Parties shall cause to be performed, and hereby guarantees the performance of, all actions, agreements and obligations set forth herein to be performed by any Affiliate of such Party.</w:t>
      </w:r>
    </w:p>
    <w:p>
      <w:pPr>
        <w:spacing w:after="0" w:line="170" w:lineRule="exact"/>
        <w:rPr>
          <w:sz w:val="20"/>
          <w:szCs w:val="20"/>
          <w:color w:val="auto"/>
        </w:rPr>
      </w:pPr>
    </w:p>
    <w:p>
      <w:pPr>
        <w:jc w:val="both"/>
        <w:ind w:right="80" w:firstLine="1433"/>
        <w:spacing w:after="0" w:line="259"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relating to Indemnitees,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 excess of those existing without reference to this Agreement.</w:t>
      </w:r>
    </w:p>
    <w:p>
      <w:pPr>
        <w:spacing w:after="0" w:line="187" w:lineRule="exact"/>
        <w:rPr>
          <w:sz w:val="20"/>
          <w:szCs w:val="20"/>
          <w:color w:val="auto"/>
        </w:rPr>
      </w:pPr>
    </w:p>
    <w:p>
      <w:pPr>
        <w:ind w:right="160" w:firstLine="1433"/>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Title and Headings</w:t>
      </w:r>
      <w:r>
        <w:rPr>
          <w:rFonts w:ascii="Arial" w:cs="Arial" w:eastAsia="Arial" w:hAnsi="Arial"/>
          <w:sz w:val="18"/>
          <w:szCs w:val="18"/>
          <w:color w:val="auto"/>
        </w:rPr>
        <w:t>. Titles and headings to sections herein are inserted for the convenience of reference only and are not intended to be a part of or to affect the meaning or interpretation of this Agreement.</w:t>
      </w:r>
    </w:p>
    <w:p>
      <w:pPr>
        <w:spacing w:after="0" w:line="170" w:lineRule="exact"/>
        <w:rPr>
          <w:sz w:val="20"/>
          <w:szCs w:val="20"/>
          <w:color w:val="auto"/>
        </w:rPr>
      </w:pPr>
    </w:p>
    <w:p>
      <w:pPr>
        <w:ind w:right="800" w:firstLine="1433"/>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The Exhibits and Schedules shall be construed with and as an integral part of this Agreement to the same extent as if the same had been set forth verbatim herein.</w:t>
      </w:r>
    </w:p>
    <w:p>
      <w:pPr>
        <w:spacing w:after="0" w:line="170" w:lineRule="exact"/>
        <w:rPr>
          <w:sz w:val="20"/>
          <w:szCs w:val="20"/>
          <w:color w:val="auto"/>
        </w:rPr>
      </w:pPr>
    </w:p>
    <w:p>
      <w:pPr>
        <w:ind w:right="300" w:firstLine="1433"/>
        <w:spacing w:after="0" w:line="264"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out of, in connection with or relating to this Agreement shall be governed by and construed in accordance with the Laws of the State of Delaware, without giving effect to the conflicts of laws principles thereof.</w:t>
      </w:r>
    </w:p>
    <w:p>
      <w:pPr>
        <w:spacing w:after="0" w:line="181" w:lineRule="exact"/>
        <w:rPr>
          <w:sz w:val="20"/>
          <w:szCs w:val="20"/>
          <w:color w:val="auto"/>
        </w:rPr>
      </w:pPr>
    </w:p>
    <w:p>
      <w:pPr>
        <w:ind w:firstLine="1433"/>
        <w:spacing w:after="0" w:line="271"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such non-performance or breach. Accordingly, in the event of any actual or threatened default in or breach of, any of the terms, conditions and provisions of this Agreement, the Parties agree that the Party or Parties to this Agreement who are or are to be thereby aggrieved shall, subject and pursuant to the terms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(including for the avoidance of doubt, after compliance with all notice and negotiation provisions herein),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71" w:name="page72"/>
    <w:bookmarkEnd w:id="7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any action for specific performance that a remedy at law would be adequate is hereby waived, and that any requirements for the securing or posting of any bond with such remedy are hereby waived.</w:t>
      </w:r>
    </w:p>
    <w:p>
      <w:pPr>
        <w:spacing w:after="0" w:line="170" w:lineRule="exact"/>
        <w:rPr>
          <w:sz w:val="20"/>
          <w:szCs w:val="20"/>
          <w:color w:val="auto"/>
        </w:rPr>
      </w:pPr>
    </w:p>
    <w:p>
      <w:pPr>
        <w:ind w:firstLine="1433"/>
        <w:spacing w:after="0" w:line="257"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legal and enforceable provisions, the economic effect of which comes as close as possible to that of the invalid, illegal or unenforceable provisions.</w:t>
      </w:r>
    </w:p>
    <w:p>
      <w:pPr>
        <w:spacing w:after="0" w:line="188" w:lineRule="exact"/>
        <w:rPr>
          <w:sz w:val="20"/>
          <w:szCs w:val="20"/>
          <w:color w:val="auto"/>
        </w:rPr>
      </w:pPr>
    </w:p>
    <w:p>
      <w:pPr>
        <w:ind w:right="60" w:firstLine="1433"/>
        <w:spacing w:after="0" w:line="308"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u w:val="single" w:color="auto"/>
          <w:color w:val="auto"/>
        </w:rPr>
        <w:t>No Duplication; No Double Recovery</w:t>
      </w:r>
      <w:r>
        <w:rPr>
          <w:rFonts w:ascii="Arial" w:cs="Arial" w:eastAsia="Arial" w:hAnsi="Arial"/>
          <w:sz w:val="17"/>
          <w:szCs w:val="17"/>
          <w:color w:val="auto"/>
        </w:rPr>
        <w:t>. Nothing in this Agreement is intended to confer to or impose upon any Party a duplicative right, entitlement, obligation or recovery with respect to any matter arising out of the same facts and circumstances.</w:t>
      </w:r>
    </w:p>
    <w:p>
      <w:pPr>
        <w:spacing w:after="0" w:line="147" w:lineRule="exact"/>
        <w:rPr>
          <w:sz w:val="20"/>
          <w:szCs w:val="20"/>
          <w:color w:val="auto"/>
        </w:rPr>
      </w:pPr>
    </w:p>
    <w:p>
      <w:pPr>
        <w:ind w:firstLine="1433"/>
        <w:spacing w:after="0" w:line="269"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Bankruptcy</w:t>
      </w:r>
      <w:r>
        <w:rPr>
          <w:rFonts w:ascii="Arial" w:cs="Arial" w:eastAsia="Arial" w:hAnsi="Arial"/>
          <w:sz w:val="17"/>
          <w:szCs w:val="17"/>
          <w:color w:val="auto"/>
        </w:rPr>
        <w:t>. All rights and licenses granted under or pursuant to this Agreement by a Licensor are, and will otherwise be deemed to be, for purposes of Section 365(n) of the United States Bankruptcy Code, licenses of rights to “intellectual property” as defined under Section 101 of the United States Bankruptcy Code regardless of the form or type of intellectual property under or to which such rights and licenses are granted and regardless of whether the intellectual property is registered in or otherwise recognized by or applicable to the United States of America or any other country or jurisdiction. The Parties agree that each Licensee will retain and may fully exercise all of their rights and elections under the United States Bankruptcy Code. The Parties further agree that, in the event of the commencement of a bankruptcy proceeding by or against a Party under the United States Bankruptcy Code, the Party hereto that is not a party to such proceeding will be entitled to a complete duplicate of (or complete access to, as appropriate) any such intellectual property and all embodiments of such intellectual property, which, if not already in the non-subject Party’s possession, will be promptly delivered to it (a) upon any such commencement of a bankruptcy proceeding upon the non-subject Party’s written request therefore, unless the Party subject to such proceeding continues to perform all of its obligations under this Agreement or (b) if not delivered under clause (a) above, following the rejection of this Agreement by or on behalf of the Party subject to such proceeding upon written request therefore by the non-subject Party.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 * *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[End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Agreement to be duly executed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CORTEVA,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[Signature Page to AgCo/SpecCo Intellectual Property Cross License Agreement]</w:t>
      </w:r>
    </w:p>
    <w:p>
      <w:pPr>
        <w:sectPr>
          <w:pgSz w:w="11900" w:h="16838" w:orient="portrait"/>
          <w:cols w:equalWidth="0" w:num="1">
            <w:col w:w="9579"/>
          </w:cols>
          <w:pgMar w:left="880" w:top="274" w:right="1440" w:bottom="1440" w:gutter="0" w:footer="0" w:header="0"/>
        </w:sectPr>
      </w:pPr>
    </w:p>
    <w:bookmarkStart w:id="73" w:name="page74"/>
    <w:bookmarkEnd w:id="7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DOWDUPONT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AgCo/ SpecCo Intellectual Property Cross License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019"/>
          </w:cols>
          <w:pgMar w:left="1440" w:top="274"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OMNIBUS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of Plan.</w:t>
      </w:r>
    </w:p>
    <w:p>
      <w:pPr>
        <w:spacing w:after="0" w:line="121"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The name of the Plan is the Corteva, Inc. 2019 Omnibus Incentive Plan. The purposes of the Plan are to (a) provide an additional incentive to selected employees, directors, independent contractors and consultants of the Company or its Affiliates whose contributions are essential to the growth and success of the Company, (b) strengthen the commitment of such individuals to the Company and its Affiliates, (c) motivate those individuals to faithfully and diligently perform their responsibilities and (d) attract and retain competent and dedicated individuals whose efforts will result in the long-term growth and profitability of the Company. In addition, the Plan permits the issuance of Conversion Awards in substitution of certain incentive awards that covered shares of DowDuPont Inc. immediately before the Separation. To accomplish these various purposes, the Plan provides that the Company may grant Options, Share Appreciation Rights, Restricted Shares, Restricted Stock Units, Other Share-Based Awards, Conversion Awards, Cash Awards or any combination of the foregoing.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the Plan, the following capitalized terms shall be defined as set forth below:</w:t>
      </w:r>
    </w:p>
    <w:p>
      <w:pPr>
        <w:spacing w:after="0" w:line="225" w:lineRule="exact"/>
        <w:rPr>
          <w:sz w:val="20"/>
          <w:szCs w:val="20"/>
          <w:color w:val="auto"/>
        </w:rPr>
      </w:pPr>
    </w:p>
    <w:p>
      <w:pPr>
        <w:ind w:left="1140" w:hanging="255"/>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if and to the extent the Board does not administer the Plan, the Committee.</w:t>
      </w:r>
    </w:p>
    <w:p>
      <w:pPr>
        <w:spacing w:after="0" w:line="225" w:lineRule="exact"/>
        <w:rPr>
          <w:rFonts w:ascii="Arial" w:cs="Arial" w:eastAsia="Arial" w:hAnsi="Arial"/>
          <w:sz w:val="18"/>
          <w:szCs w:val="18"/>
          <w:color w:val="auto"/>
        </w:rPr>
      </w:pPr>
    </w:p>
    <w:p>
      <w:pPr>
        <w:ind w:right="560" w:firstLine="885"/>
        <w:spacing w:after="0" w:line="277" w:lineRule="auto"/>
        <w:tabs>
          <w:tab w:leader="none" w:pos="11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 as of any date of determination.</w:t>
      </w:r>
    </w:p>
    <w:p>
      <w:pPr>
        <w:spacing w:after="0" w:line="170" w:lineRule="exact"/>
        <w:rPr>
          <w:rFonts w:ascii="Arial" w:cs="Arial" w:eastAsia="Arial" w:hAnsi="Arial"/>
          <w:sz w:val="18"/>
          <w:szCs w:val="18"/>
          <w:color w:val="auto"/>
        </w:rPr>
      </w:pPr>
    </w:p>
    <w:p>
      <w:pPr>
        <w:ind w:right="40" w:firstLine="885"/>
        <w:spacing w:after="0" w:line="264" w:lineRule="auto"/>
        <w:tabs>
          <w:tab w:leader="none" w:pos="11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applicable requirements under U.S. federal and state corporate laws, U.S. federal and state securities laws, including the Code, any stock exchange or quotation system on which the Common Stock is listed or quoted and the applicable laws of any other country or jurisdiction where Awards are granted under the Plan, all as are in effect from time to time.</w:t>
      </w:r>
    </w:p>
    <w:p>
      <w:pPr>
        <w:spacing w:after="0" w:line="181" w:lineRule="exact"/>
        <w:rPr>
          <w:rFonts w:ascii="Arial" w:cs="Arial" w:eastAsia="Arial" w:hAnsi="Arial"/>
          <w:sz w:val="18"/>
          <w:szCs w:val="18"/>
          <w:color w:val="auto"/>
        </w:rPr>
      </w:pPr>
    </w:p>
    <w:p>
      <w:pPr>
        <w:ind w:right="160" w:firstLine="885"/>
        <w:spacing w:after="0" w:line="277" w:lineRule="auto"/>
        <w:tabs>
          <w:tab w:leader="none" w:pos="11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Option, Share Appreciation Right, Restricted Share, Restricted Stock Unit, Other Share-Based Award, Conversion Award or Cash Award granted under the Plan.</w:t>
      </w:r>
    </w:p>
    <w:p>
      <w:pPr>
        <w:spacing w:after="0" w:line="170" w:lineRule="exact"/>
        <w:rPr>
          <w:rFonts w:ascii="Arial" w:cs="Arial" w:eastAsia="Arial" w:hAnsi="Arial"/>
          <w:sz w:val="18"/>
          <w:szCs w:val="18"/>
          <w:color w:val="auto"/>
        </w:rPr>
      </w:pPr>
    </w:p>
    <w:p>
      <w:pPr>
        <w:jc w:val="both"/>
        <w:ind w:right="340" w:firstLine="885"/>
        <w:spacing w:after="0" w:line="264" w:lineRule="auto"/>
        <w:tabs>
          <w:tab w:leader="none" w:pos="112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notice, agreement, contract or other instrument or document evidencing an Award, including through electronic medium, which shall contain such terms and conditions with respect to an Award as the Administrator shall determine, consistent with the Plan.</w:t>
      </w:r>
    </w:p>
    <w:p>
      <w:pPr>
        <w:spacing w:after="0" w:line="181" w:lineRule="exact"/>
        <w:rPr>
          <w:rFonts w:ascii="Arial" w:cs="Arial" w:eastAsia="Arial" w:hAnsi="Arial"/>
          <w:sz w:val="18"/>
          <w:szCs w:val="18"/>
          <w:color w:val="auto"/>
        </w:rPr>
      </w:pPr>
    </w:p>
    <w:p>
      <w:pPr>
        <w:ind w:left="1120" w:hanging="235"/>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(or any variant thereof) has the meaning defined in Rule 13d-3 under the Exchange Act.</w:t>
      </w:r>
    </w:p>
    <w:p>
      <w:pPr>
        <w:sectPr>
          <w:pgSz w:w="11900" w:h="16838" w:orient="portrait"/>
          <w:cols w:equalWidth="0" w:num="1">
            <w:col w:w="11020"/>
          </w:cols>
          <w:pgMar w:left="440" w:top="121" w:right="439" w:bottom="1440" w:gutter="0" w:footer="0" w:header="0"/>
        </w:sectPr>
      </w:pPr>
    </w:p>
    <w:bookmarkStart w:id="75" w:name="page76"/>
    <w:bookmarkEnd w:id="75"/>
    <w:p>
      <w:pPr>
        <w:ind w:left="1140" w:hanging="255"/>
        <w:spacing w:after="0"/>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 the bylaws of the Company, as may be amended and/or restated from time to time.</w:t>
      </w:r>
    </w:p>
    <w:p>
      <w:pPr>
        <w:spacing w:after="0" w:line="225" w:lineRule="exact"/>
        <w:rPr>
          <w:rFonts w:ascii="Arial" w:cs="Arial" w:eastAsia="Arial" w:hAnsi="Arial"/>
          <w:sz w:val="18"/>
          <w:szCs w:val="18"/>
          <w:color w:val="auto"/>
        </w:rPr>
      </w:pPr>
    </w:p>
    <w:p>
      <w:pPr>
        <w:ind w:right="60" w:firstLine="885"/>
        <w:spacing w:after="0" w:line="277" w:lineRule="auto"/>
        <w:tabs>
          <w:tab w:leader="none" w:pos="1096"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Award</w:t>
      </w:r>
      <w:r>
        <w:rPr>
          <w:rFonts w:ascii="Arial" w:cs="Arial" w:eastAsia="Arial" w:hAnsi="Arial"/>
          <w:sz w:val="18"/>
          <w:szCs w:val="18"/>
          <w:color w:val="auto"/>
        </w:rPr>
        <w:t>” means cash awarded under Section 12, including cash awarded as a bonus or upon the attainment of performance goals or otherwise as permitted under the Plan.</w:t>
      </w:r>
    </w:p>
    <w:p>
      <w:pPr>
        <w:spacing w:after="0" w:line="170" w:lineRule="exact"/>
        <w:rPr>
          <w:rFonts w:ascii="Arial" w:cs="Arial" w:eastAsia="Arial" w:hAnsi="Arial"/>
          <w:sz w:val="18"/>
          <w:szCs w:val="18"/>
          <w:color w:val="auto"/>
        </w:rPr>
      </w:pPr>
    </w:p>
    <w:p>
      <w:pPr>
        <w:ind w:firstLine="885"/>
        <w:spacing w:after="0" w:line="270" w:lineRule="auto"/>
        <w:tabs>
          <w:tab w:leader="none" w:pos="1096" w:val="left"/>
        </w:tabs>
        <w:numPr>
          <w:ilvl w:val="1"/>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has the meaning assigned to such term or an analogous term in any individual service, employment or severance agreement or Award Agreement with the Participant or, if no such agreement exists or if such agreement does not define “Cause” or an analogous term, then “Cause” means (i) the conviction, guilty plea or plea of “no contest” by the Participant to any felony or a crime involving moral turpitude or the Participant’s commission of any other act or omission involving dishonesty or fraud, (ii) the substantial and repeated failure of the Participant to perform duties of the office held by the Participant, (iii) the Participant’s gross negligence, willful misconduct or breach of fiduciary duty with respect to the Company or any of its Affiliates, (iv) any breach by the Participant of any restrictive covenants to which the Participant is subject, and/or (v) the Participant’s engagement in any conduct which is or can reasonably be expected to be materially detrimental or injurious to the business or reputation of the Company or its Affiliates. Any voluntary termination of employment or service by the Participant in anticipation of an involuntary termination of the Participant’s employment or service, as applicable, for Cause shall be deemed to be a termination for Cause.</w:t>
      </w:r>
    </w:p>
    <w:p>
      <w:pPr>
        <w:spacing w:after="0" w:line="181" w:lineRule="exact"/>
        <w:rPr>
          <w:rFonts w:ascii="Arial" w:cs="Arial" w:eastAsia="Arial" w:hAnsi="Arial"/>
          <w:sz w:val="17"/>
          <w:szCs w:val="17"/>
          <w:color w:val="auto"/>
        </w:rPr>
      </w:pPr>
    </w:p>
    <w:p>
      <w:pPr>
        <w:ind w:right="100" w:firstLine="885"/>
        <w:spacing w:after="0" w:line="288" w:lineRule="auto"/>
        <w:tabs>
          <w:tab w:leader="none" w:pos="1136" w:val="left"/>
        </w:tabs>
        <w:numPr>
          <w:ilvl w:val="1"/>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Capitalization</w:t>
      </w:r>
      <w:r>
        <w:rPr>
          <w:rFonts w:ascii="Arial" w:cs="Arial" w:eastAsia="Arial" w:hAnsi="Arial"/>
          <w:sz w:val="16"/>
          <w:szCs w:val="16"/>
          <w:color w:val="auto"/>
        </w:rPr>
        <w:t>”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share subdivision or consolidation, (iii) combination or exchange of shares or</w:t>
      </w:r>
    </w:p>
    <w:p>
      <w:pPr>
        <w:ind w:right="420" w:firstLine="4"/>
        <w:spacing w:after="0" w:line="261" w:lineRule="auto"/>
        <w:tabs>
          <w:tab w:leader="none" w:pos="3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 change in corporate structure, which, in any such case, the Administrator determines, in its sole discretion, affects the Shares such that an adjustment pursuant to Section 5 is appropriate.</w:t>
      </w:r>
    </w:p>
    <w:p>
      <w:pPr>
        <w:spacing w:after="0" w:line="183" w:lineRule="exact"/>
        <w:rPr>
          <w:rFonts w:ascii="Arial" w:cs="Arial" w:eastAsia="Arial" w:hAnsi="Arial"/>
          <w:sz w:val="18"/>
          <w:szCs w:val="18"/>
          <w:color w:val="auto"/>
        </w:rPr>
      </w:pPr>
    </w:p>
    <w:p>
      <w:pPr>
        <w:ind w:left="1100" w:hanging="215"/>
        <w:spacing w:after="0"/>
        <w:tabs>
          <w:tab w:leader="none" w:pos="11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first occurrence of an event set forth in any one of the following paragraphs following the Effective Date:</w:t>
      </w:r>
    </w:p>
    <w:p>
      <w:pPr>
        <w:spacing w:after="0" w:line="140" w:lineRule="exact"/>
        <w:rPr>
          <w:rFonts w:ascii="Arial" w:cs="Arial" w:eastAsia="Arial" w:hAnsi="Arial"/>
          <w:sz w:val="16"/>
          <w:szCs w:val="16"/>
          <w:color w:val="auto"/>
        </w:rPr>
      </w:pPr>
    </w:p>
    <w:p>
      <w:pPr>
        <w:ind w:firstLine="1436"/>
        <w:spacing w:after="0" w:line="259" w:lineRule="auto"/>
        <w:tabs>
          <w:tab w:leader="none" w:pos="1688"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(not including in the securities Beneficially Owned by such Person which were acquired directly from the Company or any Affiliate thereof) representing more than thirty percent (30%) of the combined voting power of the Company’s then outstanding securities, excluding any Person who becomes such a Beneficial Owner in connection with a transaction described in clause (i) of paragraph (3) below; or</w:t>
      </w:r>
    </w:p>
    <w:p>
      <w:pPr>
        <w:spacing w:after="0" w:line="78" w:lineRule="exact"/>
        <w:rPr>
          <w:rFonts w:ascii="Arial" w:cs="Arial" w:eastAsia="Arial" w:hAnsi="Arial"/>
          <w:sz w:val="18"/>
          <w:szCs w:val="18"/>
          <w:color w:val="auto"/>
        </w:rPr>
      </w:pPr>
    </w:p>
    <w:p>
      <w:pPr>
        <w:ind w:right="420" w:firstLine="1436"/>
        <w:spacing w:after="0" w:line="259" w:lineRule="auto"/>
        <w:tabs>
          <w:tab w:leader="none" w:pos="1688"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date on which individuals who constitute the Board as of the Effective Date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76" w:name="page77"/>
    <w:bookmarkEnd w:id="76"/>
    <w:p>
      <w:pPr>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recommended by a vote of at least two-thirds (2/3) of the directors then still in office who either were directors on the Effective Date or whose appointment, election or nomination for election was previously so approved or recommended cease for any reason to constitute a majority of the number of directors serving on the Board; or</w:t>
      </w:r>
    </w:p>
    <w:p>
      <w:pPr>
        <w:spacing w:after="0" w:line="73" w:lineRule="exact"/>
        <w:rPr>
          <w:sz w:val="20"/>
          <w:szCs w:val="20"/>
          <w:color w:val="auto"/>
        </w:rPr>
      </w:pPr>
    </w:p>
    <w:p>
      <w:pPr>
        <w:ind w:right="100" w:firstLine="1436"/>
        <w:spacing w:after="0" w:line="287" w:lineRule="auto"/>
        <w:tabs>
          <w:tab w:leader="none" w:pos="16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more than fifty percent (50%) of the combined voting power of the securities of the Company or such surviving entity or any parent thereof outstanding immediately after such merger or consolidation and (B)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or</w:t>
      </w:r>
    </w:p>
    <w:p>
      <w:pPr>
        <w:spacing w:after="0" w:line="64" w:lineRule="exact"/>
        <w:rPr>
          <w:rFonts w:ascii="Arial" w:cs="Arial" w:eastAsia="Arial" w:hAnsi="Arial"/>
          <w:sz w:val="16"/>
          <w:szCs w:val="16"/>
          <w:color w:val="auto"/>
        </w:rPr>
      </w:pPr>
    </w:p>
    <w:p>
      <w:pPr>
        <w:ind w:firstLine="1436"/>
        <w:spacing w:after="0" w:line="272" w:lineRule="auto"/>
        <w:tabs>
          <w:tab w:leader="none" w:pos="1688"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stockholders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more than fifty percent (50%) of the combined voting power of the voting securities of which are owned by stockholders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the foregoing, (i) the Separation shall not constitute a Change in Control, (ii) a Change in Control shall not be deemed to have occurred by virtue of the consummation of any transaction or series of integrated transactions immediately following which the holders of Common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(iii) to the extent required to avoid accelerated taxation and/or tax penalties under Section 409A of the Code, a Change in Control shall be deemed to have occurred under the Plan with respect to any Award that constitutes deferred compensation under Section 409A of the Code only if a change in the ownership or effective control of the Company or a change in ownership of a substantial portion of the assets of the Company shall also be deemed to have occurred under</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7" w:name="page78"/>
    <w:bookmarkEnd w:id="7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 of the Code. For purposes of this definition of Change in Control, the term “Person” shall not include (i) the Company or any Subsidiary thereof, (ii) a trustee or other fiduciary holding securities under an employee benefit plan of the Company or any Subsidiary thereof, (iii) an underwriter temporarily holding securities pursuant to an offering of such securities, or (iv) a corporation owned, directly or indirectly, by the stockholders of the Company in substantially the same proportions as their ownership of shares of the Company.</w:t>
      </w:r>
    </w:p>
    <w:p>
      <w:pPr>
        <w:spacing w:after="0" w:line="187" w:lineRule="exact"/>
        <w:rPr>
          <w:sz w:val="20"/>
          <w:szCs w:val="20"/>
          <w:color w:val="auto"/>
        </w:rPr>
      </w:pPr>
    </w:p>
    <w:p>
      <w:pPr>
        <w:ind w:left="1200" w:hanging="315"/>
        <w:spacing w:after="0"/>
        <w:tabs>
          <w:tab w:leader="none" w:pos="1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rFonts w:ascii="Arial" w:cs="Arial" w:eastAsia="Arial" w:hAnsi="Arial"/>
          <w:sz w:val="18"/>
          <w:szCs w:val="18"/>
          <w:color w:val="auto"/>
        </w:rPr>
      </w:pPr>
    </w:p>
    <w:p>
      <w:pPr>
        <w:ind w:right="200" w:firstLine="885"/>
        <w:spacing w:after="0" w:line="286" w:lineRule="auto"/>
        <w:tabs>
          <w:tab w:leader="none" w:pos="1136" w:val="left"/>
        </w:tabs>
        <w:numPr>
          <w:ilvl w:val="0"/>
          <w:numId w:val="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any committee or subcommittee the Board may appoint to administer the Plan. Subject to the discretion of the Board, the Committee shall be composed entirely of individuals who meet the qualifications of a “non-employee director” within the meaning of Rule 16b-3 and any other qualifications required by the applicable stock exchange on which the Common Stock is traded.</w:t>
      </w:r>
    </w:p>
    <w:p>
      <w:pPr>
        <w:spacing w:after="0" w:line="165" w:lineRule="exact"/>
        <w:rPr>
          <w:rFonts w:ascii="Arial" w:cs="Arial" w:eastAsia="Arial" w:hAnsi="Arial"/>
          <w:sz w:val="17"/>
          <w:szCs w:val="17"/>
          <w:color w:val="auto"/>
        </w:rPr>
      </w:pPr>
    </w:p>
    <w:p>
      <w:pPr>
        <w:ind w:left="1140" w:hanging="255"/>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having a par value of $0.01 per share.</w:t>
      </w:r>
    </w:p>
    <w:p>
      <w:pPr>
        <w:spacing w:after="0" w:line="225" w:lineRule="exact"/>
        <w:rPr>
          <w:rFonts w:ascii="Arial" w:cs="Arial" w:eastAsia="Arial" w:hAnsi="Arial"/>
          <w:sz w:val="18"/>
          <w:szCs w:val="18"/>
          <w:color w:val="auto"/>
        </w:rPr>
      </w:pPr>
    </w:p>
    <w:p>
      <w:pPr>
        <w:ind w:right="480" w:firstLine="885"/>
        <w:spacing w:after="0" w:line="277" w:lineRule="auto"/>
        <w:tabs>
          <w:tab w:leader="none" w:pos="11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Corteva, Inc., a Delaware corporation (or any successor company, except as the term “Company” is used in the definition of “Change in Control” above).</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Award</w:t>
      </w:r>
      <w:r>
        <w:rPr>
          <w:rFonts w:ascii="Arial" w:cs="Arial" w:eastAsia="Arial" w:hAnsi="Arial"/>
          <w:sz w:val="18"/>
          <w:szCs w:val="18"/>
          <w:color w:val="auto"/>
        </w:rPr>
        <w:t>” shall have the meaning set forth in Section 10.</w:t>
      </w:r>
    </w:p>
    <w:p>
      <w:pPr>
        <w:spacing w:after="0" w:line="225" w:lineRule="exact"/>
        <w:rPr>
          <w:rFonts w:ascii="Arial" w:cs="Arial" w:eastAsia="Arial" w:hAnsi="Arial"/>
          <w:sz w:val="18"/>
          <w:szCs w:val="18"/>
          <w:color w:val="auto"/>
        </w:rPr>
      </w:pPr>
    </w:p>
    <w:p>
      <w:pPr>
        <w:ind w:right="80" w:firstLine="885"/>
        <w:spacing w:after="0" w:line="291" w:lineRule="auto"/>
        <w:tabs>
          <w:tab w:leader="none" w:pos="1106"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has the meaning assigned to such term or an analogous term in any individual service, employment or severance agreement or Award Agreement with the Participant or, if no such agreement exists or if such agreement does not define “Disability” or an analogous term, then “Disability” means that a Participant, as determined by the Administrator in its sole discretion,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167" w:lineRule="exact"/>
        <w:rPr>
          <w:rFonts w:ascii="Arial" w:cs="Arial" w:eastAsia="Arial" w:hAnsi="Arial"/>
          <w:sz w:val="16"/>
          <w:szCs w:val="16"/>
          <w:color w:val="auto"/>
        </w:rPr>
      </w:pPr>
    </w:p>
    <w:p>
      <w:pPr>
        <w:ind w:left="1120" w:hanging="235"/>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19.</w:t>
      </w:r>
    </w:p>
    <w:p>
      <w:pPr>
        <w:spacing w:after="0" w:line="225" w:lineRule="exact"/>
        <w:rPr>
          <w:rFonts w:ascii="Arial" w:cs="Arial" w:eastAsia="Arial" w:hAnsi="Arial"/>
          <w:sz w:val="18"/>
          <w:szCs w:val="18"/>
          <w:color w:val="auto"/>
        </w:rPr>
      </w:pPr>
    </w:p>
    <w:p>
      <w:pPr>
        <w:ind w:firstLine="885"/>
        <w:spacing w:after="0" w:line="276" w:lineRule="auto"/>
        <w:tabs>
          <w:tab w:leader="none" w:pos="1096" w:val="left"/>
        </w:tabs>
        <w:numPr>
          <w:ilvl w:val="0"/>
          <w:numId w:val="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Recipient</w:t>
      </w:r>
      <w:r>
        <w:rPr>
          <w:rFonts w:ascii="Arial" w:cs="Arial" w:eastAsia="Arial" w:hAnsi="Arial"/>
          <w:sz w:val="17"/>
          <w:szCs w:val="17"/>
          <w:color w:val="auto"/>
        </w:rPr>
        <w:t xml:space="preserve">” means an employee, director, independent contractor or natural person consultant of the Company or any Affiliate of the Company who has been selected as an eligible participant by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required to avoid accelerated taxation and/or tax penalties under Section 409A of the Code, an Eligible Recipient of an Option or a Stock Appreciation Right means an employee, non-employee director, independent contractor or consultant of the Company or any Affiliate of the Company with respect to whom the Company is an “eligible issuer of service recipient stock” within the meaning of Section 409A of the Code.</w:t>
      </w:r>
    </w:p>
    <w:p>
      <w:pPr>
        <w:spacing w:after="0" w:line="172" w:lineRule="exact"/>
        <w:rPr>
          <w:rFonts w:ascii="Arial" w:cs="Arial" w:eastAsia="Arial" w:hAnsi="Arial"/>
          <w:sz w:val="17"/>
          <w:szCs w:val="17"/>
          <w:color w:val="auto"/>
        </w:rPr>
      </w:pPr>
    </w:p>
    <w:p>
      <w:pPr>
        <w:ind w:left="1140" w:hanging="255"/>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has the meaning set forth in Section 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8" w:name="page79"/>
    <w:bookmarkEnd w:id="78"/>
    <w:p>
      <w:pPr>
        <w:ind w:left="1100" w:hanging="255"/>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rFonts w:ascii="Arial" w:cs="Arial" w:eastAsia="Arial" w:hAnsi="Arial"/>
          <w:sz w:val="18"/>
          <w:szCs w:val="18"/>
          <w:color w:val="auto"/>
        </w:rPr>
      </w:pPr>
    </w:p>
    <w:p>
      <w:pPr>
        <w:ind w:left="1140" w:hanging="295"/>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Award</w:t>
      </w:r>
      <w:r>
        <w:rPr>
          <w:rFonts w:ascii="Arial" w:cs="Arial" w:eastAsia="Arial" w:hAnsi="Arial"/>
          <w:sz w:val="18"/>
          <w:szCs w:val="18"/>
          <w:color w:val="auto"/>
        </w:rPr>
        <w:t>” means the following:</w:t>
      </w:r>
    </w:p>
    <w:p>
      <w:pPr>
        <w:spacing w:after="0" w:line="117" w:lineRule="exact"/>
        <w:rPr>
          <w:rFonts w:ascii="Arial" w:cs="Arial" w:eastAsia="Arial" w:hAnsi="Arial"/>
          <w:sz w:val="18"/>
          <w:szCs w:val="18"/>
          <w:color w:val="auto"/>
        </w:rPr>
      </w:pPr>
    </w:p>
    <w:p>
      <w:pPr>
        <w:ind w:left="1660" w:hanging="264"/>
        <w:spacing w:after="0"/>
        <w:tabs>
          <w:tab w:leader="none" w:pos="1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Conversion Award.</w:t>
      </w:r>
    </w:p>
    <w:p>
      <w:pPr>
        <w:spacing w:after="0" w:line="117" w:lineRule="exact"/>
        <w:rPr>
          <w:rFonts w:ascii="Arial" w:cs="Arial" w:eastAsia="Arial" w:hAnsi="Arial"/>
          <w:sz w:val="18"/>
          <w:szCs w:val="18"/>
          <w:color w:val="auto"/>
        </w:rPr>
      </w:pPr>
    </w:p>
    <w:p>
      <w:pPr>
        <w:ind w:left="-40" w:right="20" w:firstLine="1436"/>
        <w:spacing w:after="0" w:line="259" w:lineRule="auto"/>
        <w:tabs>
          <w:tab w:leader="none" w:pos="164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 Award granted in assumption of, or in substitution for, outstanding awards previously granted by a corporation or other entity acquired by the Company or any of its Affiliates or with which the Company or any of its Affiliates combines by merger or otherwise. The terms and conditions of any such Awards may vary from the terms and conditions set forth in the Plan to the extent the Administrator at the time of grant may deem appropriate, subject to Applicable Laws.</w:t>
      </w:r>
    </w:p>
    <w:p>
      <w:pPr>
        <w:spacing w:after="0" w:line="78" w:lineRule="exact"/>
        <w:rPr>
          <w:rFonts w:ascii="Arial" w:cs="Arial" w:eastAsia="Arial" w:hAnsi="Arial"/>
          <w:sz w:val="18"/>
          <w:szCs w:val="18"/>
          <w:color w:val="auto"/>
        </w:rPr>
      </w:pPr>
    </w:p>
    <w:p>
      <w:pPr>
        <w:ind w:left="-40" w:firstLine="1436"/>
        <w:spacing w:after="0" w:line="264" w:lineRule="auto"/>
        <w:tabs>
          <w:tab w:leader="none" w:pos="164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 “employment inducement” award as described in the applicable stock exchange listing manual or rules as may be granted under the Plan from time to time. The terms and conditions of any “employment inducement” award may vary from the terms and conditions set forth in the Plan to such extent as the Administrator at the time of grant may deem appropriate, subject to Applicable Laws.</w:t>
      </w:r>
    </w:p>
    <w:p>
      <w:pPr>
        <w:spacing w:after="0" w:line="73" w:lineRule="exact"/>
        <w:rPr>
          <w:rFonts w:ascii="Arial" w:cs="Arial" w:eastAsia="Arial" w:hAnsi="Arial"/>
          <w:sz w:val="18"/>
          <w:szCs w:val="18"/>
          <w:color w:val="auto"/>
        </w:rPr>
      </w:pPr>
    </w:p>
    <w:p>
      <w:pPr>
        <w:ind w:left="-40" w:right="20" w:firstLine="1436"/>
        <w:spacing w:after="0" w:line="308" w:lineRule="auto"/>
        <w:tabs>
          <w:tab w:leader="none" w:pos="1648" w:val="left"/>
        </w:tabs>
        <w:numPr>
          <w:ilvl w:val="1"/>
          <w:numId w:val="88"/>
        </w:numPr>
        <w:rPr>
          <w:rFonts w:ascii="Arial" w:cs="Arial" w:eastAsia="Arial" w:hAnsi="Arial"/>
          <w:sz w:val="17"/>
          <w:szCs w:val="17"/>
          <w:color w:val="auto"/>
        </w:rPr>
      </w:pPr>
      <w:r>
        <w:rPr>
          <w:rFonts w:ascii="Arial" w:cs="Arial" w:eastAsia="Arial" w:hAnsi="Arial"/>
          <w:sz w:val="17"/>
          <w:szCs w:val="17"/>
          <w:color w:val="auto"/>
        </w:rPr>
        <w:t>An award that an Eligible Recipient purchases at Fair Market Value (including awards that an Eligible Recipient elects to receive in lieu of fully vested compensation that is otherwise due) whether or not the Shares are delivered immediately or on a deferred basis.</w:t>
      </w:r>
    </w:p>
    <w:p>
      <w:pPr>
        <w:spacing w:after="0" w:line="146" w:lineRule="exact"/>
        <w:rPr>
          <w:rFonts w:ascii="Arial" w:cs="Arial" w:eastAsia="Arial" w:hAnsi="Arial"/>
          <w:sz w:val="17"/>
          <w:szCs w:val="17"/>
          <w:color w:val="auto"/>
        </w:rPr>
      </w:pPr>
    </w:p>
    <w:p>
      <w:pPr>
        <w:ind w:left="-40" w:right="320" w:firstLine="885"/>
        <w:spacing w:after="0" w:line="342" w:lineRule="auto"/>
        <w:tabs>
          <w:tab w:leader="none" w:pos="1096" w:val="left"/>
        </w:tabs>
        <w:numPr>
          <w:ilvl w:val="0"/>
          <w:numId w:val="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(i) with respect to any Option, the per-share price at which a holder of such Option may purchase Shares issuable upon exercise of such Award and (ii) with respect to a Share Appreciation Right, the base price per share of such Share Appreciation Right.</w:t>
      </w:r>
    </w:p>
    <w:p>
      <w:pPr>
        <w:spacing w:after="0" w:line="123" w:lineRule="exact"/>
        <w:rPr>
          <w:rFonts w:ascii="Arial" w:cs="Arial" w:eastAsia="Arial" w:hAnsi="Arial"/>
          <w:sz w:val="16"/>
          <w:szCs w:val="16"/>
          <w:color w:val="auto"/>
        </w:rPr>
      </w:pPr>
    </w:p>
    <w:p>
      <w:pPr>
        <w:ind w:left="-40" w:right="60" w:firstLine="885"/>
        <w:spacing w:after="0" w:line="273" w:lineRule="auto"/>
        <w:tabs>
          <w:tab w:leader="none" w:pos="1096" w:val="left"/>
        </w:tabs>
        <w:numPr>
          <w:ilvl w:val="0"/>
          <w:numId w:val="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of a share of Common Stock or another security as of a particular date means the fair market value as determined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on such exchange, or (ii) if the Common Stock or other security is then traded in an over-the-counter market, the fair market value on any date shall be the average of the closing bid and asked prices for such share in such over-the-counter market for the last preceding date on which there was a sale of such share in such market.</w:t>
      </w:r>
    </w:p>
    <w:p>
      <w:pPr>
        <w:spacing w:after="0" w:line="178" w:lineRule="exact"/>
        <w:rPr>
          <w:rFonts w:ascii="Arial" w:cs="Arial" w:eastAsia="Arial" w:hAnsi="Arial"/>
          <w:sz w:val="17"/>
          <w:szCs w:val="17"/>
          <w:color w:val="auto"/>
        </w:rPr>
      </w:pPr>
    </w:p>
    <w:p>
      <w:pPr>
        <w:ind w:left="1100" w:hanging="255"/>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Standing Rights</w:t>
      </w:r>
      <w:r>
        <w:rPr>
          <w:rFonts w:ascii="Arial" w:cs="Arial" w:eastAsia="Arial" w:hAnsi="Arial"/>
          <w:sz w:val="18"/>
          <w:szCs w:val="18"/>
          <w:color w:val="auto"/>
        </w:rPr>
        <w:t>” has the meaning set forth in Section 8.</w:t>
      </w:r>
    </w:p>
    <w:p>
      <w:pPr>
        <w:spacing w:after="0" w:line="225" w:lineRule="exact"/>
        <w:rPr>
          <w:sz w:val="20"/>
          <w:szCs w:val="20"/>
          <w:color w:val="auto"/>
        </w:rPr>
      </w:pPr>
    </w:p>
    <w:p>
      <w:pPr>
        <w:ind w:left="-40" w:right="420" w:firstLine="885"/>
        <w:spacing w:after="0" w:line="257" w:lineRule="auto"/>
        <w:tabs>
          <w:tab w:leader="none" w:pos="1166"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has the meaning assigned to such term or an analogous term in any individual service, employment or severance agreement or Award Agreement with the Participant or, if no such agreement exists or if such agreement does not define “Good Reason” or an analogous term, then “Good Reason” shall mean (i) a material diminution in the Participant’s base compensation, (ii) a material diminution in the Participant’s authority, duties, or responsibilities, or (iii) a material change in the geographic location at which the Participant must perform his/her services for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4" w:right="459" w:bottom="1440" w:gutter="0" w:footer="0" w:header="0"/>
        </w:sectPr>
      </w:pPr>
    </w:p>
    <w:bookmarkStart w:id="79" w:name="page80"/>
    <w:bookmarkEnd w:id="79"/>
    <w:p>
      <w:pPr>
        <w:ind w:left="1060" w:hanging="355"/>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means annual cash bonus and any Award.</w:t>
      </w:r>
    </w:p>
    <w:p>
      <w:pPr>
        <w:spacing w:after="0" w:line="225" w:lineRule="exact"/>
        <w:rPr>
          <w:rFonts w:ascii="Arial" w:cs="Arial" w:eastAsia="Arial" w:hAnsi="Arial"/>
          <w:sz w:val="18"/>
          <w:szCs w:val="18"/>
          <w:color w:val="auto"/>
        </w:rPr>
      </w:pPr>
    </w:p>
    <w:p>
      <w:pPr>
        <w:ind w:left="1040" w:hanging="335"/>
        <w:spacing w:after="0"/>
        <w:tabs>
          <w:tab w:leader="none" w:pos="10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ISO</w:t>
      </w:r>
      <w:r>
        <w:rPr>
          <w:rFonts w:ascii="Arial" w:cs="Arial" w:eastAsia="Arial" w:hAnsi="Arial"/>
          <w:sz w:val="16"/>
          <w:szCs w:val="16"/>
          <w:color w:val="auto"/>
        </w:rPr>
        <w:t>” means an Option intended to be and designated as an “incentive stock option” within the meaning of Section 422 of the Code.</w:t>
      </w:r>
    </w:p>
    <w:p>
      <w:pPr>
        <w:spacing w:after="0" w:line="248" w:lineRule="exact"/>
        <w:rPr>
          <w:rFonts w:ascii="Arial" w:cs="Arial" w:eastAsia="Arial" w:hAnsi="Arial"/>
          <w:sz w:val="16"/>
          <w:szCs w:val="16"/>
          <w:color w:val="auto"/>
        </w:rPr>
      </w:pPr>
    </w:p>
    <w:p>
      <w:pPr>
        <w:ind w:left="1060" w:hanging="355"/>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that is not designated or that otherwise does not qualify as an ISO.</w:t>
      </w:r>
    </w:p>
    <w:p>
      <w:pPr>
        <w:spacing w:after="0" w:line="225" w:lineRule="exact"/>
        <w:rPr>
          <w:rFonts w:ascii="Arial" w:cs="Arial" w:eastAsia="Arial" w:hAnsi="Arial"/>
          <w:sz w:val="18"/>
          <w:szCs w:val="18"/>
          <w:color w:val="auto"/>
        </w:rPr>
      </w:pPr>
    </w:p>
    <w:p>
      <w:pPr>
        <w:ind w:left="-180" w:right="20" w:firstLine="885"/>
        <w:spacing w:after="0" w:line="277" w:lineRule="auto"/>
        <w:tabs>
          <w:tab w:leader="none" w:pos="1026"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shares of Common Stock granted pursuant to Section 7. The term “Option” as used in the Plan includes the terms “Nonqualified Stock Option” and “ISO.”</w:t>
      </w:r>
    </w:p>
    <w:p>
      <w:pPr>
        <w:spacing w:after="0" w:line="170" w:lineRule="exact"/>
        <w:rPr>
          <w:rFonts w:ascii="Arial" w:cs="Arial" w:eastAsia="Arial" w:hAnsi="Arial"/>
          <w:sz w:val="18"/>
          <w:szCs w:val="18"/>
          <w:color w:val="auto"/>
        </w:rPr>
      </w:pPr>
    </w:p>
    <w:p>
      <w:pPr>
        <w:ind w:left="-180" w:right="40" w:firstLine="885"/>
        <w:spacing w:after="0" w:line="259" w:lineRule="auto"/>
        <w:tabs>
          <w:tab w:leader="none" w:pos="9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Share-Based Award</w:t>
      </w:r>
      <w:r>
        <w:rPr>
          <w:rFonts w:ascii="Arial" w:cs="Arial" w:eastAsia="Arial" w:hAnsi="Arial"/>
          <w:sz w:val="18"/>
          <w:szCs w:val="18"/>
          <w:color w:val="auto"/>
        </w:rPr>
        <w:t>” means a right or other interest granted pursuant to Section 11 that may be denominated or payable in, valued in whole or in part by reference to, or otherwise based on or related to, Common Stock, including without limitation unrestricted Shares, dividend equivalents or performance units, each of which may be subject to the attainment of performance goals or a period of continued provision of service or employment or other terms or conditions as permitted under the Plan.</w:t>
      </w:r>
    </w:p>
    <w:p>
      <w:pPr>
        <w:spacing w:after="0" w:line="186" w:lineRule="exact"/>
        <w:rPr>
          <w:rFonts w:ascii="Arial" w:cs="Arial" w:eastAsia="Arial" w:hAnsi="Arial"/>
          <w:sz w:val="18"/>
          <w:szCs w:val="18"/>
          <w:color w:val="auto"/>
        </w:rPr>
      </w:pPr>
    </w:p>
    <w:p>
      <w:pPr>
        <w:ind w:left="-180" w:right="180" w:firstLine="885"/>
        <w:spacing w:after="0" w:line="342" w:lineRule="auto"/>
        <w:tabs>
          <w:tab w:leader="none" w:pos="1046"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any Eligible Recipient selected by the Administrator, pursuant to the Administrator’s authority provided for in Section 3, to receive grants of Awards, and, upon his or her death, his or her successors, heirs, executors and administrators, as the case may be.</w:t>
      </w:r>
    </w:p>
    <w:p>
      <w:pPr>
        <w:spacing w:after="0" w:line="123" w:lineRule="exact"/>
        <w:rPr>
          <w:rFonts w:ascii="Arial" w:cs="Arial" w:eastAsia="Arial" w:hAnsi="Arial"/>
          <w:sz w:val="16"/>
          <w:szCs w:val="16"/>
          <w:color w:val="auto"/>
        </w:rPr>
      </w:pPr>
    </w:p>
    <w:p>
      <w:pPr>
        <w:ind w:left="-180" w:right="120" w:firstLine="885"/>
        <w:spacing w:after="0" w:line="277" w:lineRule="auto"/>
        <w:tabs>
          <w:tab w:leader="none" w:pos="10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(except as provided in the definition of “Change in Control” above) have the meaning given in Section 3(a)(9) of the Exchange Act, as modified and used in Sections 13(d) and 14(d) thereof.</w:t>
      </w:r>
    </w:p>
    <w:p>
      <w:pPr>
        <w:spacing w:after="0" w:line="170" w:lineRule="exact"/>
        <w:rPr>
          <w:rFonts w:ascii="Arial" w:cs="Arial" w:eastAsia="Arial" w:hAnsi="Arial"/>
          <w:sz w:val="18"/>
          <w:szCs w:val="18"/>
          <w:color w:val="auto"/>
        </w:rPr>
      </w:pPr>
    </w:p>
    <w:p>
      <w:pPr>
        <w:ind w:left="980" w:hanging="275"/>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2019 Omnibus Incentive Plan, as amended from time to time.</w:t>
      </w:r>
    </w:p>
    <w:p>
      <w:pPr>
        <w:spacing w:after="0" w:line="225" w:lineRule="exact"/>
        <w:rPr>
          <w:rFonts w:ascii="Arial" w:cs="Arial" w:eastAsia="Arial" w:hAnsi="Arial"/>
          <w:sz w:val="18"/>
          <w:szCs w:val="18"/>
          <w:color w:val="auto"/>
        </w:rPr>
      </w:pPr>
    </w:p>
    <w:p>
      <w:pPr>
        <w:ind w:left="980" w:hanging="275"/>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Rights</w:t>
      </w:r>
      <w:r>
        <w:rPr>
          <w:rFonts w:ascii="Arial" w:cs="Arial" w:eastAsia="Arial" w:hAnsi="Arial"/>
          <w:sz w:val="18"/>
          <w:szCs w:val="18"/>
          <w:color w:val="auto"/>
        </w:rPr>
        <w:t>” has the meaning set forth in Section 8.</w:t>
      </w:r>
    </w:p>
    <w:p>
      <w:pPr>
        <w:spacing w:after="0" w:line="225" w:lineRule="exact"/>
        <w:rPr>
          <w:rFonts w:ascii="Arial" w:cs="Arial" w:eastAsia="Arial" w:hAnsi="Arial"/>
          <w:sz w:val="18"/>
          <w:szCs w:val="18"/>
          <w:color w:val="auto"/>
        </w:rPr>
      </w:pPr>
    </w:p>
    <w:p>
      <w:pPr>
        <w:ind w:left="1060" w:hanging="355"/>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has the meaning set forth in Section 9.</w:t>
      </w:r>
    </w:p>
    <w:p>
      <w:pPr>
        <w:spacing w:after="0" w:line="225" w:lineRule="exact"/>
        <w:rPr>
          <w:rFonts w:ascii="Arial" w:cs="Arial" w:eastAsia="Arial" w:hAnsi="Arial"/>
          <w:sz w:val="18"/>
          <w:szCs w:val="18"/>
          <w:color w:val="auto"/>
        </w:rPr>
      </w:pPr>
    </w:p>
    <w:p>
      <w:pPr>
        <w:ind w:left="-180" w:firstLine="885"/>
        <w:spacing w:after="0" w:line="277" w:lineRule="auto"/>
        <w:tabs>
          <w:tab w:leader="none" w:pos="966"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w:t>
      </w:r>
      <w:r>
        <w:rPr>
          <w:rFonts w:ascii="Arial" w:cs="Arial" w:eastAsia="Arial" w:hAnsi="Arial"/>
          <w:sz w:val="18"/>
          <w:szCs w:val="18"/>
          <w:color w:val="auto"/>
        </w:rPr>
        <w:t>” means a Share granted pursuant to Section 9 subject to certain restrictions that lapse at the end of a specified period (or periods) of time and/or upon attainment of specified performance objectives.</w:t>
      </w:r>
    </w:p>
    <w:p>
      <w:pPr>
        <w:spacing w:after="0" w:line="170" w:lineRule="exact"/>
        <w:rPr>
          <w:rFonts w:ascii="Arial" w:cs="Arial" w:eastAsia="Arial" w:hAnsi="Arial"/>
          <w:sz w:val="18"/>
          <w:szCs w:val="18"/>
          <w:color w:val="auto"/>
        </w:rPr>
      </w:pPr>
    </w:p>
    <w:p>
      <w:pPr>
        <w:ind w:left="-180" w:right="160" w:firstLine="885"/>
        <w:spacing w:after="0" w:line="277" w:lineRule="auto"/>
        <w:tabs>
          <w:tab w:leader="none" w:pos="11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the right granted pursuant to Section 9 to receive a Share (or the cash value thereof) at the end of a specified restricted period (or periods) of time and/or upon attainment of specified performance objectives.</w:t>
      </w:r>
    </w:p>
    <w:p>
      <w:pPr>
        <w:spacing w:after="0" w:line="170" w:lineRule="exact"/>
        <w:rPr>
          <w:rFonts w:ascii="Arial" w:cs="Arial" w:eastAsia="Arial" w:hAnsi="Arial"/>
          <w:sz w:val="18"/>
          <w:szCs w:val="18"/>
          <w:color w:val="auto"/>
        </w:rPr>
      </w:pPr>
    </w:p>
    <w:p>
      <w:pPr>
        <w:ind w:left="1060" w:hanging="355"/>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has the meaning set forth in Section 3(a).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60"/>
          </w:cols>
          <w:pgMar w:left="620" w:top="274" w:right="619" w:bottom="1440" w:gutter="0" w:footer="0" w:header="0"/>
        </w:sectPr>
      </w:pPr>
    </w:p>
    <w:bookmarkStart w:id="80" w:name="page81"/>
    <w:bookmarkEnd w:id="80"/>
    <w:p>
      <w:pPr>
        <w:ind w:left="1240" w:hanging="355"/>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rFonts w:ascii="Arial" w:cs="Arial" w:eastAsia="Arial" w:hAnsi="Arial"/>
          <w:sz w:val="18"/>
          <w:szCs w:val="18"/>
          <w:color w:val="auto"/>
        </w:rPr>
      </w:pPr>
    </w:p>
    <w:p>
      <w:pPr>
        <w:ind w:left="1240" w:hanging="355"/>
        <w:spacing w:after="0"/>
        <w:tabs>
          <w:tab w:leader="none" w:pos="12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w:t>
      </w:r>
      <w:r>
        <w:rPr>
          <w:rFonts w:ascii="Arial" w:cs="Arial" w:eastAsia="Arial" w:hAnsi="Arial"/>
          <w:sz w:val="16"/>
          <w:szCs w:val="16"/>
          <w:color w:val="auto"/>
        </w:rPr>
        <w:t>” means the separation of the Company from DowDuPont Inc. pursuant to which the Company became a separate publicly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traded company.</w:t>
      </w:r>
    </w:p>
    <w:p>
      <w:pPr>
        <w:spacing w:after="0" w:line="210" w:lineRule="exact"/>
        <w:rPr>
          <w:rFonts w:ascii="Arial" w:cs="Arial" w:eastAsia="Arial" w:hAnsi="Arial"/>
          <w:sz w:val="16"/>
          <w:szCs w:val="16"/>
          <w:color w:val="auto"/>
        </w:rPr>
      </w:pPr>
    </w:p>
    <w:p>
      <w:pPr>
        <w:ind w:right="140" w:firstLine="885"/>
        <w:spacing w:after="0" w:line="264" w:lineRule="auto"/>
        <w:tabs>
          <w:tab w:leader="none" w:pos="122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Appreciation Right</w:t>
      </w:r>
      <w:r>
        <w:rPr>
          <w:rFonts w:ascii="Arial" w:cs="Arial" w:eastAsia="Arial" w:hAnsi="Arial"/>
          <w:sz w:val="18"/>
          <w:szCs w:val="18"/>
          <w:color w:val="auto"/>
        </w:rPr>
        <w:t>” means a right granted pursuant to Section 8 to receive an amount equal to the excess, if any, of (i) the aggregate Fair Market Value, as of the date such Award or portion thereof is surrendered, of the Shares covered by such Award or such portion thereof, over (ii) the aggregate Exercise Price of such Award or such portion thereof.</w:t>
      </w:r>
    </w:p>
    <w:p>
      <w:pPr>
        <w:spacing w:after="0" w:line="181" w:lineRule="exact"/>
        <w:rPr>
          <w:rFonts w:ascii="Arial" w:cs="Arial" w:eastAsia="Arial" w:hAnsi="Arial"/>
          <w:sz w:val="18"/>
          <w:szCs w:val="18"/>
          <w:color w:val="auto"/>
        </w:rPr>
      </w:pPr>
    </w:p>
    <w:p>
      <w:pPr>
        <w:ind w:right="80" w:firstLine="885"/>
        <w:spacing w:after="0" w:line="277" w:lineRule="auto"/>
        <w:tabs>
          <w:tab w:leader="none" w:pos="11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Common Stock reserved for issuance under the Plan, as adjusted pursuant to the Plan, and any successor (pursuant to a merger, consolidation or other reorganization) security.</w:t>
      </w:r>
    </w:p>
    <w:p>
      <w:pPr>
        <w:spacing w:after="0" w:line="170" w:lineRule="exact"/>
        <w:rPr>
          <w:rFonts w:ascii="Arial" w:cs="Arial" w:eastAsia="Arial" w:hAnsi="Arial"/>
          <w:sz w:val="18"/>
          <w:szCs w:val="18"/>
          <w:color w:val="auto"/>
        </w:rPr>
      </w:pPr>
    </w:p>
    <w:p>
      <w:pPr>
        <w:ind w:right="40" w:firstLine="885"/>
        <w:spacing w:after="0" w:line="264" w:lineRule="auto"/>
        <w:tabs>
          <w:tab w:leader="none" w:pos="11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181" w:lineRule="exact"/>
        <w:rPr>
          <w:rFonts w:ascii="Arial" w:cs="Arial" w:eastAsia="Arial" w:hAnsi="Arial"/>
          <w:sz w:val="18"/>
          <w:szCs w:val="18"/>
          <w:color w:val="auto"/>
        </w:rPr>
      </w:pPr>
    </w:p>
    <w:p>
      <w:pPr>
        <w:ind w:left="1160" w:hanging="275"/>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has the meaning set forth in Section 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21" w:lineRule="exact"/>
        <w:rPr>
          <w:sz w:val="20"/>
          <w:szCs w:val="20"/>
          <w:color w:val="auto"/>
        </w:rPr>
      </w:pPr>
    </w:p>
    <w:p>
      <w:pPr>
        <w:ind w:firstLine="885"/>
        <w:spacing w:after="0" w:line="297" w:lineRule="auto"/>
        <w:tabs>
          <w:tab w:leader="none" w:pos="1126"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Plan shall be administered by the Administrator and shall be administered, to the extent applicable, in accordance with Rule 16b-3 under the Exchange Act (“</w:t>
      </w:r>
      <w:r>
        <w:rPr>
          <w:rFonts w:ascii="Arial" w:cs="Arial" w:eastAsia="Arial" w:hAnsi="Arial"/>
          <w:sz w:val="16"/>
          <w:szCs w:val="16"/>
          <w:u w:val="single" w:color="auto"/>
          <w:color w:val="auto"/>
        </w:rPr>
        <w:t>Rule 16b-3</w:t>
      </w:r>
      <w:r>
        <w:rPr>
          <w:rFonts w:ascii="Arial" w:cs="Arial" w:eastAsia="Arial" w:hAnsi="Arial"/>
          <w:sz w:val="16"/>
          <w:szCs w:val="16"/>
          <w:color w:val="auto"/>
        </w:rPr>
        <w:t>”). To the extent permitted by Applicable Laws, the Administrator may delegate, subject to such limitations as it may provide, some or all of its power and authority under the Plan to one or more of its members or to one or more officers of the Company, or to one or more agents or advisors, or a combination thereof, and the Administrator or any individuals to whom it has delegated duties or powers may employ one or more individuals to render advice with respect to any responsibility that the Administrator or such individuals may have under the Plan.</w:t>
      </w:r>
    </w:p>
    <w:p>
      <w:pPr>
        <w:spacing w:after="0" w:line="158" w:lineRule="exact"/>
        <w:rPr>
          <w:rFonts w:ascii="Arial" w:cs="Arial" w:eastAsia="Arial" w:hAnsi="Arial"/>
          <w:sz w:val="16"/>
          <w:szCs w:val="16"/>
          <w:color w:val="auto"/>
        </w:rPr>
      </w:pPr>
    </w:p>
    <w:p>
      <w:pPr>
        <w:ind w:right="60" w:firstLine="885"/>
        <w:spacing w:after="0" w:line="277" w:lineRule="auto"/>
        <w:tabs>
          <w:tab w:leader="none" w:pos="11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Pursuant to the terms of the Plan, the Administrator, subject, in the case of any Committee, to any restrictions on the authority delegated to it by the Board, shall have the power and authority, without limitation:</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select those Eligible Recipients who shall be Participants;</w:t>
      </w:r>
    </w:p>
    <w:p>
      <w:pPr>
        <w:spacing w:after="0" w:line="117" w:lineRule="exact"/>
        <w:rPr>
          <w:rFonts w:ascii="Arial" w:cs="Arial" w:eastAsia="Arial" w:hAnsi="Arial"/>
          <w:sz w:val="18"/>
          <w:szCs w:val="18"/>
          <w:color w:val="auto"/>
        </w:rPr>
      </w:pPr>
    </w:p>
    <w:p>
      <w:pPr>
        <w:ind w:right="300" w:firstLine="1436"/>
        <w:spacing w:after="0" w:line="308" w:lineRule="auto"/>
        <w:tabs>
          <w:tab w:leader="none" w:pos="1688" w:val="left"/>
        </w:tabs>
        <w:numPr>
          <w:ilvl w:val="1"/>
          <w:numId w:val="92"/>
        </w:numPr>
        <w:rPr>
          <w:rFonts w:ascii="Arial" w:cs="Arial" w:eastAsia="Arial" w:hAnsi="Arial"/>
          <w:sz w:val="17"/>
          <w:szCs w:val="17"/>
          <w:color w:val="auto"/>
        </w:rPr>
      </w:pPr>
      <w:r>
        <w:rPr>
          <w:rFonts w:ascii="Arial" w:cs="Arial" w:eastAsia="Arial" w:hAnsi="Arial"/>
          <w:sz w:val="17"/>
          <w:szCs w:val="17"/>
          <w:color w:val="auto"/>
        </w:rPr>
        <w:t>to determine whether and to what extent Options, Share Appreciation Rights, Restricted Shares, Restricted Stock Units, Cash Awards, Other Share-Based Awards or a combination of any of the foregoing, are to be granted hereunder to Participants;</w:t>
      </w:r>
    </w:p>
    <w:p>
      <w:pPr>
        <w:spacing w:after="0" w:line="38" w:lineRule="exact"/>
        <w:rPr>
          <w:rFonts w:ascii="Arial" w:cs="Arial" w:eastAsia="Arial" w:hAnsi="Arial"/>
          <w:sz w:val="17"/>
          <w:szCs w:val="17"/>
          <w:color w:val="auto"/>
        </w:rPr>
      </w:pPr>
    </w:p>
    <w:p>
      <w:pPr>
        <w:ind w:left="1700" w:hanging="264"/>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117" w:lineRule="exact"/>
        <w:rPr>
          <w:rFonts w:ascii="Arial" w:cs="Arial" w:eastAsia="Arial" w:hAnsi="Arial"/>
          <w:sz w:val="18"/>
          <w:szCs w:val="18"/>
          <w:color w:val="auto"/>
        </w:rPr>
      </w:pPr>
    </w:p>
    <w:p>
      <w:pPr>
        <w:ind w:right="200" w:firstLine="1436"/>
        <w:spacing w:after="0" w:line="277" w:lineRule="auto"/>
        <w:tabs>
          <w:tab w:leader="none" w:pos="1688"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each Award granted hereunder (including without limitation (i) the restrictions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81" w:name="page82"/>
    <w:bookmarkEnd w:id="8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to Restricted Shares or Restricted Stock Units and the conditions under which restrictions applicable to such Restricted Shares or Restricted Stock Units shall lapse, (ii) the performance goals and periods applicable to Awards, (iii) the Exercise Price of each Option and each Share Appreciation Right or the purchase price of any other Award, (iv) the vesting schedule and terms applicable to each Award, (v) the number of Shares or amount of cash or other property subject to each Award and (vi) subject to the requirements of Section 409A of the Code (to the extent applicable), amendments to the terms and conditions of outstanding Awards, including without limitation extending the exercise period of such Awards and accelerating the vesting and/or payment schedules of such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acceleration may only occur in the event of the Participant’s death or Disability).</w:t>
      </w:r>
    </w:p>
    <w:p>
      <w:pPr>
        <w:spacing w:after="0" w:line="8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(5) to determine the terms and conditions, not inconsistent with the terms of the Plan, which shall govern all written instruments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evidencing Awards;</w:t>
      </w:r>
    </w:p>
    <w:p>
      <w:pPr>
        <w:spacing w:after="0" w:line="103" w:lineRule="exact"/>
        <w:rPr>
          <w:sz w:val="20"/>
          <w:szCs w:val="20"/>
          <w:color w:val="auto"/>
        </w:rPr>
      </w:pPr>
    </w:p>
    <w:p>
      <w:pPr>
        <w:ind w:left="1700" w:hanging="264"/>
        <w:spacing w:after="0"/>
        <w:tabs>
          <w:tab w:leader="none" w:pos="17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determine Fair Market Value in accordance with the terms of the Plan;</w:t>
      </w:r>
    </w:p>
    <w:p>
      <w:pPr>
        <w:spacing w:after="0" w:line="117" w:lineRule="exact"/>
        <w:rPr>
          <w:rFonts w:ascii="Arial" w:cs="Arial" w:eastAsia="Arial" w:hAnsi="Arial"/>
          <w:sz w:val="18"/>
          <w:szCs w:val="18"/>
          <w:color w:val="auto"/>
        </w:rPr>
      </w:pPr>
    </w:p>
    <w:p>
      <w:pPr>
        <w:ind w:right="840" w:firstLine="1436"/>
        <w:spacing w:after="0" w:line="277" w:lineRule="auto"/>
        <w:tabs>
          <w:tab w:leader="none" w:pos="16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determine the duration and purpose of leaves of absence which may be granted to a Participant without constituting termination of the Participant’s service or employment for purposes of Awards granted under the Plan;</w:t>
      </w:r>
    </w:p>
    <w:p>
      <w:pPr>
        <w:spacing w:after="0" w:line="62" w:lineRule="exact"/>
        <w:rPr>
          <w:rFonts w:ascii="Arial" w:cs="Arial" w:eastAsia="Arial" w:hAnsi="Arial"/>
          <w:sz w:val="18"/>
          <w:szCs w:val="18"/>
          <w:color w:val="auto"/>
        </w:rPr>
      </w:pPr>
    </w:p>
    <w:p>
      <w:pPr>
        <w:ind w:right="100" w:firstLine="1436"/>
        <w:spacing w:after="0" w:line="277" w:lineRule="auto"/>
        <w:tabs>
          <w:tab w:leader="none" w:pos="16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adopt, alter and repeal such administrative rules, regulations, guidelines and practices governing the Plan as it shall from time to time deem advisable;</w:t>
      </w:r>
    </w:p>
    <w:p>
      <w:pPr>
        <w:spacing w:after="0" w:line="62" w:lineRule="exact"/>
        <w:rPr>
          <w:rFonts w:ascii="Arial" w:cs="Arial" w:eastAsia="Arial" w:hAnsi="Arial"/>
          <w:sz w:val="18"/>
          <w:szCs w:val="18"/>
          <w:color w:val="auto"/>
        </w:rPr>
      </w:pPr>
    </w:p>
    <w:p>
      <w:pPr>
        <w:ind w:firstLine="1436"/>
        <w:spacing w:after="0" w:line="286" w:lineRule="auto"/>
        <w:tabs>
          <w:tab w:leader="none" w:pos="1688" w:val="left"/>
        </w:tabs>
        <w:numPr>
          <w:ilvl w:val="1"/>
          <w:numId w:val="93"/>
        </w:numPr>
        <w:rPr>
          <w:rFonts w:ascii="Arial" w:cs="Arial" w:eastAsia="Arial" w:hAnsi="Arial"/>
          <w:sz w:val="17"/>
          <w:szCs w:val="17"/>
          <w:color w:val="auto"/>
        </w:rPr>
      </w:pPr>
      <w:r>
        <w:rPr>
          <w:rFonts w:ascii="Arial" w:cs="Arial" w:eastAsia="Arial" w:hAnsi="Arial"/>
          <w:sz w:val="17"/>
          <w:szCs w:val="17"/>
          <w:color w:val="auto"/>
        </w:rPr>
        <w:t>to construe and interpret the terms and provisions of, and supply or correct omissions in,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 and</w:t>
      </w:r>
    </w:p>
    <w:p>
      <w:pPr>
        <w:spacing w:after="0" w:line="57" w:lineRule="exact"/>
        <w:rPr>
          <w:rFonts w:ascii="Arial" w:cs="Arial" w:eastAsia="Arial" w:hAnsi="Arial"/>
          <w:sz w:val="17"/>
          <w:szCs w:val="17"/>
          <w:color w:val="auto"/>
        </w:rPr>
      </w:pPr>
    </w:p>
    <w:p>
      <w:pPr>
        <w:ind w:right="200" w:firstLine="1436"/>
        <w:spacing w:after="0" w:line="264" w:lineRule="auto"/>
        <w:tabs>
          <w:tab w:leader="none" w:pos="1778"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sub-plans established for the purpose of satisfying applicable non-United States laws or for qualifying for favorable tax treatment under applicable non-United States laws, which rules and regulations may be set forth in an appendix or appendixes to the Plan.</w:t>
      </w:r>
    </w:p>
    <w:p>
      <w:pPr>
        <w:spacing w:after="0" w:line="181" w:lineRule="exact"/>
        <w:rPr>
          <w:rFonts w:ascii="Arial" w:cs="Arial" w:eastAsia="Arial" w:hAnsi="Arial"/>
          <w:sz w:val="18"/>
          <w:szCs w:val="18"/>
          <w:color w:val="auto"/>
        </w:rPr>
      </w:pPr>
    </w:p>
    <w:p>
      <w:pPr>
        <w:ind w:right="160" w:firstLine="885"/>
        <w:spacing w:after="0" w:line="264" w:lineRule="auto"/>
        <w:tabs>
          <w:tab w:leader="none" w:pos="1126"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Section 5, the Administrator shall not have the authority to reprice or cancel and regrant any Award at a lower exercise, base or purchase price or cancel any Award with an exercise, base or purchase price of less than Fair Market Value in exchange for cash, property or other Awards without first obtaining the approval of the Company’s shareholders.</w:t>
      </w:r>
    </w:p>
    <w:p>
      <w:pPr>
        <w:spacing w:after="0" w:line="181" w:lineRule="exact"/>
        <w:rPr>
          <w:rFonts w:ascii="Arial" w:cs="Arial" w:eastAsia="Arial" w:hAnsi="Arial"/>
          <w:sz w:val="18"/>
          <w:szCs w:val="18"/>
          <w:color w:val="auto"/>
        </w:rPr>
      </w:pPr>
    </w:p>
    <w:p>
      <w:pPr>
        <w:ind w:right="380" w:firstLine="885"/>
        <w:spacing w:after="0" w:line="277" w:lineRule="auto"/>
        <w:tabs>
          <w:tab w:leader="none" w:pos="11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decisions made by the Administrator pursuant to the provisions of the Plan shall be final, conclusive and binding on all Persons, including the Company and the Participants.</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expenses of administering the Plan shall be borne by the Company and its Affiliates.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82" w:name="page83"/>
    <w:bookmarkEnd w:id="82"/>
    <w:p>
      <w:pPr>
        <w:ind w:right="120" w:firstLine="885"/>
        <w:spacing w:after="0" w:line="259" w:lineRule="auto"/>
        <w:tabs>
          <w:tab w:leader="none" w:pos="1106"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or to any extent the Board shall not administer the Plan, then the functions of the Administrator specified in the Plan shall be exercised by the Committee. Except as otherwise provided in the Certificate of Incorporation or Bylaws of the Company or any applicable Committee charter, any action of the Committee with respect to the administration of the Plan shall be taken by a majority vote at a meeting at which a quorum is duly constituted or by unanimous written consent of the Committee’s members.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Reserved for Issuance Under the Plan.</w:t>
      </w:r>
    </w:p>
    <w:p>
      <w:pPr>
        <w:spacing w:after="0" w:line="121" w:lineRule="exact"/>
        <w:rPr>
          <w:sz w:val="20"/>
          <w:szCs w:val="20"/>
          <w:color w:val="auto"/>
        </w:rPr>
      </w:pPr>
    </w:p>
    <w:p>
      <w:pPr>
        <w:ind w:right="20" w:firstLine="885"/>
        <w:spacing w:after="0" w:line="264" w:lineRule="auto"/>
        <w:tabs>
          <w:tab w:leader="none" w:pos="1126"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Subject to Section 5, the number of shares of Common Stock that are reserved and available for issuance pursuant to Awards granted under the Plan shall be equal to 20,000,000 ;shares;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shares of Common Stock issued under the Plan with respect to an Exempt Award shall not count against such share limit.</w:t>
      </w:r>
    </w:p>
    <w:p>
      <w:pPr>
        <w:spacing w:after="0" w:line="181" w:lineRule="exact"/>
        <w:rPr>
          <w:rFonts w:ascii="Arial" w:cs="Arial" w:eastAsia="Arial" w:hAnsi="Arial"/>
          <w:sz w:val="18"/>
          <w:szCs w:val="18"/>
          <w:color w:val="auto"/>
        </w:rPr>
      </w:pPr>
    </w:p>
    <w:p>
      <w:pPr>
        <w:ind w:firstLine="885"/>
        <w:spacing w:after="0" w:line="286" w:lineRule="auto"/>
        <w:tabs>
          <w:tab w:leader="none" w:pos="1136"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Shares issued under the Plan may, in whole or in part, be authorized but unissued Shares or Shares that shall have been or may be reacquired by the Company in the open market, in private transactions or otherwise. If an Award entitles the Participant to receive or purchase Shares, the number of Shares covered by such Award or to which such Award relates shall be counted on the date of grant of such Award against the aggregate number of Shares available for granting Awards under the Plan. If any Shares subject to an Award (other than an Exempt Award) are forfeited, cancelled, exchanged or surrendered or if an Award (other than an Exempt Award) otherwise terminates or expires without a distribution of shares to the Participant, the Shares with respect to such Award shall, to the extent of any such forfeiture, cancellation, exchange, surrender, termination or expiration, again be available for granting Awards under the Plan. Notwithstanding the foregoing, except with respect to an Exempt Award, Shares surrendered or withheld as payment of either the Exercise Price of an Award (including Shares underlying a Share Appreciation Right that are retained by the Company to account for the Exercise Price of such Share Appreciation Right) and/or withholding taxes in respect of an Award shall no longer be available for grant under the Plan. In addition, (i) to the extent an Award (other than an Exempt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 Upon the exercise of any Award granted in tandem with any other Awards, such related Awards shall be cancelled to the extent of the number of Shares as to which the Award is exercised.</w:t>
      </w:r>
    </w:p>
    <w:p>
      <w:pPr>
        <w:spacing w:after="0" w:line="171" w:lineRule="exact"/>
        <w:rPr>
          <w:rFonts w:ascii="Arial" w:cs="Arial" w:eastAsia="Arial" w:hAnsi="Arial"/>
          <w:sz w:val="16"/>
          <w:szCs w:val="16"/>
          <w:color w:val="auto"/>
        </w:rPr>
      </w:pPr>
    </w:p>
    <w:p>
      <w:pPr>
        <w:ind w:left="1140" w:hanging="255"/>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Shares available for issuance under the Plan may be issued pursuant to the exercise of ISOs.</w:t>
      </w:r>
    </w:p>
    <w:p>
      <w:pPr>
        <w:spacing w:after="0" w:line="225" w:lineRule="exact"/>
        <w:rPr>
          <w:rFonts w:ascii="Arial" w:cs="Arial" w:eastAsia="Arial" w:hAnsi="Arial"/>
          <w:sz w:val="18"/>
          <w:szCs w:val="18"/>
          <w:color w:val="auto"/>
        </w:rPr>
      </w:pPr>
    </w:p>
    <w:p>
      <w:pPr>
        <w:ind w:right="20" w:firstLine="885"/>
        <w:spacing w:after="0" w:line="257" w:lineRule="auto"/>
        <w:tabs>
          <w:tab w:leader="none" w:pos="11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the Plan to the contrary, Awards granted under the Plan (other than cash-based Awards and Conversion Awards) shall vest no earlier than the first anniversary of the date on which the Award is granted;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Awards, (iii) Awards to non-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83" w:name="page84"/>
    <w:bookmarkEnd w:id="83"/>
    <w:p>
      <w:pPr>
        <w:ind w:right="1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employee directors that vest on earlier of the one-year anniversary of the date of grant and the next annual meeting of stockholders which is at least 50 weeks after the immediately preceding year’s annual meeting, and (iv) any additional Awards the Administrator may grant, up to a maximum of five percent (5%) of the available share reserve authorized for issuance under the Plan pursuant to Section 4(a) (subject to adjustment under Section 5);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foregoing restriction does not apply to the Administrator’s discretion to provide for accelerated exercisability or vesting of any Award, including in cases of retirement, death, Disability or a Change in Control, in the terms of the Award Agreement or otherwise.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Equitable Adjustments.</w:t>
      </w:r>
    </w:p>
    <w:p>
      <w:pPr>
        <w:spacing w:after="0" w:line="121" w:lineRule="exact"/>
        <w:rPr>
          <w:sz w:val="20"/>
          <w:szCs w:val="20"/>
          <w:color w:val="auto"/>
        </w:rPr>
      </w:pPr>
    </w:p>
    <w:p>
      <w:pPr>
        <w:ind w:firstLine="881"/>
        <w:spacing w:after="0" w:line="267" w:lineRule="auto"/>
        <w:rPr>
          <w:sz w:val="20"/>
          <w:szCs w:val="20"/>
          <w:color w:val="auto"/>
        </w:rPr>
      </w:pPr>
      <w:r>
        <w:rPr>
          <w:rFonts w:ascii="Arial" w:cs="Arial" w:eastAsia="Arial" w:hAnsi="Arial"/>
          <w:sz w:val="17"/>
          <w:szCs w:val="17"/>
          <w:color w:val="auto"/>
        </w:rPr>
        <w:t xml:space="preserve">In the event of any Change in Capitalization, an equitable substitution or proportionate adjustment shall be made in (i) the aggregate number and kind of securities reserved for issuance under the Plan pursuant to Section 4, (ii) the kind, number of securities, and the Exercise Price subject to outstanding Options and Share Appreciation Rights granted under the Plan, (iii) the kind, number and purchase price of Shares or other securities or the amount of cash or amount or type of other property subject to outstanding Restricted Shares, Restricted Stock Units or Other Share-Based Awards granted under the Plan; and/or (iv) the terms and conditions of any outstanding Awards (including without limitation any applicable performance targets or criteria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fractional shares resulting from the adjustment shall be eliminated. Without limiting the generality of the foregoing, in connection with a Change in Capitalization, the Administrator may provide, in its sole discretion, but subject in all events to the requirements of Section 409A of the Code, for the cancellation of any outstanding Award granted hereunder in exchange for payment in cash or other property having an aggregate Fair Market Value equal to the Fair Market Value of the Shares, cash or other property covered by such Award, reduced by the aggregate Exercise Price or purchase price thereof, if 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Exercise Price or purchase price of any outstanding Award is equal to or greater than the Fair Market Value of the shares of Common Stock, cash or other property covered by such Award, the Administrator may cancel such Award without the payment of any consideration to the Participant. Further, without limiting the generality of the foregoing, with respect to Awards subject to non-United States laws, adjustments made hereunder shall be made in compliance with applicable requirements. Except to the extent determined by the Administrator, any adjustments to ISOs under this Section 5 shall be made only to the extent not constituting a “modification” within the meaning of Section 424(h)(3) of the Code. The Administrator’s determinations pursuant to this Section 5 shall be final, binding and conclusive. The Administrator is further authorized to make adjustments in the terms and conditions of, and the criteria included in, Awards in recognition of unusual or infrequent events (including without limitation the events described in this Section 5) affecting the Company or the financial statements of the Company, or of changes in applicable laws, regulations, or accounting principles, whenever the Administrator determines that such adjustments are appropriate in order to prevent dilution or enlargement of the benefits or potential benefits intended to be made available under the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Eligibility.</w:t>
      </w:r>
    </w:p>
    <w:p>
      <w:pPr>
        <w:spacing w:after="0" w:line="121"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The Participants in the Plan shall be selected from time to time by the Administrator, in its sole discretion, from those individuals that qualify as Eligible Recipients.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 Options.</w:t>
      </w:r>
    </w:p>
    <w:p>
      <w:pPr>
        <w:spacing w:after="0" w:line="121" w:lineRule="exact"/>
        <w:rPr>
          <w:sz w:val="20"/>
          <w:szCs w:val="20"/>
          <w:color w:val="auto"/>
        </w:rPr>
      </w:pPr>
    </w:p>
    <w:p>
      <w:pPr>
        <w:ind w:right="20" w:firstLine="885"/>
        <w:spacing w:after="0" w:line="290" w:lineRule="auto"/>
        <w:tabs>
          <w:tab w:leader="none" w:pos="1126"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Options granted under the Plan shall be designated as Nonqualified Stock Options or ISOs. Each Participant who is granted an Option shall enter into an Award Agreement with the Company, containing such terms and conditions as the Administrator shall determine, in its sole discretion, including,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66" w:lineRule="exact"/>
        <w:rPr>
          <w:rFonts w:ascii="Arial" w:cs="Arial" w:eastAsia="Arial" w:hAnsi="Arial"/>
          <w:sz w:val="16"/>
          <w:szCs w:val="16"/>
          <w:color w:val="auto"/>
        </w:rPr>
      </w:pPr>
    </w:p>
    <w:p>
      <w:pPr>
        <w:jc w:val="both"/>
        <w:ind w:firstLine="885"/>
        <w:spacing w:after="0" w:line="302" w:lineRule="auto"/>
        <w:tabs>
          <w:tab w:leader="none" w:pos="1136"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Shares purchasable under an Option shall be determined by the Administrator in its sole discretion at the time of grant, but in no event shall the exercise price of an Option be less than one hundred percent (100%) of the Fair Market Value of a share of Common Stock on the date of grant (exclusive of Conversion Awards and any substitute Awards granted in connection with awards that are assumed, converted or substituted pursuant to a merger, acquisition or similar transaction entered into by the Company or any of its Subsidiaries).</w:t>
      </w:r>
    </w:p>
    <w:p>
      <w:pPr>
        <w:spacing w:after="0" w:line="154" w:lineRule="exact"/>
        <w:rPr>
          <w:rFonts w:ascii="Arial" w:cs="Arial" w:eastAsia="Arial" w:hAnsi="Arial"/>
          <w:sz w:val="16"/>
          <w:szCs w:val="16"/>
          <w:color w:val="auto"/>
        </w:rPr>
      </w:pPr>
    </w:p>
    <w:p>
      <w:pPr>
        <w:ind w:left="1120" w:hanging="235"/>
        <w:spacing w:after="0"/>
        <w:tabs>
          <w:tab w:leader="none" w:pos="112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maximum term of each Option shall be fixed by the Administrator, but no Option shall be exercisable more than ten</w:t>
      </w:r>
    </w:p>
    <w:p>
      <w:pPr>
        <w:spacing w:after="0" w:line="46" w:lineRule="exact"/>
        <w:rPr>
          <w:rFonts w:ascii="Arial" w:cs="Arial" w:eastAsia="Arial" w:hAnsi="Arial"/>
          <w:sz w:val="16"/>
          <w:szCs w:val="16"/>
          <w:color w:val="auto"/>
        </w:rPr>
      </w:pPr>
    </w:p>
    <w:p>
      <w:pPr>
        <w:ind w:right="80" w:firstLine="4"/>
        <w:spacing w:after="0" w:line="261" w:lineRule="auto"/>
        <w:tabs>
          <w:tab w:leader="none" w:pos="345" w:val="left"/>
        </w:tabs>
        <w:numPr>
          <w:ilvl w:val="0"/>
          <w:numId w:val="98"/>
        </w:numPr>
        <w:rPr>
          <w:rFonts w:ascii="Arial" w:cs="Arial" w:eastAsia="Arial" w:hAnsi="Arial"/>
          <w:sz w:val="18"/>
          <w:szCs w:val="18"/>
          <w:color w:val="auto"/>
        </w:rPr>
      </w:pPr>
      <w:r>
        <w:rPr>
          <w:rFonts w:ascii="Arial" w:cs="Arial" w:eastAsia="Arial" w:hAnsi="Arial"/>
          <w:sz w:val="18"/>
          <w:szCs w:val="18"/>
          <w:color w:val="auto"/>
        </w:rPr>
        <w:t>years after the date such Option is granted. Each Option’s term is subject to earlier expiration pursuant to the applicable provisions in the Plan and the Award Agreement.</w:t>
      </w:r>
    </w:p>
    <w:p>
      <w:pPr>
        <w:spacing w:after="0" w:line="183" w:lineRule="exact"/>
        <w:rPr>
          <w:rFonts w:ascii="Arial" w:cs="Arial" w:eastAsia="Arial" w:hAnsi="Arial"/>
          <w:sz w:val="18"/>
          <w:szCs w:val="18"/>
          <w:color w:val="auto"/>
        </w:rPr>
      </w:pPr>
    </w:p>
    <w:p>
      <w:pPr>
        <w:ind w:right="20" w:firstLine="885"/>
        <w:spacing w:after="0" w:line="264" w:lineRule="auto"/>
        <w:tabs>
          <w:tab w:leader="none" w:pos="113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w:t>
      </w:r>
    </w:p>
    <w:p>
      <w:pPr>
        <w:spacing w:after="0" w:line="181" w:lineRule="exact"/>
        <w:rPr>
          <w:rFonts w:ascii="Arial" w:cs="Arial" w:eastAsia="Arial" w:hAnsi="Arial"/>
          <w:sz w:val="18"/>
          <w:szCs w:val="18"/>
          <w:color w:val="auto"/>
        </w:rPr>
      </w:pPr>
    </w:p>
    <w:p>
      <w:pPr>
        <w:ind w:right="40" w:firstLine="885"/>
        <w:spacing w:after="0" w:line="254" w:lineRule="auto"/>
        <w:tabs>
          <w:tab w:leader="none" w:pos="112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Laws or (iv) any combination of the foregoing.</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0" w:right="499" w:bottom="1440" w:gutter="0" w:footer="0" w:header="0"/>
        </w:sectPr>
      </w:pPr>
    </w:p>
    <w:bookmarkStart w:id="85" w:name="page86"/>
    <w:bookmarkEnd w:id="85"/>
    <w:p>
      <w:pPr>
        <w:ind w:right="140" w:firstLine="885"/>
        <w:spacing w:after="0" w:line="259" w:lineRule="auto"/>
        <w:tabs>
          <w:tab w:leader="none" w:pos="110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ISOs</w:t>
      </w:r>
      <w:r>
        <w:rPr>
          <w:rFonts w:ascii="Arial" w:cs="Arial" w:eastAsia="Arial" w:hAnsi="Arial"/>
          <w:sz w:val="18"/>
          <w:szCs w:val="18"/>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ISOs may be granted only to an employee of the Company, its “parent corporation” (as such term is defined in Section 424(e) of the Code), if any, or a Subsidiary of the Company.</w:t>
      </w:r>
    </w:p>
    <w:p>
      <w:pPr>
        <w:spacing w:after="0" w:line="186" w:lineRule="exact"/>
        <w:rPr>
          <w:rFonts w:ascii="Arial" w:cs="Arial" w:eastAsia="Arial" w:hAnsi="Arial"/>
          <w:sz w:val="18"/>
          <w:szCs w:val="18"/>
          <w:color w:val="auto"/>
        </w:rPr>
      </w:pPr>
    </w:p>
    <w:p>
      <w:pPr>
        <w:ind w:firstLine="1436"/>
        <w:spacing w:after="0" w:line="257" w:lineRule="auto"/>
        <w:tabs>
          <w:tab w:leader="none" w:pos="1687" w:val="left"/>
        </w:tabs>
        <w:numPr>
          <w:ilvl w:val="1"/>
          <w:numId w:val="99"/>
        </w:numPr>
        <w:rPr>
          <w:rFonts w:ascii="Arial" w:cs="Arial" w:eastAsia="Arial" w:hAnsi="Arial"/>
          <w:sz w:val="18"/>
          <w:szCs w:val="18"/>
          <w:color w:val="auto"/>
        </w:rPr>
      </w:pPr>
      <w:r>
        <w:rPr>
          <w:rFonts w:ascii="Arial" w:cs="Arial" w:eastAsia="Arial" w:hAnsi="Arial"/>
          <w:sz w:val="18"/>
          <w:szCs w:val="18"/>
          <w:i w:val="1"/>
          <w:iCs w:val="1"/>
          <w:color w:val="auto"/>
        </w:rPr>
        <w:t>ISO Grants to 10% Stockholders</w:t>
      </w:r>
      <w:r>
        <w:rPr>
          <w:rFonts w:ascii="Arial" w:cs="Arial" w:eastAsia="Arial" w:hAnsi="Arial"/>
          <w:sz w:val="18"/>
          <w:szCs w:val="18"/>
          <w:color w:val="auto"/>
        </w:rPr>
        <w:t>. Notwithstanding anything to the contrary in the Plan, if an ISO is granted to a Participant who</w:t>
      </w:r>
      <w:r>
        <w:rPr>
          <w:rFonts w:ascii="Arial" w:cs="Arial" w:eastAsia="Arial" w:hAnsi="Arial"/>
          <w:sz w:val="18"/>
          <w:szCs w:val="18"/>
          <w:i w:val="1"/>
          <w:iCs w:val="1"/>
          <w:color w:val="auto"/>
        </w:rPr>
        <w:t xml:space="preserve"> </w:t>
      </w:r>
      <w:r>
        <w:rPr>
          <w:rFonts w:ascii="Arial" w:cs="Arial" w:eastAsia="Arial" w:hAnsi="Arial"/>
          <w:sz w:val="18"/>
          <w:szCs w:val="18"/>
          <w:color w:val="auto"/>
        </w:rPr>
        <w:t>owns shares representing more than ten percent (10%) of the voting power of all classes of shares of the Company, its “parent corporation” (as such term is defined in Section 424(e) of the Code), if any, or a Subsidiary of the Company, the term of the ISO shall not exceed five (5) years from the time of grant of such ISO and the Exercise Price shall be at least one hundred and ten percent (110%) of the Fair Market Value of the Shares on the date of grant.</w:t>
      </w:r>
    </w:p>
    <w:p>
      <w:pPr>
        <w:spacing w:after="0" w:line="188" w:lineRule="exact"/>
        <w:rPr>
          <w:rFonts w:ascii="Arial" w:cs="Arial" w:eastAsia="Arial" w:hAnsi="Arial"/>
          <w:sz w:val="18"/>
          <w:szCs w:val="18"/>
          <w:color w:val="auto"/>
        </w:rPr>
      </w:pPr>
    </w:p>
    <w:p>
      <w:pPr>
        <w:ind w:right="60" w:firstLine="1436"/>
        <w:spacing w:after="0" w:line="264" w:lineRule="auto"/>
        <w:tabs>
          <w:tab w:leader="none" w:pos="1687" w:val="left"/>
        </w:tabs>
        <w:numPr>
          <w:ilvl w:val="1"/>
          <w:numId w:val="99"/>
        </w:numPr>
        <w:rPr>
          <w:rFonts w:ascii="Arial" w:cs="Arial" w:eastAsia="Arial" w:hAnsi="Arial"/>
          <w:sz w:val="18"/>
          <w:szCs w:val="18"/>
          <w:color w:val="auto"/>
        </w:rPr>
      </w:pPr>
      <w:r>
        <w:rPr>
          <w:rFonts w:ascii="Arial" w:cs="Arial" w:eastAsia="Arial" w:hAnsi="Arial"/>
          <w:sz w:val="18"/>
          <w:szCs w:val="18"/>
          <w:i w:val="1"/>
          <w:iCs w:val="1"/>
          <w:color w:val="auto"/>
        </w:rPr>
        <w:t>$100,000 Per Year Limitation For ISOs</w:t>
      </w:r>
      <w:r>
        <w:rPr>
          <w:rFonts w:ascii="Arial" w:cs="Arial" w:eastAsia="Arial" w:hAnsi="Arial"/>
          <w:sz w:val="18"/>
          <w:szCs w:val="18"/>
          <w:color w:val="auto"/>
        </w:rPr>
        <w:t>. To the extent the aggregate Fair Market Value (determined on the date of grant)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for which ISOs are exercisable for the first time by any Participant during any calendar year (under all plans of the Company) exceeds $100,000, such excess ISOs shall be treated as Nonqualified Stock Options.</w:t>
      </w:r>
    </w:p>
    <w:p>
      <w:pPr>
        <w:spacing w:after="0" w:line="181" w:lineRule="exact"/>
        <w:rPr>
          <w:rFonts w:ascii="Arial" w:cs="Arial" w:eastAsia="Arial" w:hAnsi="Arial"/>
          <w:sz w:val="18"/>
          <w:szCs w:val="18"/>
          <w:color w:val="auto"/>
        </w:rPr>
      </w:pPr>
    </w:p>
    <w:p>
      <w:pPr>
        <w:ind w:right="120" w:firstLine="1436"/>
        <w:spacing w:after="0" w:line="293" w:lineRule="auto"/>
        <w:tabs>
          <w:tab w:leader="none" w:pos="1687" w:val="left"/>
        </w:tabs>
        <w:numPr>
          <w:ilvl w:val="1"/>
          <w:numId w:val="99"/>
        </w:numPr>
        <w:rPr>
          <w:rFonts w:ascii="Arial" w:cs="Arial" w:eastAsia="Arial" w:hAnsi="Arial"/>
          <w:sz w:val="16"/>
          <w:szCs w:val="16"/>
          <w:color w:val="auto"/>
        </w:rPr>
      </w:pPr>
      <w:r>
        <w:rPr>
          <w:rFonts w:ascii="Arial" w:cs="Arial" w:eastAsia="Arial" w:hAnsi="Arial"/>
          <w:sz w:val="16"/>
          <w:szCs w:val="16"/>
          <w:i w:val="1"/>
          <w:iCs w:val="1"/>
          <w:color w:val="auto"/>
        </w:rPr>
        <w:t>Disqualifying Dispositions</w:t>
      </w:r>
      <w:r>
        <w:rPr>
          <w:rFonts w:ascii="Arial" w:cs="Arial" w:eastAsia="Arial" w:hAnsi="Arial"/>
          <w:sz w:val="16"/>
          <w:szCs w:val="16"/>
          <w:color w:val="auto"/>
        </w:rPr>
        <w:t>. Each Participant awarded an ISO under the Plan shall notify the Company in writing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spacing w:after="0" w:line="164" w:lineRule="exact"/>
        <w:rPr>
          <w:rFonts w:ascii="Arial" w:cs="Arial" w:eastAsia="Arial" w:hAnsi="Arial"/>
          <w:sz w:val="16"/>
          <w:szCs w:val="16"/>
          <w:color w:val="auto"/>
        </w:rPr>
      </w:pPr>
    </w:p>
    <w:p>
      <w:pPr>
        <w:ind w:right="180" w:firstLine="885"/>
        <w:spacing w:after="0" w:line="264" w:lineRule="auto"/>
        <w:tabs>
          <w:tab w:leader="none" w:pos="113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A Participant shall have no rights to dividends, dividend equivalents or distributions or any other rights of a stockholder with respect to the Shares subject to an Option until the Participant has given written notice of the exercise thereof, and has paid in full for such Shares and has satisfied the requirements of Section 16.</w:t>
      </w:r>
    </w:p>
    <w:p>
      <w:pPr>
        <w:spacing w:after="0" w:line="181" w:lineRule="exact"/>
        <w:rPr>
          <w:rFonts w:ascii="Arial" w:cs="Arial" w:eastAsia="Arial" w:hAnsi="Arial"/>
          <w:sz w:val="18"/>
          <w:szCs w:val="18"/>
          <w:color w:val="auto"/>
        </w:rPr>
      </w:pPr>
    </w:p>
    <w:p>
      <w:pPr>
        <w:ind w:right="180" w:firstLine="885"/>
        <w:spacing w:after="0" w:line="277" w:lineRule="auto"/>
        <w:tabs>
          <w:tab w:leader="none" w:pos="113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Treatment of an Option upon termination of employment of a Participant shall be provided for by the Administrator in the Award Agreement.</w:t>
      </w:r>
    </w:p>
    <w:p>
      <w:pPr>
        <w:spacing w:after="0" w:line="170" w:lineRule="exact"/>
        <w:rPr>
          <w:rFonts w:ascii="Arial" w:cs="Arial" w:eastAsia="Arial" w:hAnsi="Arial"/>
          <w:sz w:val="18"/>
          <w:szCs w:val="18"/>
          <w:color w:val="auto"/>
        </w:rPr>
      </w:pPr>
    </w:p>
    <w:p>
      <w:pPr>
        <w:ind w:right="260" w:firstLine="885"/>
        <w:spacing w:after="0" w:line="312" w:lineRule="auto"/>
        <w:tabs>
          <w:tab w:leader="none" w:pos="1096"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Other Change in Employment or Service Status</w:t>
      </w:r>
      <w:r>
        <w:rPr>
          <w:rFonts w:ascii="Arial" w:cs="Arial" w:eastAsia="Arial" w:hAnsi="Arial"/>
          <w:sz w:val="16"/>
          <w:szCs w:val="16"/>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as and to the extent determined in the discretion of the Administrator.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Share Appreciation Rights.</w:t>
      </w:r>
    </w:p>
    <w:p>
      <w:pPr>
        <w:spacing w:after="0" w:line="121" w:lineRule="exact"/>
        <w:rPr>
          <w:sz w:val="20"/>
          <w:szCs w:val="20"/>
          <w:color w:val="auto"/>
        </w:rPr>
      </w:pPr>
    </w:p>
    <w:p>
      <w:pPr>
        <w:ind w:firstLine="885"/>
        <w:spacing w:after="0" w:line="289" w:lineRule="auto"/>
        <w:tabs>
          <w:tab w:leader="none" w:pos="1126"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Share Appreciation Rights may be granted either alone (“</w:t>
      </w:r>
      <w:r>
        <w:rPr>
          <w:rFonts w:ascii="Arial" w:cs="Arial" w:eastAsia="Arial" w:hAnsi="Arial"/>
          <w:sz w:val="16"/>
          <w:szCs w:val="16"/>
          <w:u w:val="single" w:color="auto"/>
          <w:color w:val="auto"/>
        </w:rPr>
        <w:t>Free Standing Rights</w:t>
      </w:r>
      <w:r>
        <w:rPr>
          <w:rFonts w:ascii="Arial" w:cs="Arial" w:eastAsia="Arial" w:hAnsi="Arial"/>
          <w:sz w:val="16"/>
          <w:szCs w:val="16"/>
          <w:color w:val="auto"/>
        </w:rPr>
        <w:t>”) or in conjunction with all or part of any Option granted under the Plan (“</w:t>
      </w:r>
      <w:r>
        <w:rPr>
          <w:rFonts w:ascii="Arial" w:cs="Arial" w:eastAsia="Arial" w:hAnsi="Arial"/>
          <w:sz w:val="16"/>
          <w:szCs w:val="16"/>
          <w:u w:val="single" w:color="auto"/>
          <w:color w:val="auto"/>
        </w:rPr>
        <w:t>Related Rights</w:t>
      </w:r>
      <w:r>
        <w:rPr>
          <w:rFonts w:ascii="Arial" w:cs="Arial" w:eastAsia="Arial" w:hAnsi="Arial"/>
          <w:sz w:val="16"/>
          <w:szCs w:val="16"/>
          <w:color w:val="auto"/>
        </w:rPr>
        <w:t>”). Related Rights may be granted either at or after the time of the grant of such Option. The Administrator shall determine the Eligible Recipients to whom, and the time or times at which, grants of Share Appreciation Rights shall be made. Each Participant who is granted a Share Appreciation Right shall enter into an Award Agreement with the Company, containing such terms and conditions as the Administrator shall determine, in its sole discretion, including, among other things, the number of Shares to be awarded, the Exercise Price per Share, and all other conditions of Share Appreciation Rights. Notwithstanding the foregoing, no Related Right may be granted for more Shares than are subject to the Option to which it relates. The provisions of Share Appreciation Rights need not be the same with respect to each Participant.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66" w:lineRule="exact"/>
        <w:rPr>
          <w:rFonts w:ascii="Arial" w:cs="Arial" w:eastAsia="Arial" w:hAnsi="Arial"/>
          <w:sz w:val="16"/>
          <w:szCs w:val="16"/>
          <w:color w:val="auto"/>
        </w:rPr>
      </w:pPr>
    </w:p>
    <w:p>
      <w:pPr>
        <w:ind w:right="300" w:firstLine="885"/>
        <w:spacing w:after="0" w:line="264" w:lineRule="auto"/>
        <w:tabs>
          <w:tab w:leader="none" w:pos="113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Awards; Rights as Stockholder</w:t>
      </w:r>
      <w:r>
        <w:rPr>
          <w:rFonts w:ascii="Arial" w:cs="Arial" w:eastAsia="Arial" w:hAnsi="Arial"/>
          <w:sz w:val="18"/>
          <w:szCs w:val="18"/>
          <w:color w:val="auto"/>
        </w:rPr>
        <w:t>. A Participant shall have no rights to dividends or any other rights of a stockholder with respect to the shares of Common Stock, if any, subject to a Stock Appreciation Right until the Participant has given written notice of the exercise thereof and has satisfied the requirements of Section 16.</w:t>
      </w:r>
    </w:p>
    <w:p>
      <w:pPr>
        <w:spacing w:after="0" w:line="181" w:lineRule="exact"/>
        <w:rPr>
          <w:rFonts w:ascii="Arial" w:cs="Arial" w:eastAsia="Arial" w:hAnsi="Arial"/>
          <w:sz w:val="18"/>
          <w:szCs w:val="18"/>
          <w:color w:val="auto"/>
        </w:rPr>
      </w:pPr>
    </w:p>
    <w:p>
      <w:pPr>
        <w:ind w:right="40" w:firstLine="885"/>
        <w:spacing w:after="0" w:line="257" w:lineRule="auto"/>
        <w:tabs>
          <w:tab w:leader="none" w:pos="112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Shares purchasable under a Share Appreciation Rights shall be determined by the Administrator in its sole discretion at the time of grant, but in no event shall the exercise price of a Share Appreciation Rights be less than one hundred percent (100%) of the Fair Market Value of a share of Common Stock on the date of grant (exclusive of Conversion Awards and any substitute Awards granted in connection with awards that are assumed, converted or substituted pursuant to a merger, acquisition or similar transaction entered into by the Company or any of its Subsidiaries).</w:t>
      </w:r>
    </w:p>
    <w:p>
      <w:pPr>
        <w:spacing w:after="0" w:line="188" w:lineRule="exact"/>
        <w:rPr>
          <w:rFonts w:ascii="Arial" w:cs="Arial" w:eastAsia="Arial" w:hAnsi="Arial"/>
          <w:sz w:val="18"/>
          <w:szCs w:val="18"/>
          <w:color w:val="auto"/>
        </w:rPr>
      </w:pPr>
    </w:p>
    <w:p>
      <w:pPr>
        <w:ind w:left="1140" w:hanging="255"/>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36"/>
        <w:spacing w:after="0" w:line="277" w:lineRule="auto"/>
        <w:tabs>
          <w:tab w:leader="none" w:pos="168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Share Appreciation Rights that are Free Standing Rights shall be exercisable at such time or times and subject to such terms and conditions as shall be determined by the Administrator in the applicable Award Agreement.</w:t>
      </w:r>
    </w:p>
    <w:p>
      <w:pPr>
        <w:spacing w:after="0" w:line="170" w:lineRule="exact"/>
        <w:rPr>
          <w:rFonts w:ascii="Arial" w:cs="Arial" w:eastAsia="Arial" w:hAnsi="Arial"/>
          <w:sz w:val="18"/>
          <w:szCs w:val="18"/>
          <w:color w:val="auto"/>
        </w:rPr>
      </w:pPr>
    </w:p>
    <w:p>
      <w:pPr>
        <w:ind w:right="540" w:firstLine="1436"/>
        <w:spacing w:after="0" w:line="277" w:lineRule="auto"/>
        <w:tabs>
          <w:tab w:leader="none" w:pos="168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Share Appreciation Rights that are Related Rights shall be exercisable only at such time or times and to the extent that the Options to which they relate shall be exercisable in accordance with the provisions of Section 7 and this Section 8.</w:t>
      </w:r>
    </w:p>
    <w:p>
      <w:pPr>
        <w:spacing w:after="0" w:line="170" w:lineRule="exact"/>
        <w:rPr>
          <w:rFonts w:ascii="Arial" w:cs="Arial" w:eastAsia="Arial" w:hAnsi="Arial"/>
          <w:sz w:val="18"/>
          <w:szCs w:val="18"/>
          <w:color w:val="auto"/>
        </w:rPr>
      </w:pPr>
    </w:p>
    <w:p>
      <w:pPr>
        <w:ind w:left="1120" w:hanging="235"/>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Payment Upon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20" w:firstLine="1436"/>
        <w:spacing w:after="0" w:line="264" w:lineRule="auto"/>
        <w:tabs>
          <w:tab w:leader="none" w:pos="168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Upon the exercise of a Free Standing Right, the Participant shall be entitled to receive up to, but not more than, that number of Shares equal in value to the excess of the Fair Market Value as of the date of exercise over the Exercise Price per share specified in the Free Standing Right multiplied by the number of Shares in respect of which the Free Standing Right is being exercised.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87" w:name="page88"/>
    <w:bookmarkEnd w:id="87"/>
    <w:p>
      <w:pPr>
        <w:ind w:firstLine="1436"/>
        <w:spacing w:after="0" w:line="257" w:lineRule="auto"/>
        <w:tabs>
          <w:tab w:leader="none" w:pos="1688" w:val="left"/>
        </w:tabs>
        <w:numPr>
          <w:ilvl w:val="1"/>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Related Right may be exercised by a Participant by surrendering the applicable portion of the related Option. Upon such exercise and surrender, the Participant shall be entitled to receive up to, but not more than, that number of Shares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spacing w:after="0" w:line="188" w:lineRule="exact"/>
        <w:rPr>
          <w:rFonts w:ascii="Arial" w:cs="Arial" w:eastAsia="Arial" w:hAnsi="Arial"/>
          <w:sz w:val="18"/>
          <w:szCs w:val="18"/>
          <w:color w:val="auto"/>
        </w:rPr>
      </w:pPr>
    </w:p>
    <w:p>
      <w:pPr>
        <w:ind w:right="120" w:firstLine="1436"/>
        <w:spacing w:after="0" w:line="277" w:lineRule="auto"/>
        <w:tabs>
          <w:tab w:leader="none" w:pos="168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Notwithstanding the foregoing, the Administrator may determine to settle the exercise of a Share Appreciation Right in cash (or in any combination of Shares and cash).</w:t>
      </w:r>
    </w:p>
    <w:p>
      <w:pPr>
        <w:spacing w:after="0" w:line="170" w:lineRule="exact"/>
        <w:rPr>
          <w:rFonts w:ascii="Arial" w:cs="Arial" w:eastAsia="Arial" w:hAnsi="Arial"/>
          <w:sz w:val="18"/>
          <w:szCs w:val="18"/>
          <w:color w:val="auto"/>
        </w:rPr>
      </w:pPr>
    </w:p>
    <w:p>
      <w:pPr>
        <w:ind w:right="100" w:firstLine="885"/>
        <w:spacing w:after="0" w:line="277" w:lineRule="auto"/>
        <w:tabs>
          <w:tab w:leader="none" w:pos="110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Treatment of a Share Appreciation Right upon termination of employment of a Participant shall be provided for by the Administrator in the Award Agreement.</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436"/>
        <w:spacing w:after="0" w:line="277" w:lineRule="auto"/>
        <w:tabs>
          <w:tab w:leader="none" w:pos="168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 of each Free Standing Right shall be fixed by the Administrator, but no Free Standing Right shall be exercisable more than ten (10) years after the date such right is granted.</w:t>
      </w:r>
    </w:p>
    <w:p>
      <w:pPr>
        <w:spacing w:after="0" w:line="170" w:lineRule="exact"/>
        <w:rPr>
          <w:rFonts w:ascii="Arial" w:cs="Arial" w:eastAsia="Arial" w:hAnsi="Arial"/>
          <w:sz w:val="18"/>
          <w:szCs w:val="18"/>
          <w:color w:val="auto"/>
        </w:rPr>
      </w:pPr>
    </w:p>
    <w:p>
      <w:pPr>
        <w:ind w:right="40" w:firstLine="1436"/>
        <w:spacing w:after="0" w:line="277" w:lineRule="auto"/>
        <w:tabs>
          <w:tab w:leader="none" w:pos="168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 of each Related Right shall be the term of the Option to which it relates, but no Related Right shall be exercisable more than ten (10) years after the date such right is granted.</w:t>
      </w:r>
    </w:p>
    <w:p>
      <w:pPr>
        <w:spacing w:after="0" w:line="170" w:lineRule="exact"/>
        <w:rPr>
          <w:rFonts w:ascii="Arial" w:cs="Arial" w:eastAsia="Arial" w:hAnsi="Arial"/>
          <w:sz w:val="18"/>
          <w:szCs w:val="18"/>
          <w:color w:val="auto"/>
        </w:rPr>
      </w:pPr>
    </w:p>
    <w:p>
      <w:pPr>
        <w:ind w:right="220" w:firstLine="885"/>
        <w:spacing w:after="0" w:line="312" w:lineRule="auto"/>
        <w:tabs>
          <w:tab w:leader="none" w:pos="1136"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Other Change in Employment or Service Status</w:t>
      </w:r>
      <w:r>
        <w:rPr>
          <w:rFonts w:ascii="Arial" w:cs="Arial" w:eastAsia="Arial" w:hAnsi="Arial"/>
          <w:sz w:val="16"/>
          <w:szCs w:val="16"/>
          <w:color w:val="auto"/>
        </w:rPr>
        <w:t>. Share Appreciation Rights shall be affected, both with regard to vesting schedule and termination, by leaves of absence, including unpaid and un-protected leaves of absence, changes from full-time to part-time employment, partial Disability or other changes in the employment or service status of a Participant, as and to the extent determined in the discretion of the Administrator.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Restricted Shares and Restricted Stock Units.</w:t>
      </w:r>
    </w:p>
    <w:p>
      <w:pPr>
        <w:spacing w:after="0" w:line="121" w:lineRule="exact"/>
        <w:rPr>
          <w:sz w:val="20"/>
          <w:szCs w:val="20"/>
          <w:color w:val="auto"/>
        </w:rPr>
      </w:pPr>
    </w:p>
    <w:p>
      <w:pPr>
        <w:ind w:right="160" w:firstLine="885"/>
        <w:spacing w:after="0" w:line="270" w:lineRule="auto"/>
        <w:tabs>
          <w:tab w:leader="none" w:pos="1126"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Restricted Shares or Restricted Stock Units may be issued under the Plan. The Administrator shall determine the Eligible Recipients to whom, and the time or times at which, Restricted Shares or Restricted Stock Units shall be made. Each Participant who is granted Restricted Shares or Restricted Stock Units shall enter into an Award Agreement with the Company, containing such terms and conditions as the Administrator shall determine, in its sole discretion, including, among other things, the number of Shares to be awarded; the price, if any, to be paid by the Participant for the acquisition of Restricted Shares or Restricted Stock Units; the period of time restrictions, performance goals or other conditions that apply to Transferability, delivery or vesting of such Awards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and all other conditions applicable to the Restricted Shares and Restricted Stock Units. If the restrictions, performance goals or conditions established by the Administrator are not attained, a Participant shall forfeit his or her Restricted Shares or Restricted Stock Units, in accordance with the terms of the grant. The provisions of the Restricted Shares or Restricted Stock Units need not be the same with respect to each Participant.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88" w:name="page89"/>
    <w:bookmarkEnd w:id="88"/>
    <w:p>
      <w:pPr>
        <w:ind w:left="1080" w:hanging="255"/>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 and Certificates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420" w:firstLine="1436"/>
        <w:spacing w:after="0" w:line="286" w:lineRule="auto"/>
        <w:tabs>
          <w:tab w:leader="none" w:pos="1628"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In the Administrator’s sole discretion, as a condition of any Award of Restricted Shares, the Participant shall be required to deliver a share transfer form, endorsed in blank, relating to the Shares covered by such Award. Restricted Shares and, upon the expiration of the Restricted Period, Shares, may be issued in either certificated or uncertificated form, in the Administrator’s sole discretion.</w:t>
      </w:r>
    </w:p>
    <w:p>
      <w:pPr>
        <w:spacing w:after="0" w:line="165" w:lineRule="exact"/>
        <w:rPr>
          <w:rFonts w:ascii="Arial" w:cs="Arial" w:eastAsia="Arial" w:hAnsi="Arial"/>
          <w:sz w:val="17"/>
          <w:szCs w:val="17"/>
          <w:color w:val="auto"/>
        </w:rPr>
      </w:pPr>
    </w:p>
    <w:p>
      <w:pPr>
        <w:jc w:val="both"/>
        <w:ind w:left="-60" w:right="40" w:firstLine="1436"/>
        <w:spacing w:after="0" w:line="259" w:lineRule="auto"/>
        <w:tabs>
          <w:tab w:leader="none" w:pos="162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With respect to Restricted Stock Units at the expiration of the Restricted Period, Shares or cash, as applicable, shall promptly be issued to the Participant, unless otherwise deferred in accordance with procedures established by the Company in accordance with Section 409A of the Code. Shares issued upon the expiration of the Restricted Period of a Restricted Stock Unit Award may be issued in either certificated or uncertificated form, in the Administrator’s sole discretion.</w:t>
      </w:r>
    </w:p>
    <w:p>
      <w:pPr>
        <w:spacing w:after="0" w:line="186" w:lineRule="exact"/>
        <w:rPr>
          <w:rFonts w:ascii="Arial" w:cs="Arial" w:eastAsia="Arial" w:hAnsi="Arial"/>
          <w:sz w:val="18"/>
          <w:szCs w:val="18"/>
          <w:color w:val="auto"/>
        </w:rPr>
      </w:pPr>
    </w:p>
    <w:p>
      <w:pPr>
        <w:ind w:left="-60" w:right="80" w:firstLine="1436"/>
        <w:spacing w:after="0" w:line="264" w:lineRule="auto"/>
        <w:tabs>
          <w:tab w:leader="none" w:pos="162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certificate issued pursuant to this Section 9(b) shall be registered in the name of the Participant, shall bear an appropriate legend referring to the terms, conditions and restrictions applicable to the underlying Award, if any, and shall, in the Administrator’s sole discretion, be held in the custody of the Company until the restrictions thereon shall have lapsed.</w:t>
      </w:r>
    </w:p>
    <w:p>
      <w:pPr>
        <w:spacing w:after="0" w:line="181" w:lineRule="exact"/>
        <w:rPr>
          <w:rFonts w:ascii="Arial" w:cs="Arial" w:eastAsia="Arial" w:hAnsi="Arial"/>
          <w:sz w:val="18"/>
          <w:szCs w:val="18"/>
          <w:color w:val="auto"/>
        </w:rPr>
      </w:pPr>
    </w:p>
    <w:p>
      <w:pPr>
        <w:ind w:left="-60" w:right="120" w:firstLine="885"/>
        <w:spacing w:after="0" w:line="264" w:lineRule="auto"/>
        <w:tabs>
          <w:tab w:leader="none" w:pos="106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Restricted Shares or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73" w:lineRule="exact"/>
        <w:rPr>
          <w:rFonts w:ascii="Arial" w:cs="Arial" w:eastAsia="Arial" w:hAnsi="Arial"/>
          <w:sz w:val="18"/>
          <w:szCs w:val="18"/>
          <w:color w:val="auto"/>
        </w:rPr>
      </w:pPr>
    </w:p>
    <w:p>
      <w:pPr>
        <w:ind w:left="1640" w:hanging="264"/>
        <w:spacing w:after="0"/>
        <w:tabs>
          <w:tab w:leader="none" w:pos="1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Administrator may, in its sole discretion, provide for the lapse of restrictions in installments.</w:t>
      </w:r>
    </w:p>
    <w:p>
      <w:pPr>
        <w:spacing w:after="0" w:line="117" w:lineRule="exact"/>
        <w:rPr>
          <w:rFonts w:ascii="Arial" w:cs="Arial" w:eastAsia="Arial" w:hAnsi="Arial"/>
          <w:sz w:val="18"/>
          <w:szCs w:val="18"/>
          <w:color w:val="auto"/>
        </w:rPr>
      </w:pPr>
    </w:p>
    <w:p>
      <w:pPr>
        <w:ind w:left="-60" w:firstLine="1436"/>
        <w:spacing w:after="0" w:line="291" w:lineRule="auto"/>
        <w:tabs>
          <w:tab w:leader="none" w:pos="162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Except as provided in the applicable Award Agreement, the Participant shall generally have the rights of a stockholder of the Company with respect to Restricted Shares during the Restricted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dividends declared during the Restricted Period with respect to a Restricted Share Award shall only become payable if (and to the extent) the underlying Restricted Shares vest. Except as provided in the applicable Award Agreement, the Participant shall generally not have the rights of a stockholder with respect to Shares subject to Restricted Stock Units during the Restricted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Section 409A of the Code, an amount equal to dividends declared during the Restricted Period with respect to the number of Shares covered by Restricted Stock Units shall, unless otherwise set forth in an Award Agreement, be paid to the Participant at the time (and to the extent) Shares or cash in respect of the related Restricted Stock Units are delivered to the Participant.</w:t>
      </w:r>
    </w:p>
    <w:p>
      <w:pPr>
        <w:spacing w:after="0" w:line="59" w:lineRule="exact"/>
        <w:rPr>
          <w:rFonts w:ascii="Arial" w:cs="Arial" w:eastAsia="Arial" w:hAnsi="Arial"/>
          <w:sz w:val="16"/>
          <w:szCs w:val="16"/>
          <w:color w:val="auto"/>
        </w:rPr>
      </w:pPr>
    </w:p>
    <w:p>
      <w:pPr>
        <w:ind w:left="-60" w:right="60" w:firstLine="1436"/>
        <w:spacing w:after="0" w:line="264" w:lineRule="auto"/>
        <w:tabs>
          <w:tab w:leader="none" w:pos="162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rights of Participants granted Restricted Shares or Restricted Stock Units upon termination of employment or service as a director, independent contractor or consultant to the Company or to any Affiliate thereof terminates for any reason during the Restricted Period shall be set forth in the Award Agreement.</w:t>
      </w:r>
    </w:p>
    <w:p>
      <w:pPr>
        <w:spacing w:after="0" w:line="181" w:lineRule="exact"/>
        <w:rPr>
          <w:rFonts w:ascii="Arial" w:cs="Arial" w:eastAsia="Arial" w:hAnsi="Arial"/>
          <w:sz w:val="18"/>
          <w:szCs w:val="18"/>
          <w:color w:val="auto"/>
        </w:rPr>
      </w:pPr>
    </w:p>
    <w:p>
      <w:pPr>
        <w:ind w:left="-60" w:right="200" w:firstLine="885"/>
        <w:spacing w:after="0" w:line="342" w:lineRule="auto"/>
        <w:tabs>
          <w:tab w:leader="none" w:pos="107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Form of Settlement</w:t>
      </w:r>
      <w:r>
        <w:rPr>
          <w:rFonts w:ascii="Arial" w:cs="Arial" w:eastAsia="Arial" w:hAnsi="Arial"/>
          <w:sz w:val="16"/>
          <w:szCs w:val="16"/>
          <w:color w:val="auto"/>
        </w:rPr>
        <w:t>. The Administrator reserves the right in its sole discretion to provide (either at or after the grant thereof) that any Restricted Stock Unit represent the right to receive the amount of cash per unit that is determined by the Administrator in connection with the Award.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500" w:top="274" w:right="49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 Conversion Awards.</w:t>
      </w:r>
    </w:p>
    <w:p>
      <w:pPr>
        <w:spacing w:after="0" w:line="121" w:lineRule="exact"/>
        <w:rPr>
          <w:sz w:val="20"/>
          <w:szCs w:val="20"/>
          <w:color w:val="auto"/>
        </w:rPr>
      </w:pPr>
    </w:p>
    <w:p>
      <w:pPr>
        <w:ind w:right="100" w:firstLine="881"/>
        <w:spacing w:after="0" w:line="293" w:lineRule="auto"/>
        <w:rPr>
          <w:sz w:val="20"/>
          <w:szCs w:val="20"/>
          <w:color w:val="auto"/>
        </w:rPr>
      </w:pPr>
      <w:r>
        <w:rPr>
          <w:rFonts w:ascii="Arial" w:cs="Arial" w:eastAsia="Arial" w:hAnsi="Arial"/>
          <w:sz w:val="16"/>
          <w:szCs w:val="16"/>
          <w:color w:val="auto"/>
        </w:rPr>
        <w:t>Effective upon consummation of the Separation, the Company shall be deemed to have issued Awards under the Plan (“</w:t>
      </w:r>
      <w:r>
        <w:rPr>
          <w:rFonts w:ascii="Arial" w:cs="Arial" w:eastAsia="Arial" w:hAnsi="Arial"/>
          <w:sz w:val="16"/>
          <w:szCs w:val="16"/>
          <w:u w:val="single" w:color="auto"/>
          <w:color w:val="auto"/>
        </w:rPr>
        <w:t>Conversion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Awards</w:t>
      </w:r>
      <w:r>
        <w:rPr>
          <w:rFonts w:ascii="Arial" w:cs="Arial" w:eastAsia="Arial" w:hAnsi="Arial"/>
          <w:sz w:val="16"/>
          <w:szCs w:val="16"/>
          <w:color w:val="auto"/>
        </w:rPr>
        <w:t>”) to the extent, and on the terms, required to satisfy the obligations imposed on it under Section 1.09 of that certain Employee Matters Agreement dated as of April 1, 2019, by and among DowDuPont Inc., Dow Holdings Inc. and the Company (the “</w:t>
      </w:r>
      <w:r>
        <w:rPr>
          <w:rFonts w:ascii="Arial" w:cs="Arial" w:eastAsia="Arial" w:hAnsi="Arial"/>
          <w:sz w:val="16"/>
          <w:szCs w:val="16"/>
          <w:u w:val="single" w:color="auto"/>
          <w:color w:val="auto"/>
        </w:rPr>
        <w:t>Employee Matters Agreement</w:t>
      </w:r>
      <w:r>
        <w:rPr>
          <w:rFonts w:ascii="Arial" w:cs="Arial" w:eastAsia="Arial" w:hAnsi="Arial"/>
          <w:sz w:val="16"/>
          <w:szCs w:val="16"/>
          <w:color w:val="auto"/>
        </w:rPr>
        <w:t>”). The Conversion Awards shall be administered in accordance with the terms and conditions of the underlying DowDuPont Inc. award as of immediately before the Separation, as such terms and conditions were modified by Section 1.09 of the Employee Matters Agreement, and the Conversion Awards shall otherwise be administered as an Award granted under this Plan to the extent not inconsistent with such terms and conditions as modified.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Other Share-Based Awards.</w:t>
      </w:r>
    </w:p>
    <w:p>
      <w:pPr>
        <w:spacing w:after="0" w:line="121"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Other Share-Based Awards may be issued under the Plan. Subject to the provisions of the Plan, the Administrator shall have sole and complete authority to determine the individuals to whom and the time or times at which such Other Share-Based Awards shall be granted. Each Participant who is granted an Other Share-Based Award shall enter into an Award Agreement with the Company, containing such terms and conditions as the Administrator shall determine, in its sole discretion, which may include, among other things, the number of shares of Common Stock to be granted pursuant to such Other Share-Based Awards, or the manner in which such Other Share-Based Awards shall be settled (e.g., in shares of Common Stock, cash or other property), or the conditions to the vesting and/or payment or settlement of such Other Share-Based Awards (which may include, but not be limited to, achievement of performance criteria) and all other terms and conditions of such Other Share-Based Awards. In the event that the Administrator grants a bonus in the form of Shares, the Shares constituting such bonus shall, as determined by the Administrator, be evidenced in uncertificated form or by a book entry record or a certificate issued in the name of the Participant to whom such grant was made and delivered to such Participant as soon as practicable after the date on which such bonus is payable. Notwithstanding anything set forth in the Plan to the contrary, any dividend or dividend equivalent Award issued hereunder shall be subject to the same restrictions, conditions and risks of forfeiture as apply to the underlying Award.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Cash Awards.</w:t>
      </w:r>
    </w:p>
    <w:p>
      <w:pPr>
        <w:spacing w:after="0" w:line="121" w:lineRule="exact"/>
        <w:rPr>
          <w:sz w:val="20"/>
          <w:szCs w:val="20"/>
          <w:color w:val="auto"/>
        </w:rPr>
      </w:pPr>
    </w:p>
    <w:p>
      <w:pPr>
        <w:jc w:val="both"/>
        <w:ind w:right="140" w:firstLine="881"/>
        <w:spacing w:after="0" w:line="264" w:lineRule="auto"/>
        <w:rPr>
          <w:sz w:val="20"/>
          <w:szCs w:val="20"/>
          <w:color w:val="auto"/>
        </w:rPr>
      </w:pPr>
      <w:r>
        <w:rPr>
          <w:rFonts w:ascii="Arial" w:cs="Arial" w:eastAsia="Arial" w:hAnsi="Arial"/>
          <w:sz w:val="18"/>
          <w:szCs w:val="18"/>
          <w:color w:val="auto"/>
        </w:rPr>
        <w:t>The Administrator may grant Awards that are denominated in, or payable to Participants solely in, cash, as deemed by the Administrator to be consistent with the purposes of the Plan, and, such Cash Awards shall be subject to the terms, conditions, restrictions and limitations determined by the Administrator, in its sole discretion, from time to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Change in Control.</w:t>
      </w:r>
    </w:p>
    <w:p>
      <w:pPr>
        <w:spacing w:after="0" w:line="121" w:lineRule="exact"/>
        <w:rPr>
          <w:sz w:val="20"/>
          <w:szCs w:val="20"/>
          <w:color w:val="auto"/>
        </w:rPr>
      </w:pPr>
    </w:p>
    <w:p>
      <w:pPr>
        <w:ind w:right="300" w:firstLine="885"/>
        <w:spacing w:after="0" w:line="277" w:lineRule="auto"/>
        <w:tabs>
          <w:tab w:leader="none" w:pos="112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Unless otherwise determined by the Administrator and evidenced in an Award Agreement, notwithstanding Section 4(d), in the event that (i) a Change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90" w:name="page91"/>
    <w:bookmarkEnd w:id="9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Control occurs and (ii) either (x) an outstanding Award is not assumed or substituted in connection therewith, or (y) an outstanding Award is assumed or substituted in connection therewith and the Participant’s employment or service is terminated by the Company, its successor or an Affiliate thereof without Cause or by the Participant for Good Reason (if applicable) on or after the effective date of the Change in Control but prior to twenty-four</w:t>
      </w:r>
    </w:p>
    <w:p>
      <w:pPr>
        <w:ind w:right="20" w:firstLine="4"/>
        <w:spacing w:after="0" w:line="295" w:lineRule="auto"/>
        <w:tabs>
          <w:tab w:leader="none" w:pos="3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months following the Change in Control, then: (1) any unvested or unexercisable portion of such Award carrying a right to exercise shall become fully vested and exercisable, and (2) the restrictions, deferral limitations, payment conditions and forfeiture conditions applicable to such Award granted under the Plan shall lapse and be treated as satisfied, in each case with any performance conditions imposed in respect of such Award deemed achieved at target performance levels and payment in respect of such Award pro-rated based on the elapsed proportion of the applicable performance period.</w:t>
      </w:r>
    </w:p>
    <w:p>
      <w:pPr>
        <w:spacing w:after="0" w:line="161" w:lineRule="exact"/>
        <w:rPr>
          <w:rFonts w:ascii="Arial" w:cs="Arial" w:eastAsia="Arial" w:hAnsi="Arial"/>
          <w:sz w:val="16"/>
          <w:szCs w:val="16"/>
          <w:color w:val="auto"/>
        </w:rPr>
      </w:pPr>
    </w:p>
    <w:p>
      <w:pPr>
        <w:jc w:val="both"/>
        <w:ind w:firstLine="885"/>
        <w:spacing w:after="0" w:line="264" w:lineRule="auto"/>
        <w:tabs>
          <w:tab w:leader="none" w:pos="113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purposes of this Section 13, an Award shall be considered assumed or substituted for if, following the Change in Control, the Award remains subject to the same terms and conditions that were applicable to the Award immediately prior to the Change in Control except that, if the Award related to shares, the Award instead confers the right to receive common stock of the acquiring entity.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Amendment and Termination.</w:t>
      </w:r>
    </w:p>
    <w:p>
      <w:pPr>
        <w:spacing w:after="0" w:line="121"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The Board may amend, alter or terminate the Plan at any time, but no amendment, alteration or termination shall be made that would impair the rights of a Participant under any Award theretofore granted without such Participant’s consent. The Board shall obtain approval of the Company’s stockholders for any amendment that would require such approval in order to satisfy the requirements of any rules of the stock exchange on which the Common Stock is traded or other Applicable Law. The Administrator may amend the terms of any Award theretofore granted, prospectively or retroactively, but, subject to Section 5 and the immediately preceding sentence, no such amendment shall materially impair the rights of any Participant without his or her consent.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Unfunded Status of Plan.</w:t>
      </w:r>
    </w:p>
    <w:p>
      <w:pPr>
        <w:spacing w:after="0" w:line="121" w:lineRule="exact"/>
        <w:rPr>
          <w:sz w:val="20"/>
          <w:szCs w:val="20"/>
          <w:color w:val="auto"/>
        </w:rPr>
      </w:pPr>
    </w:p>
    <w:p>
      <w:pPr>
        <w:ind w:right="520" w:firstLine="881"/>
        <w:spacing w:after="0" w:line="264" w:lineRule="auto"/>
        <w:rPr>
          <w:sz w:val="20"/>
          <w:szCs w:val="20"/>
          <w:color w:val="auto"/>
        </w:rPr>
      </w:pPr>
      <w:r>
        <w:rPr>
          <w:rFonts w:ascii="Arial" w:cs="Arial" w:eastAsia="Arial" w:hAnsi="Arial"/>
          <w:sz w:val="18"/>
          <w:szCs w:val="18"/>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unsecured creditor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Withholding Taxes.</w:t>
      </w:r>
    </w:p>
    <w:p>
      <w:pPr>
        <w:spacing w:after="0" w:line="121" w:lineRule="exact"/>
        <w:rPr>
          <w:sz w:val="20"/>
          <w:szCs w:val="20"/>
          <w:color w:val="auto"/>
        </w:rPr>
      </w:pPr>
    </w:p>
    <w:p>
      <w:pPr>
        <w:ind w:right="40" w:firstLine="881"/>
        <w:spacing w:after="0" w:line="257" w:lineRule="auto"/>
        <w:rPr>
          <w:sz w:val="20"/>
          <w:szCs w:val="20"/>
          <w:color w:val="auto"/>
        </w:rPr>
      </w:pPr>
      <w:r>
        <w:rPr>
          <w:rFonts w:ascii="Arial" w:cs="Arial" w:eastAsia="Arial" w:hAnsi="Arial"/>
          <w:sz w:val="18"/>
          <w:szCs w:val="18"/>
          <w:color w:val="auto"/>
        </w:rPr>
        <w:t>Each Participant shall, no later than the date as of which the value of an Award first becomes includible in the gross income of such Participant for purposes of applicable taxes, pay to the Company, or make arrangements satisfactory to the Administrator regarding payment of, an amount up to the maximum statutory tax rates in the Participant’s applicable jurisdiction with respect to the Award, as determined by the Company. The obligations of the Company under the Plan shall be conditional on the making of such payments or arrangements, and the Company shall, to the extent permitted by Applicable Laws, have the right to deduct any such</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91" w:name="page92"/>
    <w:bookmarkEnd w:id="9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taxes from any payment of any kind otherwise due to such Participant. Whenever cash is to be paid pursuant to an Award, the Company shall have the right to deduct therefrom an amount sufficient to satisfy any applicable withholding tax requirements related thereto. Whenever Shares or property other than cash are to be delivered pursuant to an Award, the Company shall have the right to require the Participant to remit to the Company in cash an amount, or to withhold from delivery Shares or other property with a value, sufficient to satisfy any related taxes to be withheld and applied to the tax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with the approval of the Administrator, a Participant may satisfy the foregoing requirement by either (i) electing to have the Company withhold from delivery of Shares or other property, as applicable, or (ii) delivering already owned unrestricted shares of Common Stock, in each case, having a value not exceeding the applicable taxes to be withheld and applied to the tax obligations. Such already owned and unrestricted shares of Common Stock or Shares withheld from delivery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Applicable Laws, to satisfy its withholding obligation with respect to any Award.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Transfer of Awards.</w:t>
      </w:r>
    </w:p>
    <w:p>
      <w:pPr>
        <w:spacing w:after="0" w:line="121"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by any holder thereof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or other property underlying such Award. Unless otherwise determined by the Administrator, an Option or a Share Appreciation Right may be exercised, during the lifetime of the Participant, only by the Participant or, during any period during which the Participant is under a legal disability, by the Participant’s guardian or legal representative.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Continued Employment or Service.</w:t>
      </w:r>
    </w:p>
    <w:p>
      <w:pPr>
        <w:spacing w:after="0" w:line="121" w:lineRule="exact"/>
        <w:rPr>
          <w:sz w:val="20"/>
          <w:szCs w:val="20"/>
          <w:color w:val="auto"/>
        </w:rPr>
      </w:pPr>
    </w:p>
    <w:p>
      <w:pPr>
        <w:jc w:val="both"/>
        <w:ind w:right="180" w:firstLine="881"/>
        <w:spacing w:after="0" w:line="264" w:lineRule="auto"/>
        <w:rPr>
          <w:sz w:val="20"/>
          <w:szCs w:val="20"/>
          <w:color w:val="auto"/>
        </w:rPr>
      </w:pPr>
      <w:r>
        <w:rPr>
          <w:rFonts w:ascii="Arial" w:cs="Arial" w:eastAsia="Arial" w:hAnsi="Arial"/>
          <w:sz w:val="18"/>
          <w:szCs w:val="18"/>
          <w:color w:val="auto"/>
        </w:rPr>
        <w:t>Neither the adoption of the Plan nor the grant of an Award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19. Effective Date.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Plan was adopted by the Board on May 6, 2019 and shall become effective on the Separation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Electronic Signature.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Participant’s electronic signature of an Award Agreement shall have the same validity and effect as a signature affixed by hand.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Term of Plan.</w:t>
      </w:r>
    </w:p>
    <w:p>
      <w:pPr>
        <w:spacing w:after="0" w:line="121" w:lineRule="exact"/>
        <w:rPr>
          <w:sz w:val="20"/>
          <w:szCs w:val="20"/>
          <w:color w:val="auto"/>
        </w:rPr>
      </w:pPr>
    </w:p>
    <w:p>
      <w:pPr>
        <w:ind w:right="560" w:firstLine="881"/>
        <w:spacing w:after="0" w:line="277" w:lineRule="auto"/>
        <w:rPr>
          <w:sz w:val="20"/>
          <w:szCs w:val="20"/>
          <w:color w:val="auto"/>
        </w:rPr>
      </w:pPr>
      <w:r>
        <w:rPr>
          <w:rFonts w:ascii="Arial" w:cs="Arial" w:eastAsia="Arial" w:hAnsi="Arial"/>
          <w:sz w:val="18"/>
          <w:szCs w:val="18"/>
          <w:color w:val="auto"/>
        </w:rPr>
        <w:t>No Award shall be granted pursuant to the Plan on or after the tenth anniversary of the date of its adoption by the Board, but Awards theretofore granted may extend beyond that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Securities Matters and Regulations.</w:t>
      </w:r>
    </w:p>
    <w:p>
      <w:pPr>
        <w:spacing w:after="0" w:line="121" w:lineRule="exact"/>
        <w:rPr>
          <w:sz w:val="20"/>
          <w:szCs w:val="20"/>
          <w:color w:val="auto"/>
        </w:rPr>
      </w:pPr>
    </w:p>
    <w:p>
      <w:pPr>
        <w:ind w:right="20" w:firstLine="885"/>
        <w:spacing w:after="0" w:line="255" w:lineRule="auto"/>
        <w:tabs>
          <w:tab w:leader="none" w:pos="126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obligation of the Company to sell or deliver Shares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Administrator. The Administrator may require, as a condition of the issuance and delivery of certificates evidencing shares of Common Stock pursuant to the terms hereof, that the recipient of such shares make such agreements and representations, and that such certificates bear such legends, as the Administrator, in its sole discretion, deems necessary or advisable.</w:t>
      </w:r>
    </w:p>
    <w:p>
      <w:pPr>
        <w:spacing w:after="0" w:line="193" w:lineRule="exact"/>
        <w:rPr>
          <w:rFonts w:ascii="Arial" w:cs="Arial" w:eastAsia="Arial" w:hAnsi="Arial"/>
          <w:sz w:val="18"/>
          <w:szCs w:val="18"/>
          <w:color w:val="auto"/>
        </w:rPr>
      </w:pPr>
    </w:p>
    <w:p>
      <w:pPr>
        <w:ind w:right="80" w:firstLine="885"/>
        <w:spacing w:after="0" w:line="257" w:lineRule="auto"/>
        <w:tabs>
          <w:tab w:leader="none" w:pos="12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Award is subject to the requirement that, if at any time the Administrator determines that the listing, registration or qualification of Shares is required by any securities exchange or under any state or federal law, or the consent or approval of any governmental regulatory body is necessary or desirable as a condition of, or in connection with, the grant of an Award or the issuance of Shares, no such Award shall be granted or payment made or Shares issued, in whole or in part, unless listing, registration, qualification, consent or approval has been effected or obtained free of any conditions not acceptable to the Administrator.</w:t>
      </w:r>
    </w:p>
    <w:p>
      <w:pPr>
        <w:spacing w:after="0" w:line="188" w:lineRule="exact"/>
        <w:rPr>
          <w:rFonts w:ascii="Arial" w:cs="Arial" w:eastAsia="Arial" w:hAnsi="Arial"/>
          <w:sz w:val="18"/>
          <w:szCs w:val="18"/>
          <w:color w:val="auto"/>
        </w:rPr>
      </w:pPr>
    </w:p>
    <w:p>
      <w:pPr>
        <w:ind w:firstLine="885"/>
        <w:spacing w:after="0" w:line="257" w:lineRule="auto"/>
        <w:tabs>
          <w:tab w:leader="none" w:pos="126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0" w:right="4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23. Section 409A of the Code.</w:t>
      </w:r>
    </w:p>
    <w:p>
      <w:pPr>
        <w:spacing w:after="0" w:line="121" w:lineRule="exact"/>
        <w:rPr>
          <w:sz w:val="20"/>
          <w:szCs w:val="20"/>
          <w:color w:val="auto"/>
        </w:rPr>
      </w:pPr>
    </w:p>
    <w:p>
      <w:pPr>
        <w:ind w:firstLine="881"/>
        <w:spacing w:after="0" w:line="283" w:lineRule="auto"/>
        <w:rPr>
          <w:sz w:val="20"/>
          <w:szCs w:val="20"/>
          <w:color w:val="auto"/>
        </w:rPr>
      </w:pPr>
      <w:r>
        <w:rPr>
          <w:rFonts w:ascii="Arial" w:cs="Arial" w:eastAsia="Arial" w:hAnsi="Arial"/>
          <w:sz w:val="16"/>
          <w:szCs w:val="16"/>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death, if earlier). Each amount to be paid or benefit to be provided under the Plan shall be construed as a separate identified payment for purposes of Section 409A of the Code. The Company makes no representation that any or all of the payments or benefits described in the Plan will be exempt from or comply with</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Notification of Election Under Section 83(b) of the Code.</w:t>
      </w:r>
    </w:p>
    <w:p>
      <w:pPr>
        <w:spacing w:after="0" w:line="121" w:lineRule="exact"/>
        <w:rPr>
          <w:sz w:val="20"/>
          <w:szCs w:val="20"/>
          <w:color w:val="auto"/>
        </w:rPr>
      </w:pPr>
    </w:p>
    <w:p>
      <w:pPr>
        <w:jc w:val="both"/>
        <w:ind w:right="280" w:firstLine="881"/>
        <w:spacing w:after="0" w:line="264" w:lineRule="auto"/>
        <w:rPr>
          <w:sz w:val="20"/>
          <w:szCs w:val="20"/>
          <w:color w:val="auto"/>
        </w:rPr>
      </w:pPr>
      <w:r>
        <w:rPr>
          <w:rFonts w:ascii="Arial" w:cs="Arial" w:eastAsia="Arial" w:hAnsi="Arial"/>
          <w:sz w:val="18"/>
          <w:szCs w:val="18"/>
          <w:color w:val="auto"/>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No Fractional Shares.</w:t>
      </w:r>
    </w:p>
    <w:p>
      <w:pPr>
        <w:spacing w:after="0" w:line="121" w:lineRule="exact"/>
        <w:rPr>
          <w:sz w:val="20"/>
          <w:szCs w:val="20"/>
          <w:color w:val="auto"/>
        </w:rPr>
      </w:pPr>
    </w:p>
    <w:p>
      <w:pPr>
        <w:jc w:val="both"/>
        <w:ind w:right="220" w:firstLine="881"/>
        <w:spacing w:after="0" w:line="264" w:lineRule="auto"/>
        <w:rPr>
          <w:sz w:val="20"/>
          <w:szCs w:val="20"/>
          <w:color w:val="auto"/>
        </w:rPr>
      </w:pPr>
      <w:r>
        <w:rPr>
          <w:rFonts w:ascii="Arial" w:cs="Arial" w:eastAsia="Arial" w:hAnsi="Arial"/>
          <w:sz w:val="18"/>
          <w:szCs w:val="18"/>
          <w:color w:val="auto"/>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Beneficiary.</w:t>
      </w:r>
    </w:p>
    <w:p>
      <w:pPr>
        <w:spacing w:after="0" w:line="121" w:lineRule="exact"/>
        <w:rPr>
          <w:sz w:val="20"/>
          <w:szCs w:val="20"/>
          <w:color w:val="auto"/>
        </w:rPr>
      </w:pPr>
    </w:p>
    <w:p>
      <w:pPr>
        <w:jc w:val="both"/>
        <w:ind w:right="40" w:firstLine="881"/>
        <w:spacing w:after="0" w:line="264" w:lineRule="auto"/>
        <w:rPr>
          <w:sz w:val="20"/>
          <w:szCs w:val="20"/>
          <w:color w:val="auto"/>
        </w:rPr>
      </w:pPr>
      <w:r>
        <w:rPr>
          <w:rFonts w:ascii="Arial" w:cs="Arial" w:eastAsia="Arial" w:hAnsi="Arial"/>
          <w:sz w:val="18"/>
          <w:szCs w:val="18"/>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27. Paperless Administration.</w:t>
      </w:r>
    </w:p>
    <w:p>
      <w:pPr>
        <w:spacing w:after="0" w:line="121" w:lineRule="exact"/>
        <w:rPr>
          <w:sz w:val="20"/>
          <w:szCs w:val="20"/>
          <w:color w:val="auto"/>
        </w:rPr>
      </w:pPr>
    </w:p>
    <w:p>
      <w:pPr>
        <w:ind w:right="200" w:firstLine="881"/>
        <w:spacing w:after="0" w:line="286" w:lineRule="auto"/>
        <w:rPr>
          <w:sz w:val="20"/>
          <w:szCs w:val="20"/>
          <w:color w:val="auto"/>
        </w:rPr>
      </w:pPr>
      <w:r>
        <w:rPr>
          <w:rFonts w:ascii="Arial" w:cs="Arial" w:eastAsia="Arial" w:hAnsi="Arial"/>
          <w:sz w:val="17"/>
          <w:szCs w:val="17"/>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Severability.</w:t>
      </w:r>
    </w:p>
    <w:p>
      <w:pPr>
        <w:spacing w:after="0" w:line="121"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29. Applicable Policies.</w:t>
      </w:r>
    </w:p>
    <w:p>
      <w:pPr>
        <w:spacing w:after="0" w:line="121" w:lineRule="exact"/>
        <w:rPr>
          <w:sz w:val="20"/>
          <w:szCs w:val="20"/>
          <w:color w:val="auto"/>
        </w:rPr>
      </w:pPr>
    </w:p>
    <w:p>
      <w:pPr>
        <w:ind w:right="80" w:firstLine="881"/>
        <w:spacing w:after="0" w:line="308" w:lineRule="auto"/>
        <w:rPr>
          <w:sz w:val="20"/>
          <w:szCs w:val="20"/>
          <w:color w:val="auto"/>
        </w:rPr>
      </w:pPr>
      <w:r>
        <w:rPr>
          <w:rFonts w:ascii="Arial" w:cs="Arial" w:eastAsia="Arial" w:hAnsi="Arial"/>
          <w:sz w:val="17"/>
          <w:szCs w:val="17"/>
          <w:color w:val="auto"/>
        </w:rPr>
        <w:t>The Plan and all Awards and Shares issued hereunder shall be subject to the terms of the Company’s clawback policy, insider trading policy and/or share ownership guidelines, if any, in each case as may exist from time to time and pursuant to the terms thereunder.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 Governing Law.</w:t>
      </w:r>
    </w:p>
    <w:p>
      <w:pPr>
        <w:spacing w:after="0" w:line="121"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The Plan shall be governed by, and construed in accordance with, the laws of the State of Delaware, without giving effect to principles of conflicts of law of such state.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Indemnification.</w:t>
      </w:r>
    </w:p>
    <w:p>
      <w:pPr>
        <w:spacing w:after="0" w:line="121" w:lineRule="exact"/>
        <w:rPr>
          <w:sz w:val="20"/>
          <w:szCs w:val="20"/>
          <w:color w:val="auto"/>
        </w:rPr>
      </w:pPr>
    </w:p>
    <w:p>
      <w:pPr>
        <w:ind w:right="100" w:firstLine="881"/>
        <w:spacing w:after="0" w:line="270" w:lineRule="auto"/>
        <w:rPr>
          <w:sz w:val="20"/>
          <w:szCs w:val="20"/>
          <w:color w:val="auto"/>
        </w:rPr>
      </w:pPr>
      <w:r>
        <w:rPr>
          <w:rFonts w:ascii="Arial" w:cs="Arial" w:eastAsia="Arial" w:hAnsi="Arial"/>
          <w:sz w:val="17"/>
          <w:szCs w:val="17"/>
          <w:color w:val="auto"/>
        </w:rPr>
        <w:t>To the extent allowable pursuant to applicable law, each member of the Board and the Administrator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however, 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individuals may be entitled pursuant to the Company’s Certificate of Incorporation or Bylaws, as a matter of law, or otherwise, or any power that the Company may have to indemnify them or hold them harmless.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Titles and Headings, Statutory References.</w:t>
      </w:r>
    </w:p>
    <w:p>
      <w:pPr>
        <w:spacing w:after="0" w:line="121"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The titles and headings of the sections in the Plan are for convenience of reference only and, in the event of any conflict, the text of the Plan, rather than such titles or headings, shall control. References to sections of the Code, the Securities Act or the Exchange Act shall include any amendment or successor thereto.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0"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33. Successors.</w:t>
      </w:r>
    </w:p>
    <w:p>
      <w:pPr>
        <w:spacing w:after="0" w:line="121"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Relationship to other Benefits.</w:t>
      </w:r>
    </w:p>
    <w:p>
      <w:pPr>
        <w:spacing w:after="0" w:line="121"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ind w:right="1380"/>
        <w:spacing w:after="0" w:line="407" w:lineRule="auto"/>
        <w:rPr>
          <w:sz w:val="20"/>
          <w:szCs w:val="20"/>
          <w:color w:val="auto"/>
        </w:rPr>
      </w:pPr>
      <w:r>
        <w:rPr>
          <w:rFonts w:ascii="Arial" w:cs="Arial" w:eastAsia="Arial" w:hAnsi="Arial"/>
          <w:sz w:val="18"/>
          <w:szCs w:val="18"/>
          <w:b w:val="1"/>
          <w:bCs w:val="1"/>
          <w:color w:val="auto"/>
        </w:rPr>
        <w:t>FONDATION DE PREVOYANCE EN FAVEUR DU PERSONNEL DE DUPONT DE NEMOURS INTERNATIONAL SÀRL PENSION PLAN RULES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40" w:type="dxa"/>
            <w:vAlign w:val="bottom"/>
          </w:tcPr>
          <w:p>
            <w:pPr>
              <w:spacing w:after="0"/>
              <w:rPr>
                <w:sz w:val="20"/>
                <w:szCs w:val="20"/>
                <w:color w:val="auto"/>
              </w:rPr>
            </w:pPr>
            <w:r>
              <w:rPr>
                <w:rFonts w:ascii="Arial" w:cs="Arial" w:eastAsia="Arial" w:hAnsi="Arial"/>
                <w:sz w:val="14"/>
                <w:szCs w:val="14"/>
                <w:b w:val="1"/>
                <w:bCs w:val="1"/>
                <w:color w:val="auto"/>
              </w:rPr>
              <w:t>CONTENTS</w:t>
            </w:r>
          </w:p>
        </w:tc>
        <w:tc>
          <w:tcPr>
            <w:tcW w:w="698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540" w:type="dxa"/>
            <w:vAlign w:val="bottom"/>
          </w:tcPr>
          <w:p>
            <w:pPr>
              <w:spacing w:after="0"/>
              <w:rPr>
                <w:sz w:val="20"/>
                <w:szCs w:val="20"/>
                <w:color w:val="auto"/>
              </w:rPr>
            </w:pPr>
            <w:r>
              <w:rPr>
                <w:rFonts w:ascii="Arial" w:cs="Arial" w:eastAsia="Arial" w:hAnsi="Arial"/>
                <w:sz w:val="18"/>
                <w:szCs w:val="18"/>
                <w:color w:val="auto"/>
              </w:rPr>
              <w:t>INTRODUCTION</w:t>
            </w:r>
          </w:p>
        </w:tc>
        <w:tc>
          <w:tcPr>
            <w:tcW w:w="69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1</w:t>
            </w:r>
          </w:p>
        </w:tc>
        <w:tc>
          <w:tcPr>
            <w:tcW w:w="698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2</w:t>
            </w:r>
          </w:p>
        </w:tc>
        <w:tc>
          <w:tcPr>
            <w:tcW w:w="6980" w:type="dxa"/>
            <w:vAlign w:val="bottom"/>
          </w:tcPr>
          <w:p>
            <w:pPr>
              <w:ind w:left="200"/>
              <w:spacing w:after="0"/>
              <w:rPr>
                <w:sz w:val="20"/>
                <w:szCs w:val="20"/>
                <w:color w:val="auto"/>
              </w:rPr>
            </w:pPr>
            <w:r>
              <w:rPr>
                <w:rFonts w:ascii="Arial" w:cs="Arial" w:eastAsia="Arial" w:hAnsi="Arial"/>
                <w:sz w:val="18"/>
                <w:szCs w:val="18"/>
                <w:color w:val="auto"/>
              </w:rPr>
              <w:t>PARTICIPATION</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3</w:t>
            </w:r>
          </w:p>
        </w:tc>
        <w:tc>
          <w:tcPr>
            <w:tcW w:w="6980" w:type="dxa"/>
            <w:vAlign w:val="bottom"/>
          </w:tcPr>
          <w:p>
            <w:pPr>
              <w:ind w:left="200"/>
              <w:spacing w:after="0"/>
              <w:rPr>
                <w:sz w:val="20"/>
                <w:szCs w:val="20"/>
                <w:color w:val="auto"/>
              </w:rPr>
            </w:pPr>
            <w:r>
              <w:rPr>
                <w:rFonts w:ascii="Arial" w:cs="Arial" w:eastAsia="Arial" w:hAnsi="Arial"/>
                <w:sz w:val="18"/>
                <w:szCs w:val="18"/>
                <w:color w:val="auto"/>
              </w:rPr>
              <w:t>PARTICIPATION CREDIT</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4</w:t>
            </w:r>
          </w:p>
        </w:tc>
        <w:tc>
          <w:tcPr>
            <w:tcW w:w="698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5</w:t>
            </w:r>
          </w:p>
        </w:tc>
        <w:tc>
          <w:tcPr>
            <w:tcW w:w="6980" w:type="dxa"/>
            <w:vAlign w:val="bottom"/>
          </w:tcPr>
          <w:p>
            <w:pPr>
              <w:ind w:left="200"/>
              <w:spacing w:after="0"/>
              <w:rPr>
                <w:sz w:val="20"/>
                <w:szCs w:val="20"/>
                <w:color w:val="auto"/>
              </w:rPr>
            </w:pPr>
            <w:r>
              <w:rPr>
                <w:rFonts w:ascii="Arial" w:cs="Arial" w:eastAsia="Arial" w:hAnsi="Arial"/>
                <w:sz w:val="18"/>
                <w:szCs w:val="18"/>
                <w:color w:val="auto"/>
              </w:rPr>
              <w:t>RETIREMENT AND DISABILITY PENSIONS</w:t>
            </w: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6</w:t>
            </w:r>
          </w:p>
        </w:tc>
        <w:tc>
          <w:tcPr>
            <w:tcW w:w="6980" w:type="dxa"/>
            <w:vAlign w:val="bottom"/>
          </w:tcPr>
          <w:p>
            <w:pPr>
              <w:ind w:left="200"/>
              <w:spacing w:after="0"/>
              <w:rPr>
                <w:sz w:val="20"/>
                <w:szCs w:val="20"/>
                <w:color w:val="auto"/>
              </w:rPr>
            </w:pPr>
            <w:r>
              <w:rPr>
                <w:rFonts w:ascii="Arial" w:cs="Arial" w:eastAsia="Arial" w:hAnsi="Arial"/>
                <w:sz w:val="18"/>
                <w:szCs w:val="18"/>
                <w:color w:val="auto"/>
              </w:rPr>
              <w:t>SURVIVORS’ PENSIONS</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7</w:t>
            </w:r>
          </w:p>
        </w:tc>
        <w:tc>
          <w:tcPr>
            <w:tcW w:w="6980" w:type="dxa"/>
            <w:vAlign w:val="bottom"/>
          </w:tcPr>
          <w:p>
            <w:pPr>
              <w:ind w:left="200"/>
              <w:spacing w:after="0"/>
              <w:rPr>
                <w:sz w:val="20"/>
                <w:szCs w:val="20"/>
                <w:color w:val="auto"/>
              </w:rPr>
            </w:pPr>
            <w:r>
              <w:rPr>
                <w:rFonts w:ascii="Arial" w:cs="Arial" w:eastAsia="Arial" w:hAnsi="Arial"/>
                <w:sz w:val="18"/>
                <w:szCs w:val="18"/>
                <w:color w:val="auto"/>
              </w:rPr>
              <w:t>LUMP-SUM DEATH BENEFIT</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8</w:t>
            </w:r>
          </w:p>
        </w:tc>
        <w:tc>
          <w:tcPr>
            <w:tcW w:w="6980" w:type="dxa"/>
            <w:vAlign w:val="bottom"/>
          </w:tcPr>
          <w:p>
            <w:pPr>
              <w:ind w:left="200"/>
              <w:spacing w:after="0"/>
              <w:rPr>
                <w:sz w:val="20"/>
                <w:szCs w:val="20"/>
                <w:color w:val="auto"/>
              </w:rPr>
            </w:pPr>
            <w:r>
              <w:rPr>
                <w:rFonts w:ascii="Arial" w:cs="Arial" w:eastAsia="Arial" w:hAnsi="Arial"/>
                <w:sz w:val="18"/>
                <w:szCs w:val="18"/>
                <w:color w:val="auto"/>
              </w:rPr>
              <w:t>PORTABLE BENEFIT</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9</w:t>
            </w:r>
          </w:p>
        </w:tc>
        <w:tc>
          <w:tcPr>
            <w:tcW w:w="6980" w:type="dxa"/>
            <w:vAlign w:val="bottom"/>
          </w:tcPr>
          <w:p>
            <w:pPr>
              <w:ind w:left="200"/>
              <w:spacing w:after="0"/>
              <w:rPr>
                <w:sz w:val="20"/>
                <w:szCs w:val="20"/>
                <w:color w:val="auto"/>
              </w:rPr>
            </w:pPr>
            <w:r>
              <w:rPr>
                <w:rFonts w:ascii="Arial" w:cs="Arial" w:eastAsia="Arial" w:hAnsi="Arial"/>
                <w:sz w:val="18"/>
                <w:szCs w:val="18"/>
                <w:color w:val="auto"/>
              </w:rPr>
              <w:t>APPLICATION FOR AND PAYMENT OF PENSIONS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10</w:t>
            </w:r>
          </w:p>
        </w:tc>
        <w:tc>
          <w:tcPr>
            <w:tcW w:w="6980" w:type="dxa"/>
            <w:vAlign w:val="bottom"/>
          </w:tcPr>
          <w:p>
            <w:pPr>
              <w:ind w:left="200"/>
              <w:spacing w:after="0"/>
              <w:rPr>
                <w:sz w:val="20"/>
                <w:szCs w:val="20"/>
                <w:color w:val="auto"/>
              </w:rPr>
            </w:pPr>
            <w:r>
              <w:rPr>
                <w:rFonts w:ascii="Arial" w:cs="Arial" w:eastAsia="Arial" w:hAnsi="Arial"/>
                <w:sz w:val="18"/>
                <w:szCs w:val="18"/>
                <w:color w:val="auto"/>
              </w:rPr>
              <w:t>GENERAL RULES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11</w:t>
            </w:r>
          </w:p>
        </w:tc>
        <w:tc>
          <w:tcPr>
            <w:tcW w:w="6980" w:type="dxa"/>
            <w:vAlign w:val="bottom"/>
          </w:tcPr>
          <w:p>
            <w:pPr>
              <w:ind w:left="200"/>
              <w:spacing w:after="0"/>
              <w:rPr>
                <w:sz w:val="20"/>
                <w:szCs w:val="20"/>
                <w:color w:val="auto"/>
              </w:rPr>
            </w:pPr>
            <w:r>
              <w:rPr>
                <w:rFonts w:ascii="Arial" w:cs="Arial" w:eastAsia="Arial" w:hAnsi="Arial"/>
                <w:sz w:val="18"/>
                <w:szCs w:val="18"/>
                <w:color w:val="auto"/>
              </w:rPr>
              <w:t>DIVORCE</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SECTION 12</w:t>
            </w:r>
          </w:p>
        </w:tc>
        <w:tc>
          <w:tcPr>
            <w:tcW w:w="6980" w:type="dxa"/>
            <w:vAlign w:val="bottom"/>
          </w:tcPr>
          <w:p>
            <w:pPr>
              <w:ind w:left="200"/>
              <w:spacing w:after="0"/>
              <w:rPr>
                <w:sz w:val="20"/>
                <w:szCs w:val="20"/>
                <w:color w:val="auto"/>
              </w:rPr>
            </w:pPr>
            <w:r>
              <w:rPr>
                <w:rFonts w:ascii="Arial" w:cs="Arial" w:eastAsia="Arial" w:hAnsi="Arial"/>
                <w:sz w:val="18"/>
                <w:szCs w:val="18"/>
                <w:color w:val="auto"/>
              </w:rPr>
              <w:t>AMENDMENT OR TERMINATION OF THE PENSION PLAN</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Approved on 20 April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PENSION PLAN RULES</w:t>
      </w:r>
    </w:p>
    <w:p>
      <w:pPr>
        <w:sectPr>
          <w:pgSz w:w="11900" w:h="16838" w:orient="portrait"/>
          <w:cols w:equalWidth="0" w:num="1">
            <w:col w:w="11020"/>
          </w:cols>
          <w:pgMar w:left="440" w:top="121" w:right="439" w:bottom="1440" w:gutter="0" w:footer="0" w:header="0"/>
        </w:sectPr>
      </w:pPr>
    </w:p>
    <w:bookmarkStart w:id="97" w:name="page98"/>
    <w:bookmarkEnd w:id="97"/>
    <w:p>
      <w:pPr>
        <w:ind w:right="1520"/>
        <w:spacing w:after="0" w:line="37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FONDATION DE PREVOYANCE EN FAVEUR DU PERSONNEL DE DUPONT DE NEMOURS INTERNATIONAL SàrI INTRODUCTION</w:t>
      </w:r>
    </w:p>
    <w:p>
      <w:pPr>
        <w:ind w:right="60"/>
        <w:spacing w:after="0" w:line="255" w:lineRule="auto"/>
        <w:rPr>
          <w:sz w:val="20"/>
          <w:szCs w:val="20"/>
          <w:color w:val="auto"/>
        </w:rPr>
      </w:pPr>
      <w:r>
        <w:rPr>
          <w:rFonts w:ascii="Arial" w:cs="Arial" w:eastAsia="Arial" w:hAnsi="Arial"/>
          <w:sz w:val="18"/>
          <w:szCs w:val="18"/>
          <w:color w:val="auto"/>
        </w:rPr>
        <w:t>By deed dated January 25, 1962, DuPont de Nemours International Sàrl (hereinafter referred to as the Founder) has established a Foundation for the purpose of providing economic protection to its employees, their dependants and survivors, against the effects of old age, death and disability. This Foundation, which is organised under the provisions of the Swiss Civil Code, is known as the “Foundation for the Pension Plan of DuPont de Nemours International Sàrl” (hereinafter referred to as the Foundation). It is administered in accordance with the statutes by a board (hereinafter referred to as the Board of the Foundation) made up of representatives of the employer and of its active participants. Further to Article 6 of the deed of Foundation, the Board of the Foundation has adopted the regulations detailed below hereinafter referred to as the Plan) to supplement benefits payable under the various government plans.</w:t>
      </w:r>
    </w:p>
    <w:p>
      <w:pPr>
        <w:spacing w:after="0" w:line="18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Foundation for the Pension Plan of DuPont de Nemours International Sàr1 shall enforce the Swiss minimum compulsory legal requirements on pension plans. The Foundation is registered with the Geneva Cantonal Authority and undertakes to fulfil all LPP requirements, more especially the provisions on the administration of Individual Retirement Accounts and Termination benefits. In the event of any conflict with these Rules, the LPP legal provisions shall prevail.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Unless expressly stated otherwise, all references to persons in these regulations refer equally to both genders.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pension plan, the following definitions shall apply:</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Founder </w:t>
      </w:r>
      <w:r>
        <w:rPr>
          <w:rFonts w:ascii="Arial" w:cs="Arial" w:eastAsia="Arial" w:hAnsi="Arial"/>
          <w:sz w:val="16"/>
          <w:szCs w:val="16"/>
          <w:color w:val="auto"/>
        </w:rPr>
        <w:t>means DuPont de Nemours International Sàrl, represented by its Chairman or any of his delegated representatives.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 xml:space="preserve">Employer </w:t>
      </w:r>
      <w:r>
        <w:rPr>
          <w:rFonts w:ascii="Arial" w:cs="Arial" w:eastAsia="Arial" w:hAnsi="Arial"/>
          <w:sz w:val="16"/>
          <w:szCs w:val="16"/>
          <w:color w:val="auto"/>
        </w:rPr>
        <w:t>means the Founder and any Company affiliated to the Foundation.</w:t>
      </w:r>
    </w:p>
    <w:p>
      <w:pPr>
        <w:spacing w:after="0" w:line="131" w:lineRule="exact"/>
        <w:rPr>
          <w:sz w:val="20"/>
          <w:szCs w:val="20"/>
          <w:color w:val="auto"/>
        </w:rPr>
      </w:pPr>
    </w:p>
    <w:p>
      <w:pPr>
        <w:ind w:left="440" w:right="260" w:hanging="431"/>
        <w:spacing w:after="0" w:line="282" w:lineRule="auto"/>
        <w:tabs>
          <w:tab w:leader="none" w:pos="4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means any enterprise wholly owned by the Founder, E.I. DuPont de Nemours and Company or any of its wholly owned or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50% owned subsidiaries.</w:t>
      </w:r>
    </w:p>
    <w:p>
      <w:pPr>
        <w:spacing w:after="0" w:line="98"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020"/>
          </w:cols>
          <w:pgMar w:left="440" w:top="270" w:right="439" w:bottom="1440" w:gutter="0" w:footer="0" w:header="0"/>
        </w:sectPr>
      </w:pPr>
    </w:p>
    <w:bookmarkStart w:id="98" w:name="page99"/>
    <w:bookmarkEnd w:id="98"/>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r>
        <w:rPr>
          <w:sz w:val="20"/>
          <w:szCs w:val="20"/>
          <w:color w:val="auto"/>
        </w:rPr>
        <w:tab/>
      </w: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the Pension Plan for the Personnel of DuPont de Nemours International Sàrl as set forth, herein.</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 xml:space="preserve">Employee </w:t>
      </w:r>
      <w:r>
        <w:rPr>
          <w:rFonts w:ascii="Arial" w:cs="Arial" w:eastAsia="Arial" w:hAnsi="Arial"/>
          <w:sz w:val="16"/>
          <w:szCs w:val="16"/>
          <w:color w:val="auto"/>
        </w:rPr>
        <w:t>means any person who works for the employer.</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an Employee or a former Employee insured by the Foundation.</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color w:val="auto"/>
        </w:rPr>
        <w:t xml:space="preserve">Active Participant </w:t>
      </w:r>
      <w:r>
        <w:rPr>
          <w:rFonts w:ascii="Arial" w:cs="Arial" w:eastAsia="Arial" w:hAnsi="Arial"/>
          <w:sz w:val="16"/>
          <w:szCs w:val="16"/>
          <w:color w:val="auto"/>
        </w:rPr>
        <w:t>means an Employee insured by the Foundation.</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color w:val="auto"/>
        </w:rPr>
        <w:t xml:space="preserve">Disabled Participant </w:t>
      </w:r>
      <w:r>
        <w:rPr>
          <w:rFonts w:ascii="Arial" w:cs="Arial" w:eastAsia="Arial" w:hAnsi="Arial"/>
          <w:sz w:val="16"/>
          <w:szCs w:val="16"/>
          <w:color w:val="auto"/>
        </w:rPr>
        <w:t>means an insured recognised as disabled by the AI.</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 xml:space="preserve">Pensioner </w:t>
      </w:r>
      <w:r>
        <w:rPr>
          <w:rFonts w:ascii="Arial" w:cs="Arial" w:eastAsia="Arial" w:hAnsi="Arial"/>
          <w:sz w:val="16"/>
          <w:szCs w:val="16"/>
          <w:color w:val="auto"/>
        </w:rPr>
        <w:t>means a former Participant who has received a retirement pension from the Foundation.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Portable Benefit</w:t>
      </w:r>
      <w:r>
        <w:rPr>
          <w:rFonts w:ascii="Arial" w:cs="Arial" w:eastAsia="Arial" w:hAnsi="Arial"/>
          <w:sz w:val="18"/>
          <w:szCs w:val="18"/>
          <w:color w:val="auto"/>
        </w:rPr>
        <w:t xml:space="preserve"> means a capital amount to which a former Participant is entitled under the provisions of Section 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Surviving Spouse</w:t>
      </w:r>
      <w:r>
        <w:rPr>
          <w:rFonts w:ascii="Arial" w:cs="Arial" w:eastAsia="Arial" w:hAnsi="Arial"/>
          <w:sz w:val="18"/>
          <w:szCs w:val="18"/>
          <w:color w:val="auto"/>
        </w:rPr>
        <w:t xml:space="preserve"> means the surviving spouse of a deceased Participant.</w:t>
      </w:r>
    </w:p>
    <w:p>
      <w:pPr>
        <w:spacing w:after="0" w:line="131" w:lineRule="exact"/>
        <w:rPr>
          <w:sz w:val="20"/>
          <w:szCs w:val="20"/>
          <w:color w:val="auto"/>
        </w:rPr>
      </w:pPr>
    </w:p>
    <w:p>
      <w:pPr>
        <w:ind w:left="440" w:right="40" w:hanging="431"/>
        <w:spacing w:after="0" w:line="26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Registered partner of the same gender</w:t>
      </w:r>
      <w:r>
        <w:rPr>
          <w:rFonts w:ascii="Arial" w:cs="Arial" w:eastAsia="Arial" w:hAnsi="Arial"/>
          <w:sz w:val="18"/>
          <w:szCs w:val="18"/>
          <w:color w:val="auto"/>
        </w:rPr>
        <w:t>: A partnership registered under the federal law of June 18, 2004 regarding registered partnership is treated as a marriage. This applies in particular to the eligibility for lump sum benefits, for the right to survivor benefits and the sharing of pension assets in case of cancellation of the partnership.</w:t>
      </w:r>
    </w:p>
    <w:p>
      <w:pPr>
        <w:spacing w:after="0" w:line="82" w:lineRule="exact"/>
        <w:rPr>
          <w:sz w:val="20"/>
          <w:szCs w:val="20"/>
          <w:color w:val="auto"/>
        </w:rPr>
      </w:pPr>
    </w:p>
    <w:p>
      <w:pPr>
        <w:ind w:left="440" w:right="140" w:hanging="431"/>
        <w:spacing w:after="0" w:line="282"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Child</w:t>
      </w:r>
      <w:r>
        <w:rPr>
          <w:rFonts w:ascii="Arial" w:cs="Arial" w:eastAsia="Arial" w:hAnsi="Arial"/>
          <w:sz w:val="18"/>
          <w:szCs w:val="18"/>
          <w:color w:val="auto"/>
        </w:rPr>
        <w:t xml:space="preserve"> means the child in the sense of the Swiss Civil Code as well as a foster child for whom the Participant participated substantially to his care (or did at the time of the Participant’s death).</w:t>
      </w:r>
    </w:p>
    <w:p>
      <w:pPr>
        <w:spacing w:after="0" w:line="67" w:lineRule="exact"/>
        <w:rPr>
          <w:sz w:val="20"/>
          <w:szCs w:val="20"/>
          <w:color w:val="auto"/>
        </w:rPr>
      </w:pPr>
    </w:p>
    <w:p>
      <w:pPr>
        <w:ind w:left="440" w:right="360" w:hanging="431"/>
        <w:spacing w:after="0" w:line="282"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Orphan</w:t>
      </w:r>
      <w:r>
        <w:rPr>
          <w:rFonts w:ascii="Arial" w:cs="Arial" w:eastAsia="Arial" w:hAnsi="Arial"/>
          <w:sz w:val="18"/>
          <w:szCs w:val="18"/>
          <w:color w:val="auto"/>
        </w:rPr>
        <w:t xml:space="preserve"> means the child of a deceased Participant, which child is under age of 20, or 25 if receiving training as an apprentice or continuing in school as a full-time student.</w:t>
      </w:r>
    </w:p>
    <w:p>
      <w:pPr>
        <w:spacing w:after="0" w:line="67" w:lineRule="exact"/>
        <w:rPr>
          <w:sz w:val="20"/>
          <w:szCs w:val="20"/>
          <w:color w:val="auto"/>
        </w:rPr>
      </w:pPr>
    </w:p>
    <w:p>
      <w:pPr>
        <w:ind w:left="440" w:right="80" w:hanging="431"/>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Half Orphan</w:t>
      </w:r>
      <w:r>
        <w:rPr>
          <w:rFonts w:ascii="Arial" w:cs="Arial" w:eastAsia="Arial" w:hAnsi="Arial"/>
          <w:sz w:val="18"/>
          <w:szCs w:val="18"/>
          <w:color w:val="auto"/>
        </w:rPr>
        <w:t xml:space="preserve"> means an Orphan who has one surviving parent or stepparent. Remarriage of the surviving parent or stepparent shall not change the status of Half Orphan.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Whole Orphan</w:t>
      </w:r>
      <w:r>
        <w:rPr>
          <w:rFonts w:ascii="Arial" w:cs="Arial" w:eastAsia="Arial" w:hAnsi="Arial"/>
          <w:sz w:val="18"/>
          <w:szCs w:val="18"/>
          <w:color w:val="auto"/>
        </w:rPr>
        <w:t xml:space="preserve"> means an Orphan who, at any time, has neither living parent nor stepparent.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Survivor(s)</w:t>
      </w:r>
      <w:r>
        <w:rPr>
          <w:rFonts w:ascii="Arial" w:cs="Arial" w:eastAsia="Arial" w:hAnsi="Arial"/>
          <w:sz w:val="18"/>
          <w:szCs w:val="18"/>
          <w:color w:val="auto"/>
        </w:rPr>
        <w:t xml:space="preserve"> means the surviving Spouse and/or Orphan(s).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Heir(s)</w:t>
      </w:r>
      <w:r>
        <w:rPr>
          <w:rFonts w:ascii="Arial" w:cs="Arial" w:eastAsia="Arial" w:hAnsi="Arial"/>
          <w:sz w:val="18"/>
          <w:szCs w:val="18"/>
          <w:color w:val="auto"/>
        </w:rPr>
        <w:t xml:space="preserve"> means the heir(s) as described by the Swiss Civil Code.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Leave of Absence</w:t>
      </w:r>
      <w:r>
        <w:rPr>
          <w:rFonts w:ascii="Arial" w:cs="Arial" w:eastAsia="Arial" w:hAnsi="Arial"/>
          <w:sz w:val="18"/>
          <w:szCs w:val="18"/>
          <w:color w:val="auto"/>
        </w:rPr>
        <w:t xml:space="preserve"> means any absence approved in writing by the employer for a maximum of two years.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means the incapacity to work as recognised by the AI of at least 25%.</w:t>
      </w:r>
    </w:p>
    <w:p>
      <w:pPr>
        <w:spacing w:after="0" w:line="162"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020"/>
          </w:cols>
          <w:pgMar w:left="440" w:top="270"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1.21  </w:t>
      </w:r>
      <w:r>
        <w:rPr>
          <w:rFonts w:ascii="Arial" w:cs="Arial" w:eastAsia="Arial" w:hAnsi="Arial"/>
          <w:sz w:val="18"/>
          <w:szCs w:val="18"/>
          <w:b w:val="1"/>
          <w:bCs w:val="1"/>
          <w:color w:val="auto"/>
        </w:rPr>
        <w:t>Social Security</w:t>
      </w:r>
      <w:r>
        <w:rPr>
          <w:rFonts w:ascii="Arial" w:cs="Arial" w:eastAsia="Arial" w:hAnsi="Arial"/>
          <w:sz w:val="18"/>
          <w:szCs w:val="18"/>
          <w:color w:val="auto"/>
        </w:rPr>
        <w:t xml:space="preserve"> means the AVS and the AI.</w:t>
      </w:r>
    </w:p>
    <w:p>
      <w:pPr>
        <w:spacing w:after="0" w:line="131" w:lineRule="exact"/>
        <w:rPr>
          <w:sz w:val="20"/>
          <w:szCs w:val="20"/>
          <w:color w:val="auto"/>
        </w:rPr>
      </w:pPr>
    </w:p>
    <w:p>
      <w:pPr>
        <w:ind w:left="440" w:right="240" w:hanging="431"/>
        <w:spacing w:after="0" w:line="303"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color w:val="auto"/>
        </w:rPr>
        <w:t>Monthly pay</w:t>
      </w:r>
      <w:r>
        <w:rPr>
          <w:rFonts w:ascii="Arial" w:cs="Arial" w:eastAsia="Arial" w:hAnsi="Arial"/>
          <w:sz w:val="16"/>
          <w:szCs w:val="16"/>
          <w:color w:val="auto"/>
        </w:rPr>
        <w:t xml:space="preserve"> means the Participant’s monthly gross base salary, before deductions, based on his regular working schedule, or for part-time employees the schedule adjusted for average percentage time worked as specified in Section 1.25, as paid by the employer or paid from another source during an unpaid leave of absence in accordance with Section 3.2, plus an increment equal to 1/12 of said monthly gross salary to reflect the payment of a thirteenth month, but excluding any overtime, annual lump sum awards, family allowances, or other awards or perquisites.</w:t>
      </w:r>
    </w:p>
    <w:p>
      <w:pPr>
        <w:spacing w:after="0" w:line="47"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For sales employees rewarded under the Sales Incentive Compensation Policy (SICP), Monthly pay will be set as the Theoretical Monthly pay for pension purposes.</w:t>
      </w:r>
    </w:p>
    <w:p>
      <w:pPr>
        <w:spacing w:after="0" w:line="62"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Payments by the employer and by government or government-required sources made during a paid leave of absence shall be treated as Monthly Pay.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salary exceeding 10 times the maximum LPP salary shall not be taken into account under this Pension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Foundation does not insure the pay received by the Participant from another employer.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Social Security-Covered Pay</w:t>
      </w:r>
      <w:r>
        <w:rPr>
          <w:rFonts w:ascii="Arial" w:cs="Arial" w:eastAsia="Arial" w:hAnsi="Arial"/>
          <w:sz w:val="18"/>
          <w:szCs w:val="18"/>
          <w:color w:val="auto"/>
        </w:rPr>
        <w:t xml:space="preserve"> means that portion of Monthly Pay, which equals 100% of the monthly individual AVS pension.</w:t>
      </w:r>
    </w:p>
    <w:p>
      <w:pPr>
        <w:spacing w:after="0" w:line="131" w:lineRule="exact"/>
        <w:rPr>
          <w:sz w:val="20"/>
          <w:szCs w:val="20"/>
          <w:color w:val="auto"/>
        </w:rPr>
      </w:pPr>
    </w:p>
    <w:p>
      <w:pPr>
        <w:ind w:left="440" w:right="320" w:hanging="431"/>
        <w:spacing w:after="0" w:line="282"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Pension-Bearing Pay</w:t>
      </w:r>
      <w:r>
        <w:rPr>
          <w:rFonts w:ascii="Arial" w:cs="Arial" w:eastAsia="Arial" w:hAnsi="Arial"/>
          <w:sz w:val="18"/>
          <w:szCs w:val="18"/>
          <w:color w:val="auto"/>
        </w:rPr>
        <w:t xml:space="preserve"> means that portion of Monthly Pay in excess of Social Security-Covered Pay. Pension Bearing Pay is not reduced in the event of an increase in the maximum AVS pension according to Section 1.23.</w:t>
      </w:r>
    </w:p>
    <w:p>
      <w:pPr>
        <w:spacing w:after="0" w:line="67" w:lineRule="exact"/>
        <w:rPr>
          <w:sz w:val="20"/>
          <w:szCs w:val="20"/>
          <w:color w:val="auto"/>
        </w:rPr>
      </w:pPr>
    </w:p>
    <w:p>
      <w:pPr>
        <w:ind w:left="440" w:right="80" w:hanging="431"/>
        <w:spacing w:after="0" w:line="274"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b w:val="1"/>
          <w:bCs w:val="1"/>
          <w:color w:val="auto"/>
        </w:rPr>
        <w:t>Final Three-Year Pension-Bearing Pay</w:t>
      </w:r>
      <w:r>
        <w:rPr>
          <w:rFonts w:ascii="Arial" w:cs="Arial" w:eastAsia="Arial" w:hAnsi="Arial"/>
          <w:sz w:val="17"/>
          <w:szCs w:val="17"/>
          <w:color w:val="auto"/>
        </w:rPr>
        <w:t xml:space="preserve"> means average Pension-Bearing Pay during the final 36 months, or actual number of months if less than 36, in which Monthly Pay was received. For purposes of determining this average only, Pension-Bearing Pay applicable to each month of paid Leave of Absence shall be calculated in accordance with Section 1.24. However, the base Monthly Pay shall not be less than the Monthly Pay earned for the last complete month immediately preceding the paid Leave of Absence. The Final Three-Year Pension-Bearing Pay of employees working or having worked part-time will correspond to the amount calculated assuming an activity rate of 100% and be adjusted on the basis of the average percentage of time worked during the entire duration of the Participation Credit.</w:t>
      </w:r>
    </w:p>
    <w:p>
      <w:pPr>
        <w:spacing w:after="0" w:line="79" w:lineRule="exact"/>
        <w:rPr>
          <w:sz w:val="20"/>
          <w:szCs w:val="20"/>
          <w:color w:val="auto"/>
        </w:rPr>
      </w:pPr>
    </w:p>
    <w:p>
      <w:pPr>
        <w:ind w:left="440" w:right="460" w:hanging="431"/>
        <w:spacing w:after="0" w:line="2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Participation Credit</w:t>
      </w:r>
      <w:r>
        <w:rPr>
          <w:rFonts w:ascii="Arial" w:cs="Arial" w:eastAsia="Arial" w:hAnsi="Arial"/>
          <w:sz w:val="18"/>
          <w:szCs w:val="18"/>
          <w:color w:val="auto"/>
        </w:rPr>
        <w:t xml:space="preserve"> means the sum of months in which Pension-Bearing Pay applies, increased by purchase of benefits in accordance with Section 4.3 and reduced by withdrawal to finance home ownership or withdrawal due to a divorce.</w:t>
      </w:r>
    </w:p>
    <w:p>
      <w:pPr>
        <w:spacing w:after="0" w:line="98"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020"/>
          </w:cols>
          <w:pgMar w:left="440" w:top="270"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1.27  </w:t>
      </w:r>
      <w:r>
        <w:rPr>
          <w:rFonts w:ascii="Arial" w:cs="Arial" w:eastAsia="Arial" w:hAnsi="Arial"/>
          <w:sz w:val="18"/>
          <w:szCs w:val="18"/>
          <w:b w:val="1"/>
          <w:bCs w:val="1"/>
          <w:color w:val="auto"/>
        </w:rPr>
        <w:t>Normal Retirement Date</w:t>
      </w:r>
      <w:r>
        <w:rPr>
          <w:rFonts w:ascii="Arial" w:cs="Arial" w:eastAsia="Arial" w:hAnsi="Arial"/>
          <w:sz w:val="18"/>
          <w:szCs w:val="18"/>
          <w:color w:val="auto"/>
        </w:rPr>
        <w:t xml:space="preserve"> means the first day of the calendar month following the date at which the Participant attains age 65.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b w:val="1"/>
          <w:bCs w:val="1"/>
          <w:color w:val="auto"/>
        </w:rPr>
        <w:t>Effective Date of Retirement</w:t>
      </w:r>
      <w:r>
        <w:rPr>
          <w:rFonts w:ascii="Arial" w:cs="Arial" w:eastAsia="Arial" w:hAnsi="Arial"/>
          <w:sz w:val="18"/>
          <w:szCs w:val="18"/>
          <w:color w:val="auto"/>
        </w:rPr>
        <w:t xml:space="preserve"> means the first day of the calendar month in which actual retirement with pension occurs.</w:t>
      </w:r>
    </w:p>
    <w:p>
      <w:pPr>
        <w:spacing w:after="0" w:line="131" w:lineRule="exact"/>
        <w:rPr>
          <w:sz w:val="20"/>
          <w:szCs w:val="20"/>
          <w:color w:val="auto"/>
        </w:rPr>
      </w:pPr>
    </w:p>
    <w:p>
      <w:pPr>
        <w:ind w:left="440" w:right="740" w:hanging="431"/>
        <w:spacing w:after="0" w:line="28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LPP</w:t>
      </w:r>
      <w:r>
        <w:rPr>
          <w:rFonts w:ascii="Arial" w:cs="Arial" w:eastAsia="Arial" w:hAnsi="Arial"/>
          <w:sz w:val="18"/>
          <w:szCs w:val="18"/>
          <w:color w:val="auto"/>
        </w:rPr>
        <w:t xml:space="preserve"> means the Swiss Federal Law on Retirement, Dependants and Disability Pensions of June 25, 1982, and any relevant implementing regulations.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b w:val="1"/>
          <w:bCs w:val="1"/>
          <w:color w:val="auto"/>
        </w:rPr>
        <w:t>AVS</w:t>
      </w:r>
      <w:r>
        <w:rPr>
          <w:rFonts w:ascii="Arial" w:cs="Arial" w:eastAsia="Arial" w:hAnsi="Arial"/>
          <w:sz w:val="18"/>
          <w:szCs w:val="18"/>
          <w:color w:val="auto"/>
        </w:rPr>
        <w:t xml:space="preserve"> means the Swiss old-age and survivors’ insurance established by the federal law of December 20, 1946.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AVS</w:t>
      </w:r>
      <w:r>
        <w:rPr>
          <w:rFonts w:ascii="Arial" w:cs="Arial" w:eastAsia="Arial" w:hAnsi="Arial"/>
          <w:sz w:val="18"/>
          <w:szCs w:val="18"/>
          <w:color w:val="auto"/>
        </w:rPr>
        <w:t xml:space="preserve"> Retirement Age means age 65 for men and age 64 for women.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AI</w:t>
      </w:r>
      <w:r>
        <w:rPr>
          <w:rFonts w:ascii="Arial" w:cs="Arial" w:eastAsia="Arial" w:hAnsi="Arial"/>
          <w:sz w:val="18"/>
          <w:szCs w:val="18"/>
          <w:color w:val="auto"/>
        </w:rPr>
        <w:t xml:space="preserve"> means the Swiss disability insurance established by the federal law of June 19, 1959.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PARTICIPATION</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This Defined Benefit Pension plan covers all employees who were Active Participants as at 30 June 2012 in the Foundation.</w:t>
      </w:r>
    </w:p>
    <w:p>
      <w:pPr>
        <w:spacing w:after="0" w:line="131" w:lineRule="exact"/>
        <w:rPr>
          <w:sz w:val="20"/>
          <w:szCs w:val="20"/>
          <w:color w:val="auto"/>
        </w:rPr>
      </w:pPr>
    </w:p>
    <w:p>
      <w:pPr>
        <w:ind w:left="440" w:right="80" w:hanging="431"/>
        <w:spacing w:after="0" w:line="277" w:lineRule="auto"/>
        <w:tabs>
          <w:tab w:leader="none" w:pos="420" w:val="left"/>
        </w:tabs>
        <w:rPr>
          <w:sz w:val="20"/>
          <w:szCs w:val="20"/>
          <w:color w:val="auto"/>
        </w:rPr>
      </w:pPr>
      <w:r>
        <w:rPr>
          <w:rFonts w:ascii="Arial" w:cs="Arial" w:eastAsia="Arial" w:hAnsi="Arial"/>
          <w:sz w:val="18"/>
          <w:szCs w:val="18"/>
          <w:color w:val="auto"/>
        </w:rPr>
        <w:t>2.2</w:t>
        <w:tab/>
        <w:t>Participation ceases as of termination of employment when the employee leaves the Foundation; Section 8.5 a) remains applicable in the case of a transfer of the employee to a Group company while maintaining the Participation Credit already acquired.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PARTICIPATION CREDIT</w:t>
      </w:r>
    </w:p>
    <w:p>
      <w:pPr>
        <w:spacing w:after="0" w:line="135" w:lineRule="exact"/>
        <w:rPr>
          <w:sz w:val="20"/>
          <w:szCs w:val="20"/>
          <w:color w:val="auto"/>
        </w:rPr>
      </w:pPr>
    </w:p>
    <w:p>
      <w:pPr>
        <w:ind w:left="440" w:right="20" w:hanging="431"/>
        <w:spacing w:after="0" w:line="259" w:lineRule="auto"/>
        <w:tabs>
          <w:tab w:leader="none" w:pos="420" w:val="left"/>
        </w:tabs>
        <w:rPr>
          <w:sz w:val="20"/>
          <w:szCs w:val="20"/>
          <w:color w:val="auto"/>
        </w:rPr>
      </w:pPr>
      <w:r>
        <w:rPr>
          <w:rFonts w:ascii="Arial" w:cs="Arial" w:eastAsia="Arial" w:hAnsi="Arial"/>
          <w:sz w:val="18"/>
          <w:szCs w:val="18"/>
          <w:color w:val="auto"/>
        </w:rPr>
        <w:t>3.1</w:t>
        <w:tab/>
        <w:t>An active Participant shall receive Participation Credit for each month in which he receives Pension-Bearing Pay. For employees working or having worked part-time, an example is illustrated in the attachment 6 to the present rules. In order to calculate the average and amount of benefits in case of disability or death, future insurance years are taken into consideration on the basis of the part-time worked at the time of such disability or death.</w:t>
      </w:r>
    </w:p>
    <w:p>
      <w:pPr>
        <w:spacing w:after="0" w:line="79" w:lineRule="exact"/>
        <w:rPr>
          <w:sz w:val="20"/>
          <w:szCs w:val="20"/>
          <w:color w:val="auto"/>
        </w:rPr>
      </w:pPr>
    </w:p>
    <w:p>
      <w:pPr>
        <w:ind w:left="440" w:right="760"/>
        <w:spacing w:after="0" w:line="277" w:lineRule="auto"/>
        <w:rPr>
          <w:sz w:val="20"/>
          <w:szCs w:val="20"/>
          <w:color w:val="auto"/>
        </w:rPr>
      </w:pPr>
      <w:r>
        <w:rPr>
          <w:rFonts w:ascii="Arial" w:cs="Arial" w:eastAsia="Arial" w:hAnsi="Arial"/>
          <w:sz w:val="18"/>
          <w:szCs w:val="18"/>
          <w:color w:val="auto"/>
        </w:rPr>
        <w:t>The Participation Credit is increased by purchase of benefits in accordance with Section 4.3 and reduced by withdrawal to finance home ownership or withdrawal due to a divorce.</w:t>
      </w:r>
    </w:p>
    <w:p>
      <w:pPr>
        <w:spacing w:after="0" w:line="10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020"/>
          </w:cols>
          <w:pgMar w:left="440" w:top="270" w:right="439" w:bottom="1440" w:gutter="0" w:footer="0" w:header="0"/>
        </w:sectPr>
      </w:pPr>
    </w:p>
    <w:bookmarkStart w:id="101" w:name="page102"/>
    <w:bookmarkEnd w:id="101"/>
    <w:p>
      <w:pPr>
        <w:ind w:left="440" w:right="400" w:hanging="431"/>
        <w:spacing w:after="0" w:line="264"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w:t>
        <w:tab/>
        <w:t>An active Participant placed on unpaid Leave of Absence while temporarily performing duties outside the employer at its request and with its approval who continues to contribute shall receive Participation Credit for such periods on the basis of Pension-Bearing Pay calculated in accordance with Sections 1.23 and 1.24.</w:t>
      </w:r>
    </w:p>
    <w:p>
      <w:pPr>
        <w:spacing w:after="0" w:line="87" w:lineRule="exact"/>
        <w:rPr>
          <w:sz w:val="20"/>
          <w:szCs w:val="20"/>
          <w:color w:val="auto"/>
        </w:rPr>
      </w:pPr>
    </w:p>
    <w:p>
      <w:pPr>
        <w:ind w:left="440" w:right="380" w:hanging="431"/>
        <w:spacing w:after="0" w:line="277" w:lineRule="auto"/>
        <w:tabs>
          <w:tab w:leader="none" w:pos="420" w:val="left"/>
        </w:tabs>
        <w:rPr>
          <w:sz w:val="20"/>
          <w:szCs w:val="20"/>
          <w:color w:val="auto"/>
        </w:rPr>
      </w:pPr>
      <w:r>
        <w:rPr>
          <w:rFonts w:ascii="Arial" w:cs="Arial" w:eastAsia="Arial" w:hAnsi="Arial"/>
          <w:sz w:val="18"/>
          <w:szCs w:val="18"/>
          <w:color w:val="auto"/>
        </w:rPr>
        <w:t>3.3</w:t>
        <w:tab/>
        <w:t>An active Participant placed on unpaid Leave of Absence who ceases to contribute shall also cease to receive Participation Credit but he shall retain all Participation Credit previously accrued.</w:t>
      </w:r>
    </w:p>
    <w:p>
      <w:pPr>
        <w:spacing w:after="0" w:line="76" w:lineRule="exact"/>
        <w:rPr>
          <w:sz w:val="20"/>
          <w:szCs w:val="20"/>
          <w:color w:val="auto"/>
        </w:rPr>
      </w:pPr>
    </w:p>
    <w:p>
      <w:pPr>
        <w:ind w:left="440" w:right="140" w:hanging="431"/>
        <w:spacing w:after="0" w:line="264" w:lineRule="auto"/>
        <w:tabs>
          <w:tab w:leader="none" w:pos="420" w:val="left"/>
        </w:tabs>
        <w:rPr>
          <w:sz w:val="20"/>
          <w:szCs w:val="20"/>
          <w:color w:val="auto"/>
        </w:rPr>
      </w:pPr>
      <w:r>
        <w:rPr>
          <w:rFonts w:ascii="Arial" w:cs="Arial" w:eastAsia="Arial" w:hAnsi="Arial"/>
          <w:sz w:val="18"/>
          <w:szCs w:val="18"/>
          <w:color w:val="auto"/>
        </w:rPr>
        <w:t>3.4</w:t>
        <w:tab/>
        <w:t>A Participant who becomes disabled as defined in Section 1.20 shall be granted a Disability pension under Section 5.5 and remains eligible for survivor benefits. He will benefit from a Participation Credit for the period during which he receives a disability pension pro rata to the degree of the AI.</w:t>
      </w:r>
    </w:p>
    <w:p>
      <w:pPr>
        <w:spacing w:after="0" w:line="87" w:lineRule="exact"/>
        <w:rPr>
          <w:sz w:val="20"/>
          <w:szCs w:val="20"/>
          <w:color w:val="auto"/>
        </w:rPr>
      </w:pPr>
    </w:p>
    <w:p>
      <w:pPr>
        <w:jc w:val="both"/>
        <w:ind w:left="440" w:right="380" w:hanging="431"/>
        <w:spacing w:after="0" w:line="264" w:lineRule="auto"/>
        <w:tabs>
          <w:tab w:leader="none" w:pos="420" w:val="left"/>
        </w:tabs>
        <w:rPr>
          <w:sz w:val="20"/>
          <w:szCs w:val="20"/>
          <w:color w:val="auto"/>
        </w:rPr>
      </w:pPr>
      <w:r>
        <w:rPr>
          <w:rFonts w:ascii="Arial" w:cs="Arial" w:eastAsia="Arial" w:hAnsi="Arial"/>
          <w:sz w:val="18"/>
          <w:szCs w:val="18"/>
          <w:color w:val="auto"/>
        </w:rPr>
        <w:t>3.5</w:t>
        <w:tab/>
        <w:t>An Employee transferred to the employer from a Group Company may, subject to the approval of the Board of the Foundation acting on prior notice of the employer, receive credit for all prior continuous participation in one or more pension plans of Group Companies in determining employee and survivor benefit participation eligibility under this Plan.</w:t>
      </w:r>
    </w:p>
    <w:p>
      <w:pPr>
        <w:spacing w:after="0" w:line="87" w:lineRule="exact"/>
        <w:rPr>
          <w:sz w:val="20"/>
          <w:szCs w:val="20"/>
          <w:color w:val="auto"/>
        </w:rPr>
      </w:pPr>
    </w:p>
    <w:p>
      <w:pPr>
        <w:ind w:left="440" w:right="240" w:hanging="431"/>
        <w:spacing w:after="0" w:line="264" w:lineRule="auto"/>
        <w:tabs>
          <w:tab w:leader="none" w:pos="420" w:val="left"/>
        </w:tabs>
        <w:rPr>
          <w:sz w:val="20"/>
          <w:szCs w:val="20"/>
          <w:color w:val="auto"/>
        </w:rPr>
      </w:pPr>
      <w:r>
        <w:rPr>
          <w:rFonts w:ascii="Arial" w:cs="Arial" w:eastAsia="Arial" w:hAnsi="Arial"/>
          <w:sz w:val="18"/>
          <w:szCs w:val="18"/>
          <w:color w:val="auto"/>
        </w:rPr>
        <w:t>3.6</w:t>
        <w:tab/>
        <w:t>Prior Participation Credit, in addition to that acquired as a Participant, may be granted by the Board of the Foundation on prior notice of the employer. Unless otherwise specified in this Plan, the Board of the Foundation on prior notice of the employer shall determine Pension-Bearing Pay applicable to grants of Participation credit.</w:t>
      </w:r>
    </w:p>
    <w:p>
      <w:pPr>
        <w:spacing w:after="0" w:line="87" w:lineRule="exact"/>
        <w:rPr>
          <w:sz w:val="20"/>
          <w:szCs w:val="20"/>
          <w:color w:val="auto"/>
        </w:rPr>
      </w:pPr>
    </w:p>
    <w:p>
      <w:pPr>
        <w:ind w:left="440" w:right="120" w:hanging="431"/>
        <w:spacing w:after="0" w:line="264" w:lineRule="auto"/>
        <w:tabs>
          <w:tab w:leader="none" w:pos="420" w:val="left"/>
        </w:tabs>
        <w:rPr>
          <w:sz w:val="20"/>
          <w:szCs w:val="20"/>
          <w:color w:val="auto"/>
        </w:rPr>
      </w:pPr>
      <w:r>
        <w:rPr>
          <w:rFonts w:ascii="Arial" w:cs="Arial" w:eastAsia="Arial" w:hAnsi="Arial"/>
          <w:sz w:val="18"/>
          <w:szCs w:val="18"/>
          <w:color w:val="auto"/>
        </w:rPr>
        <w:t>3.7</w:t>
        <w:tab/>
        <w:t>Apprentices shall receive Participation Credit for periods of contractual apprenticeship carried out at the employer after age 20 upon attaining the status of Employee. The pension for such periods shall be calculated on the same basis as the Monthly Pay actually paid to the employee as a Participant.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 CONTRIBUTIONS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Participant Contributions</w:t>
      </w:r>
    </w:p>
    <w:p>
      <w:pPr>
        <w:spacing w:after="0" w:line="135" w:lineRule="exact"/>
        <w:rPr>
          <w:sz w:val="20"/>
          <w:szCs w:val="20"/>
          <w:color w:val="auto"/>
        </w:rPr>
      </w:pPr>
    </w:p>
    <w:p>
      <w:pPr>
        <w:ind w:left="860" w:right="40" w:hanging="424"/>
        <w:spacing w:after="0" w:line="277" w:lineRule="auto"/>
        <w:tabs>
          <w:tab w:leader="none" w:pos="8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Active Participants shall contribute to this Plan an amount equal to 8% of Pension-Bearing Pay. Whenever possible, payroll deductions shall be utilised to obtain the contributions and will be transmitted by the employer to the Foundation.</w:t>
      </w:r>
    </w:p>
    <w:p>
      <w:pPr>
        <w:spacing w:after="0" w:line="10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020"/>
          </w:cols>
          <w:pgMar w:left="440" w:top="274" w:right="439" w:bottom="1440" w:gutter="0" w:footer="0" w:header="0"/>
        </w:sectPr>
      </w:pPr>
    </w:p>
    <w:bookmarkStart w:id="102" w:name="page103"/>
    <w:bookmarkEnd w:id="102"/>
    <w:p>
      <w:pPr>
        <w:ind w:left="860" w:right="180" w:hanging="424"/>
        <w:spacing w:after="0" w:line="277" w:lineRule="auto"/>
        <w:tabs>
          <w:tab w:leader="none" w:pos="8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who become disabled as defined in Section 1.20 shall have no obligation to make contributions to the Plan after their Monthly Pay ceases. Such obligation shall resume should they again receive Monthly Pay.</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Employer Contributions</w:t>
      </w:r>
    </w:p>
    <w:p>
      <w:pPr>
        <w:spacing w:after="0" w:line="121" w:lineRule="exact"/>
        <w:rPr>
          <w:sz w:val="20"/>
          <w:szCs w:val="20"/>
          <w:color w:val="auto"/>
        </w:rPr>
      </w:pPr>
    </w:p>
    <w:p>
      <w:pPr>
        <w:ind w:left="440" w:right="860"/>
        <w:spacing w:after="0" w:line="277" w:lineRule="auto"/>
        <w:rPr>
          <w:sz w:val="20"/>
          <w:szCs w:val="20"/>
          <w:color w:val="auto"/>
        </w:rPr>
      </w:pPr>
      <w:r>
        <w:rPr>
          <w:rFonts w:ascii="Arial" w:cs="Arial" w:eastAsia="Arial" w:hAnsi="Arial"/>
          <w:sz w:val="18"/>
          <w:szCs w:val="18"/>
          <w:color w:val="auto"/>
        </w:rPr>
        <w:t>The employer’s contributions shall be at least equal to the aggregate contributions paid by Participants. They may be withdrawn by the Foundation, from contributions reserves accounted for and destined for this use.</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color w:val="auto"/>
        </w:rPr>
        <w:t>Buying in of benefits</w:t>
      </w:r>
    </w:p>
    <w:p>
      <w:pPr>
        <w:spacing w:after="0" w:line="135" w:lineRule="exact"/>
        <w:rPr>
          <w:sz w:val="20"/>
          <w:szCs w:val="20"/>
          <w:color w:val="auto"/>
        </w:rPr>
      </w:pPr>
    </w:p>
    <w:p>
      <w:pPr>
        <w:ind w:left="860" w:right="720" w:hanging="424"/>
        <w:spacing w:after="0" w:line="277" w:lineRule="auto"/>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active Participants must transfer in the Foundation their portable benefits from their previous pension funds and from any other recognized institutions.</w:t>
      </w:r>
    </w:p>
    <w:p>
      <w:pPr>
        <w:spacing w:after="0" w:line="62" w:lineRule="exact"/>
        <w:rPr>
          <w:rFonts w:ascii="Arial" w:cs="Arial" w:eastAsia="Arial" w:hAnsi="Arial"/>
          <w:sz w:val="18"/>
          <w:szCs w:val="18"/>
          <w:color w:val="auto"/>
        </w:rPr>
      </w:pPr>
    </w:p>
    <w:p>
      <w:pPr>
        <w:ind w:left="880" w:right="160"/>
        <w:spacing w:after="0" w:line="277" w:lineRule="auto"/>
        <w:rPr>
          <w:rFonts w:ascii="Arial" w:cs="Arial" w:eastAsia="Arial" w:hAnsi="Arial"/>
          <w:sz w:val="18"/>
          <w:szCs w:val="18"/>
          <w:color w:val="auto"/>
        </w:rPr>
      </w:pPr>
      <w:r>
        <w:rPr>
          <w:rFonts w:ascii="Arial" w:cs="Arial" w:eastAsia="Arial" w:hAnsi="Arial"/>
          <w:sz w:val="18"/>
          <w:szCs w:val="18"/>
          <w:color w:val="auto"/>
        </w:rPr>
        <w:t>If the transfer is made within 6 months after the date of entry in the Foundation, these portable benefits will be used to buy in participation credits, according to the table of present value of annual pension published in attachment 1.</w:t>
      </w:r>
    </w:p>
    <w:p>
      <w:pPr>
        <w:spacing w:after="0" w:line="62" w:lineRule="exact"/>
        <w:rPr>
          <w:rFonts w:ascii="Arial" w:cs="Arial" w:eastAsia="Arial" w:hAnsi="Arial"/>
          <w:sz w:val="18"/>
          <w:szCs w:val="18"/>
          <w:color w:val="auto"/>
        </w:rPr>
      </w:pPr>
    </w:p>
    <w:p>
      <w:pPr>
        <w:ind w:left="880"/>
        <w:spacing w:after="0" w:line="342" w:lineRule="auto"/>
        <w:rPr>
          <w:rFonts w:ascii="Arial" w:cs="Arial" w:eastAsia="Arial" w:hAnsi="Arial"/>
          <w:sz w:val="18"/>
          <w:szCs w:val="18"/>
          <w:color w:val="auto"/>
        </w:rPr>
      </w:pPr>
      <w:r>
        <w:rPr>
          <w:rFonts w:ascii="Arial" w:cs="Arial" w:eastAsia="Arial" w:hAnsi="Arial"/>
          <w:sz w:val="16"/>
          <w:szCs w:val="16"/>
          <w:color w:val="auto"/>
        </w:rPr>
        <w:t>If the transfer is made after the 6 months following the date of entry in the Foundation, these portable benefits will be kept in the Foundation in favour of the Participant and credited with an interest equal to this credited on voluntary contributions, according to Section 4.4 C.</w:t>
      </w:r>
    </w:p>
    <w:p>
      <w:pPr>
        <w:spacing w:after="0" w:line="1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Any excess of portable benefits will be transferred to a blocked account with a recognized institution.</w:t>
      </w:r>
    </w:p>
    <w:p>
      <w:pPr>
        <w:spacing w:after="0" w:line="130" w:lineRule="exact"/>
        <w:rPr>
          <w:rFonts w:ascii="Arial" w:cs="Arial" w:eastAsia="Arial" w:hAnsi="Arial"/>
          <w:sz w:val="18"/>
          <w:szCs w:val="18"/>
          <w:color w:val="auto"/>
        </w:rPr>
      </w:pPr>
    </w:p>
    <w:p>
      <w:pPr>
        <w:ind w:left="860" w:right="140" w:hanging="424"/>
        <w:spacing w:after="0" w:line="297" w:lineRule="auto"/>
        <w:tabs>
          <w:tab w:leader="none" w:pos="8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active Participants may also buy in additional participation credit, by submitting, within 6 months joining the Foundation, a financial plan outlining such buying in, which must be scrupulously followed or any future participation credit that the Participant committed to buy could no longer be acquired. This buying in of participation credit will be made according to the table of actual annual values published as attachment 1. The total buying in of participation credits may not exceed the normal retirement pension, which would have been accumulated in participating to the present plan as from the age of 20. The number of years of participation credit cannot exceed 45.</w:t>
      </w:r>
    </w:p>
    <w:p>
      <w:pPr>
        <w:spacing w:after="0" w:line="50"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All remaining amounts to be paid from financial plans for the buying in of benefits can be financed by a one time-payment.</w:t>
      </w:r>
    </w:p>
    <w:p>
      <w:pPr>
        <w:spacing w:after="0" w:line="117" w:lineRule="exact"/>
        <w:rPr>
          <w:rFonts w:ascii="Arial" w:cs="Arial" w:eastAsia="Arial" w:hAnsi="Arial"/>
          <w:sz w:val="16"/>
          <w:szCs w:val="16"/>
          <w:color w:val="auto"/>
        </w:rPr>
      </w:pPr>
    </w:p>
    <w:p>
      <w:pPr>
        <w:ind w:left="880" w:right="500"/>
        <w:spacing w:after="0" w:line="277" w:lineRule="auto"/>
        <w:rPr>
          <w:rFonts w:ascii="Arial" w:cs="Arial" w:eastAsia="Arial" w:hAnsi="Arial"/>
          <w:sz w:val="16"/>
          <w:szCs w:val="16"/>
          <w:color w:val="auto"/>
        </w:rPr>
      </w:pPr>
      <w:r>
        <w:rPr>
          <w:rFonts w:ascii="Arial" w:cs="Arial" w:eastAsia="Arial" w:hAnsi="Arial"/>
          <w:sz w:val="18"/>
          <w:szCs w:val="18"/>
          <w:color w:val="auto"/>
        </w:rPr>
        <w:t>During an unpaid Leave of Absence, the active Participant must make the payments according to his financing plan. Failing them, the financing plan will end.</w:t>
      </w:r>
    </w:p>
    <w:p>
      <w:pPr>
        <w:spacing w:after="0" w:line="10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020"/>
          </w:cols>
          <w:pgMar w:left="440" w:top="274" w:right="439" w:bottom="1440" w:gutter="0" w:footer="0" w:header="0"/>
        </w:sectPr>
      </w:pPr>
    </w:p>
    <w:bookmarkStart w:id="103" w:name="page104"/>
    <w:bookmarkEnd w:id="103"/>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w:t>
      </w:r>
      <w:r>
        <w:rPr>
          <w:sz w:val="20"/>
          <w:szCs w:val="20"/>
          <w:color w:val="auto"/>
        </w:rPr>
        <w:tab/>
      </w:r>
      <w:r>
        <w:rPr>
          <w:rFonts w:ascii="Arial" w:cs="Arial" w:eastAsia="Arial" w:hAnsi="Arial"/>
          <w:sz w:val="16"/>
          <w:szCs w:val="16"/>
          <w:b w:val="1"/>
          <w:bCs w:val="1"/>
          <w:color w:val="auto"/>
        </w:rPr>
        <w:t>Voluntary contributions from Participants</w:t>
      </w:r>
    </w:p>
    <w:p>
      <w:pPr>
        <w:spacing w:after="0" w:line="121" w:lineRule="exact"/>
        <w:rPr>
          <w:sz w:val="20"/>
          <w:szCs w:val="20"/>
          <w:color w:val="auto"/>
        </w:rPr>
      </w:pPr>
    </w:p>
    <w:p>
      <w:pPr>
        <w:ind w:left="440" w:right="20"/>
        <w:spacing w:after="0" w:line="264" w:lineRule="auto"/>
        <w:rPr>
          <w:sz w:val="20"/>
          <w:szCs w:val="20"/>
          <w:color w:val="auto"/>
        </w:rPr>
      </w:pPr>
      <w:r>
        <w:rPr>
          <w:rFonts w:ascii="Arial" w:cs="Arial" w:eastAsia="Arial" w:hAnsi="Arial"/>
          <w:sz w:val="18"/>
          <w:szCs w:val="18"/>
          <w:color w:val="auto"/>
        </w:rPr>
        <w:t>Any active participant who has been a Participant of the Foundation for more than 6 months and who has already completed the payment schedule he committed to for buying benefits according to Section 4.3 B may make voluntary contributions to the Foundation in order to buy complementary pension benefits.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active Participant on unpaid Leave of Absence who ceases to contribute can not make voluntary contributions during the Leave of Absence.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calculation of the present value of the accrued pension, the number of years of participation credit cannot exceed 45.</w:t>
      </w:r>
    </w:p>
    <w:p>
      <w:pPr>
        <w:spacing w:after="0" w:line="131" w:lineRule="exact"/>
        <w:rPr>
          <w:sz w:val="20"/>
          <w:szCs w:val="20"/>
          <w:color w:val="auto"/>
        </w:rPr>
      </w:pPr>
    </w:p>
    <w:p>
      <w:pPr>
        <w:ind w:left="860" w:hanging="424"/>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maximum amount for these voluntary contributions is equal to the difference between the following two amounts:</w:t>
      </w:r>
    </w:p>
    <w:p>
      <w:pPr>
        <w:spacing w:after="0" w:line="130" w:lineRule="exact"/>
        <w:rPr>
          <w:rFonts w:ascii="Arial" w:cs="Arial" w:eastAsia="Arial" w:hAnsi="Arial"/>
          <w:sz w:val="18"/>
          <w:szCs w:val="18"/>
          <w:color w:val="auto"/>
        </w:rPr>
      </w:pPr>
    </w:p>
    <w:p>
      <w:pPr>
        <w:ind w:left="1420" w:right="120" w:hanging="538"/>
        <w:spacing w:after="0" w:line="277" w:lineRule="auto"/>
        <w:tabs>
          <w:tab w:leader="none" w:pos="1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Present value of maximum accrued pension, with participation credit calculated from age 20 until the date of payment, based on the pensionable salary and present value factor at the date of payment (see attachment 1).</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Present value of accrued pension plus voluntary contributions with interest accrued at the date of payment.</w:t>
      </w:r>
    </w:p>
    <w:p>
      <w:pPr>
        <w:spacing w:after="0" w:line="130" w:lineRule="exact"/>
        <w:rPr>
          <w:rFonts w:ascii="Arial" w:cs="Arial" w:eastAsia="Arial" w:hAnsi="Arial"/>
          <w:sz w:val="18"/>
          <w:szCs w:val="18"/>
          <w:color w:val="auto"/>
        </w:rPr>
      </w:pPr>
    </w:p>
    <w:p>
      <w:pPr>
        <w:ind w:left="860" w:right="600" w:hanging="424"/>
        <w:spacing w:after="0" w:line="342" w:lineRule="auto"/>
        <w:tabs>
          <w:tab w:leader="none" w:pos="8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Active Participants, who made voluntary contributions up to the maximum amount according to Section 4.4 A, may make additional contributions into a separate account to pre-finance the reduction of benefits resulting from early retirement (retirement account).</w:t>
      </w:r>
    </w:p>
    <w:p>
      <w:pPr>
        <w:spacing w:after="0" w:line="15" w:lineRule="exact"/>
        <w:rPr>
          <w:rFonts w:ascii="Arial" w:cs="Arial" w:eastAsia="Arial" w:hAnsi="Arial"/>
          <w:sz w:val="16"/>
          <w:szCs w:val="16"/>
          <w:color w:val="auto"/>
        </w:rPr>
      </w:pPr>
    </w:p>
    <w:p>
      <w:pPr>
        <w:ind w:left="880" w:right="40"/>
        <w:spacing w:after="0" w:line="259" w:lineRule="auto"/>
        <w:rPr>
          <w:rFonts w:ascii="Arial" w:cs="Arial" w:eastAsia="Arial" w:hAnsi="Arial"/>
          <w:sz w:val="16"/>
          <w:szCs w:val="16"/>
          <w:color w:val="auto"/>
        </w:rPr>
      </w:pPr>
      <w:r>
        <w:rPr>
          <w:rFonts w:ascii="Arial" w:cs="Arial" w:eastAsia="Arial" w:hAnsi="Arial"/>
          <w:sz w:val="18"/>
          <w:szCs w:val="18"/>
          <w:color w:val="auto"/>
        </w:rPr>
        <w:t>The maximum value in this account is equal to the amount required to allow a Participant to retire as early as from age 58 with the same pension he would have received at normal retirement age (based on the same pensionable salary at the retirement date). The exact amount is calculated using the actuarial basis adopted by the Foundation on the calculation date (an example is illustrated in the attachment 5 to the present rules).</w:t>
      </w:r>
    </w:p>
    <w:p>
      <w:pPr>
        <w:spacing w:after="0" w:line="78" w:lineRule="exact"/>
        <w:rPr>
          <w:rFonts w:ascii="Arial" w:cs="Arial" w:eastAsia="Arial" w:hAnsi="Arial"/>
          <w:sz w:val="16"/>
          <w:szCs w:val="16"/>
          <w:color w:val="auto"/>
        </w:rPr>
      </w:pPr>
    </w:p>
    <w:p>
      <w:pPr>
        <w:ind w:left="880" w:right="40"/>
        <w:spacing w:after="0" w:line="277" w:lineRule="auto"/>
        <w:rPr>
          <w:rFonts w:ascii="Arial" w:cs="Arial" w:eastAsia="Arial" w:hAnsi="Arial"/>
          <w:sz w:val="16"/>
          <w:szCs w:val="16"/>
          <w:color w:val="auto"/>
        </w:rPr>
      </w:pPr>
      <w:r>
        <w:rPr>
          <w:rFonts w:ascii="Arial" w:cs="Arial" w:eastAsia="Arial" w:hAnsi="Arial"/>
          <w:sz w:val="18"/>
          <w:szCs w:val="18"/>
          <w:color w:val="auto"/>
        </w:rPr>
        <w:t>If a Participant has pre-financed the entire reduction of his retirement pension and continues to work for the employer beyond the retirement age initially planned, the Participant and the employer stop making contributions.</w:t>
      </w:r>
    </w:p>
    <w:p>
      <w:pPr>
        <w:spacing w:after="0" w:line="62" w:lineRule="exact"/>
        <w:rPr>
          <w:rFonts w:ascii="Arial" w:cs="Arial" w:eastAsia="Arial" w:hAnsi="Arial"/>
          <w:sz w:val="16"/>
          <w:szCs w:val="16"/>
          <w:color w:val="auto"/>
        </w:rPr>
      </w:pPr>
    </w:p>
    <w:p>
      <w:pPr>
        <w:ind w:left="880" w:right="220"/>
        <w:spacing w:after="0" w:line="308" w:lineRule="auto"/>
        <w:rPr>
          <w:rFonts w:ascii="Arial" w:cs="Arial" w:eastAsia="Arial" w:hAnsi="Arial"/>
          <w:sz w:val="16"/>
          <w:szCs w:val="16"/>
          <w:color w:val="auto"/>
        </w:rPr>
      </w:pPr>
      <w:r>
        <w:rPr>
          <w:rFonts w:ascii="Arial" w:cs="Arial" w:eastAsia="Arial" w:hAnsi="Arial"/>
          <w:sz w:val="17"/>
          <w:szCs w:val="17"/>
          <w:color w:val="auto"/>
        </w:rPr>
        <w:t>The retirement pension of a Participant, who has pre-financed the reduction of his pension and doesn’t retire at the retirement age initially planned, shall be reduced to the extent that it exceeds 105% of the projected pension for Normal Retirement Date.</w:t>
      </w:r>
    </w:p>
    <w:p>
      <w:pPr>
        <w:spacing w:after="0" w:line="79"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7</w:t>
      </w:r>
    </w:p>
    <w:p>
      <w:pPr>
        <w:sectPr>
          <w:pgSz w:w="11900" w:h="16838" w:orient="portrait"/>
          <w:cols w:equalWidth="0" w:num="1">
            <w:col w:w="11020"/>
          </w:cols>
          <w:pgMar w:left="440" w:top="270" w:right="439" w:bottom="1440" w:gutter="0" w:footer="0" w:header="0"/>
        </w:sectPr>
      </w:pPr>
    </w:p>
    <w:bookmarkStart w:id="104" w:name="page105"/>
    <w:bookmarkEnd w:id="104"/>
    <w:p>
      <w:pPr>
        <w:ind w:left="860" w:hanging="424"/>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interest credited on the voluntary contributions will be calculated as follows:</w:t>
      </w:r>
    </w:p>
    <w:p>
      <w:pPr>
        <w:spacing w:after="0" w:line="130" w:lineRule="exact"/>
        <w:rPr>
          <w:rFonts w:ascii="Arial" w:cs="Arial" w:eastAsia="Arial" w:hAnsi="Arial"/>
          <w:sz w:val="18"/>
          <w:szCs w:val="18"/>
          <w:color w:val="auto"/>
        </w:rPr>
      </w:pPr>
    </w:p>
    <w:p>
      <w:pPr>
        <w:ind w:left="1420" w:right="240" w:hanging="538"/>
        <w:spacing w:after="0" w:line="264" w:lineRule="auto"/>
        <w:tabs>
          <w:tab w:leader="none" w:pos="14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all voluntary contributions made on or after March 1</w:t>
      </w:r>
      <w:r>
        <w:rPr>
          <w:rFonts w:ascii="Arial" w:cs="Arial" w:eastAsia="Arial" w:hAnsi="Arial"/>
          <w:sz w:val="15"/>
          <w:szCs w:val="15"/>
          <w:color w:val="auto"/>
        </w:rPr>
        <w:t>st</w:t>
      </w:r>
      <w:r>
        <w:rPr>
          <w:rFonts w:ascii="Arial" w:cs="Arial" w:eastAsia="Arial" w:hAnsi="Arial"/>
          <w:sz w:val="18"/>
          <w:szCs w:val="18"/>
          <w:color w:val="auto"/>
        </w:rPr>
        <w:t xml:space="preserve"> 2012, the interest will be credited based on the rolling average net investment return of the whole Foundation over the previous 5 calendar years, less 0.15% to cover administration charges. Should the rolling return calculation be negative, zero interest credit will be applied.</w:t>
      </w:r>
    </w:p>
    <w:p>
      <w:pPr>
        <w:spacing w:after="0" w:line="86" w:lineRule="exact"/>
        <w:rPr>
          <w:rFonts w:ascii="Arial" w:cs="Arial" w:eastAsia="Arial" w:hAnsi="Arial"/>
          <w:sz w:val="18"/>
          <w:szCs w:val="18"/>
          <w:color w:val="auto"/>
        </w:rPr>
      </w:pPr>
    </w:p>
    <w:p>
      <w:pPr>
        <w:ind w:left="1420" w:right="160" w:hanging="538"/>
        <w:spacing w:after="0" w:line="264" w:lineRule="auto"/>
        <w:tabs>
          <w:tab w:leader="none" w:pos="14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all voluntary contributions made prior to March 1</w:t>
      </w:r>
      <w:r>
        <w:rPr>
          <w:rFonts w:ascii="Arial" w:cs="Arial" w:eastAsia="Arial" w:hAnsi="Arial"/>
          <w:sz w:val="15"/>
          <w:szCs w:val="15"/>
          <w:color w:val="auto"/>
        </w:rPr>
        <w:t>st</w:t>
      </w:r>
      <w:r>
        <w:rPr>
          <w:rFonts w:ascii="Arial" w:cs="Arial" w:eastAsia="Arial" w:hAnsi="Arial"/>
          <w:sz w:val="18"/>
          <w:szCs w:val="18"/>
          <w:color w:val="auto"/>
        </w:rPr>
        <w:t xml:space="preserve"> 2012, along with all interest credited to these funds: the interest credited on these voluntary contributions is equal to the net return of the whole Foundation portfolio less 1% for administration fees and investment risks, subject to at least the minimum LPP interest rate.</w:t>
      </w:r>
    </w:p>
    <w:p>
      <w:pPr>
        <w:spacing w:after="0" w:line="73" w:lineRule="exact"/>
        <w:rPr>
          <w:sz w:val="20"/>
          <w:szCs w:val="20"/>
          <w:color w:val="auto"/>
        </w:rPr>
      </w:pPr>
    </w:p>
    <w:p>
      <w:pPr>
        <w:ind w:left="880" w:right="320"/>
        <w:spacing w:after="0" w:line="277" w:lineRule="auto"/>
        <w:rPr>
          <w:sz w:val="20"/>
          <w:szCs w:val="20"/>
          <w:color w:val="auto"/>
        </w:rPr>
      </w:pPr>
      <w:r>
        <w:rPr>
          <w:rFonts w:ascii="Arial" w:cs="Arial" w:eastAsia="Arial" w:hAnsi="Arial"/>
          <w:sz w:val="18"/>
          <w:szCs w:val="18"/>
          <w:color w:val="auto"/>
        </w:rPr>
        <w:t>The interest credited is subject to the discretion of the Board of the Foundation, which retains the right to withhold any interest credit on voluntary contributions if such an interest credit would risk the financial stability of the overall fund.</w:t>
      </w:r>
    </w:p>
    <w:p>
      <w:pPr>
        <w:spacing w:after="0" w:line="76" w:lineRule="exact"/>
        <w:rPr>
          <w:sz w:val="20"/>
          <w:szCs w:val="20"/>
          <w:color w:val="auto"/>
        </w:rPr>
      </w:pPr>
    </w:p>
    <w:p>
      <w:pPr>
        <w:ind w:left="860" w:hanging="424"/>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These voluntary contributions give eligibility to the following benefits:</w:t>
      </w:r>
    </w:p>
    <w:p>
      <w:pPr>
        <w:spacing w:after="0" w:line="130" w:lineRule="exact"/>
        <w:rPr>
          <w:rFonts w:ascii="Arial" w:cs="Arial" w:eastAsia="Arial" w:hAnsi="Arial"/>
          <w:sz w:val="18"/>
          <w:szCs w:val="18"/>
          <w:color w:val="auto"/>
        </w:rPr>
      </w:pPr>
    </w:p>
    <w:p>
      <w:pPr>
        <w:ind w:left="1420" w:right="460" w:hanging="538"/>
        <w:spacing w:after="0" w:line="279" w:lineRule="auto"/>
        <w:tabs>
          <w:tab w:leader="none" w:pos="142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At the normal or early retirement date, to a pension, the amount of which is calculated based on the accumulated capital plus interests and attachment 2. The Participant may request the payment of all or part of this pension as a lump sum. The request is irrevocable and must reach the Board of the Foundation at least three months before the normal or early retirement date. If the Participant is married, the spouse’s signature is required for a lump sum payment.</w:t>
      </w:r>
    </w:p>
    <w:p>
      <w:pPr>
        <w:spacing w:after="0" w:line="76" w:lineRule="exact"/>
        <w:rPr>
          <w:rFonts w:ascii="Arial" w:cs="Arial" w:eastAsia="Arial" w:hAnsi="Arial"/>
          <w:sz w:val="17"/>
          <w:szCs w:val="17"/>
          <w:color w:val="auto"/>
        </w:rPr>
      </w:pPr>
    </w:p>
    <w:p>
      <w:pPr>
        <w:ind w:left="1420" w:right="200" w:hanging="538"/>
        <w:spacing w:after="0" w:line="264" w:lineRule="auto"/>
        <w:tabs>
          <w:tab w:leader="none" w:pos="14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the case of disability as defined in Section 1.20, to an accumulated capital plus interests at the time of disability, when the Foundation begins the payment of the disability pension. If the Participant is married, the spouse’s signature is required for a lump sum payment.</w:t>
      </w:r>
    </w:p>
    <w:p>
      <w:pPr>
        <w:spacing w:after="0" w:line="86" w:lineRule="exact"/>
        <w:rPr>
          <w:rFonts w:ascii="Arial" w:cs="Arial" w:eastAsia="Arial" w:hAnsi="Arial"/>
          <w:sz w:val="18"/>
          <w:szCs w:val="18"/>
          <w:color w:val="auto"/>
        </w:rPr>
      </w:pPr>
    </w:p>
    <w:p>
      <w:pPr>
        <w:ind w:left="1420" w:right="600" w:hanging="538"/>
        <w:spacing w:after="0" w:line="277" w:lineRule="auto"/>
        <w:tabs>
          <w:tab w:leader="none" w:pos="14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case of death before retirement date, to an accumulated capital plus interests to be paid to survivors at the time of death, in accordance with Section 7.1.</w:t>
      </w:r>
    </w:p>
    <w:p>
      <w:pPr>
        <w:spacing w:after="0" w:line="75" w:lineRule="exact"/>
        <w:rPr>
          <w:rFonts w:ascii="Arial" w:cs="Arial" w:eastAsia="Arial" w:hAnsi="Arial"/>
          <w:sz w:val="18"/>
          <w:szCs w:val="18"/>
          <w:color w:val="auto"/>
        </w:rPr>
      </w:pPr>
    </w:p>
    <w:p>
      <w:pPr>
        <w:ind w:left="1420" w:right="80" w:hanging="538"/>
        <w:spacing w:after="0" w:line="277" w:lineRule="auto"/>
        <w:tabs>
          <w:tab w:leader="none" w:pos="14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Should the Participant leave the employment of the employer, the accumulated capital plus interests would be paid in addition to the benefit defined in Section 8, as of his leaving from the Foundation.</w:t>
      </w:r>
    </w:p>
    <w:p>
      <w:pPr>
        <w:spacing w:after="0" w:line="10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8</w:t>
      </w:r>
    </w:p>
    <w:p>
      <w:pPr>
        <w:sectPr>
          <w:pgSz w:w="11900" w:h="16838" w:orient="portrait"/>
          <w:cols w:equalWidth="0" w:num="1">
            <w:col w:w="11020"/>
          </w:cols>
          <w:pgMar w:left="440" w:top="274" w:right="439" w:bottom="1440" w:gutter="0" w:footer="0" w:header="0"/>
        </w:sectPr>
      </w:pPr>
    </w:p>
    <w:bookmarkStart w:id="105" w:name="page106"/>
    <w:bookmarkEnd w:id="105"/>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w:t>
      </w:r>
      <w:r>
        <w:rPr>
          <w:sz w:val="20"/>
          <w:szCs w:val="20"/>
          <w:color w:val="auto"/>
        </w:rPr>
        <w:tab/>
      </w:r>
      <w:r>
        <w:rPr>
          <w:rFonts w:ascii="Arial" w:cs="Arial" w:eastAsia="Arial" w:hAnsi="Arial"/>
          <w:sz w:val="16"/>
          <w:szCs w:val="16"/>
          <w:b w:val="1"/>
          <w:bCs w:val="1"/>
          <w:color w:val="auto"/>
        </w:rPr>
        <w:t>General provisions for buying in benefits and voluntary contributions</w:t>
      </w:r>
    </w:p>
    <w:p>
      <w:pPr>
        <w:spacing w:after="0" w:line="135" w:lineRule="exact"/>
        <w:rPr>
          <w:sz w:val="20"/>
          <w:szCs w:val="20"/>
          <w:color w:val="auto"/>
        </w:rPr>
      </w:pPr>
    </w:p>
    <w:p>
      <w:pPr>
        <w:ind w:left="860" w:right="780" w:hanging="424"/>
        <w:spacing w:after="0" w:line="277" w:lineRule="auto"/>
        <w:tabs>
          <w:tab w:leader="none" w:pos="8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Participant must transfer in the Foundation all his vested benefits from previous pension funds and from any other recognized institutions before he can buy in benefits and/or make voluntary contributions.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maximum amounts for buying in benefits and making voluntary contributions will be offset by:</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accrued assets from 3rd pillar a by independent persons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vested benefits from previous pension funds which could not have been transferred in the Foundation.</w:t>
      </w:r>
    </w:p>
    <w:p>
      <w:pPr>
        <w:spacing w:after="0" w:line="130" w:lineRule="exact"/>
        <w:rPr>
          <w:rFonts w:ascii="Arial" w:cs="Arial" w:eastAsia="Arial" w:hAnsi="Arial"/>
          <w:sz w:val="18"/>
          <w:szCs w:val="18"/>
          <w:color w:val="auto"/>
        </w:rPr>
      </w:pPr>
    </w:p>
    <w:p>
      <w:pPr>
        <w:ind w:left="860" w:right="520" w:hanging="424"/>
        <w:spacing w:after="0" w:line="277" w:lineRule="auto"/>
        <w:tabs>
          <w:tab w:leader="none" w:pos="8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Benefits resulting from additional contributions as defined in Sections 4.3 B and 4.4 cannot be paid as a lump sum before a three year waiting period from receipt of payment.</w:t>
      </w:r>
    </w:p>
    <w:p>
      <w:pPr>
        <w:spacing w:after="0" w:line="75" w:lineRule="exact"/>
        <w:rPr>
          <w:rFonts w:ascii="Arial" w:cs="Arial" w:eastAsia="Arial" w:hAnsi="Arial"/>
          <w:sz w:val="18"/>
          <w:szCs w:val="18"/>
          <w:color w:val="auto"/>
        </w:rPr>
      </w:pPr>
    </w:p>
    <w:p>
      <w:pPr>
        <w:ind w:left="860" w:right="180" w:hanging="424"/>
        <w:spacing w:after="0" w:line="264" w:lineRule="auto"/>
        <w:tabs>
          <w:tab w:leader="none" w:pos="8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When anticipated payments have been made to finance home ownership, additional contributions as defined in Sections 4.3 B and 4.4 will be first considered as a reimbursement of these anticipated payments, and only amounts above these anticipated payments as a true voluntary contribution.</w:t>
      </w:r>
    </w:p>
    <w:p>
      <w:pPr>
        <w:spacing w:after="0" w:line="86" w:lineRule="exact"/>
        <w:rPr>
          <w:rFonts w:ascii="Arial" w:cs="Arial" w:eastAsia="Arial" w:hAnsi="Arial"/>
          <w:sz w:val="18"/>
          <w:szCs w:val="18"/>
          <w:color w:val="auto"/>
        </w:rPr>
      </w:pPr>
    </w:p>
    <w:p>
      <w:pPr>
        <w:ind w:left="860" w:right="40" w:hanging="424"/>
        <w:spacing w:after="0" w:line="259" w:lineRule="auto"/>
        <w:tabs>
          <w:tab w:leader="none" w:pos="8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Participants coming from abroad and who have never been affiliated to a Swiss pension plan, the maximum voluntary contributions as defined in Section 4.3 B and Section 4.4 cannot exceed 20% of the pensionable salary for the 5 years following their date of entry in a Swiss pension fund. The limit of 20% does not apply when the transfer is made directly from a foreign pension plan and the employee does not claim any fiscal advantages on the transferred amount.</w:t>
      </w:r>
    </w:p>
    <w:p>
      <w:pPr>
        <w:spacing w:after="0" w:line="8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Underfunding</w:t>
      </w:r>
    </w:p>
    <w:p>
      <w:pPr>
        <w:spacing w:after="0" w:line="135" w:lineRule="exact"/>
        <w:rPr>
          <w:sz w:val="20"/>
          <w:szCs w:val="20"/>
          <w:color w:val="auto"/>
        </w:rPr>
      </w:pPr>
    </w:p>
    <w:p>
      <w:pPr>
        <w:ind w:left="860" w:right="200" w:hanging="424"/>
        <w:spacing w:after="0" w:line="264" w:lineRule="auto"/>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and for as long as the Foundation is underfunded according to the LPP, the Board of the Foundation may require a supplementary contribution from the employer, Participants and Pensioners. It may also carry out appropriate benefit reductions or use any other measure permitted by law.</w:t>
      </w:r>
    </w:p>
    <w:p>
      <w:pPr>
        <w:spacing w:after="0" w:line="86" w:lineRule="exact"/>
        <w:rPr>
          <w:rFonts w:ascii="Arial" w:cs="Arial" w:eastAsia="Arial" w:hAnsi="Arial"/>
          <w:sz w:val="18"/>
          <w:szCs w:val="18"/>
          <w:color w:val="auto"/>
        </w:rPr>
      </w:pPr>
    </w:p>
    <w:p>
      <w:pPr>
        <w:ind w:left="860" w:right="340" w:hanging="424"/>
        <w:spacing w:after="0" w:line="277" w:lineRule="auto"/>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supplementary contribution from the employer should only be charged with its consent to the extent that this will be used to finance extra-mandatory benefits.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supplementary contribution is not included in the calculation of the Portable Benefit.</w:t>
      </w:r>
    </w:p>
    <w:p>
      <w:pPr>
        <w:spacing w:after="0" w:line="158"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9</w:t>
      </w:r>
    </w:p>
    <w:p>
      <w:pPr>
        <w:sectPr>
          <w:pgSz w:w="11900" w:h="16838" w:orient="portrait"/>
          <w:cols w:equalWidth="0" w:num="1">
            <w:col w:w="11020"/>
          </w:cols>
          <w:pgMar w:left="440" w:top="270" w:right="439" w:bottom="1440" w:gutter="0" w:footer="0" w:header="0"/>
        </w:sectPr>
      </w:pPr>
    </w:p>
    <w:bookmarkStart w:id="106" w:name="page107"/>
    <w:bookmarkEnd w:id="106"/>
    <w:p>
      <w:pPr>
        <w:ind w:left="860" w:hanging="424"/>
        <w:spacing w:after="0"/>
        <w:tabs>
          <w:tab w:leader="none" w:pos="8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supplementary contribution is demanded, the Board of the Foundation will inform the Participants about: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its rate or amount;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expected period to be paid;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distribution between the employer and Participants.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RETIREMENT AND DISABILITY PENSION</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Normal Retirement Pension</w:t>
      </w:r>
    </w:p>
    <w:p>
      <w:pPr>
        <w:spacing w:after="0" w:line="131" w:lineRule="exact"/>
        <w:rPr>
          <w:sz w:val="20"/>
          <w:szCs w:val="20"/>
          <w:color w:val="auto"/>
        </w:rPr>
      </w:pPr>
    </w:p>
    <w:p>
      <w:pPr>
        <w:ind w:left="860" w:right="100" w:hanging="424"/>
        <w:spacing w:after="0" w:line="282" w:lineRule="auto"/>
        <w:tabs>
          <w:tab w:leader="none" w:pos="8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 A Participant who reaches his Normal Retirement Date shall become eligible for a normal retirement pension. Retirement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compulsory upon reaching the Normal Retirement Date.</w:t>
      </w:r>
    </w:p>
    <w:p>
      <w:pPr>
        <w:spacing w:after="0" w:line="67" w:lineRule="exact"/>
        <w:rPr>
          <w:rFonts w:ascii="Arial" w:cs="Arial" w:eastAsia="Arial" w:hAnsi="Arial"/>
          <w:sz w:val="18"/>
          <w:szCs w:val="18"/>
          <w:color w:val="auto"/>
        </w:rPr>
      </w:pPr>
    </w:p>
    <w:p>
      <w:pPr>
        <w:ind w:left="880" w:right="3760" w:hanging="444"/>
        <w:spacing w:after="0" w:line="378" w:lineRule="auto"/>
        <w:tabs>
          <w:tab w:leader="none" w:pos="863"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Pension Amount </w:t>
      </w:r>
      <w:r>
        <w:rPr>
          <w:rFonts w:ascii="Arial" w:cs="Arial" w:eastAsia="Arial" w:hAnsi="Arial"/>
          <w:sz w:val="18"/>
          <w:szCs w:val="18"/>
          <w:color w:val="auto"/>
        </w:rPr>
        <w:t>- The monthly normal retirement pension for each Participant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Pension = [1.8% x Sdf x S] / 12</w:t>
      </w:r>
    </w:p>
    <w:p>
      <w:pPr>
        <w:ind w:left="880" w:right="4960"/>
        <w:spacing w:after="0" w:line="397" w:lineRule="auto"/>
        <w:rPr>
          <w:rFonts w:ascii="Arial" w:cs="Arial" w:eastAsia="Arial" w:hAnsi="Arial"/>
          <w:sz w:val="18"/>
          <w:szCs w:val="18"/>
          <w:color w:val="auto"/>
        </w:rPr>
      </w:pPr>
      <w:r>
        <w:rPr>
          <w:rFonts w:ascii="Arial" w:cs="Arial" w:eastAsia="Arial" w:hAnsi="Arial"/>
          <w:sz w:val="17"/>
          <w:szCs w:val="17"/>
          <w:color w:val="auto"/>
        </w:rPr>
        <w:t>Sdf = Final Three-Year Pension-Bearing Pay as defined in Section 1.25. S = Months of Participation Credit, at most 540, or 45 years.</w:t>
      </w:r>
    </w:p>
    <w:p>
      <w:pPr>
        <w:spacing w:after="0" w:line="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The monthly pension calculated under this section shall be in addition to any pension payable by Social Security.</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Early Retirement Pension</w:t>
      </w:r>
    </w:p>
    <w:p>
      <w:pPr>
        <w:spacing w:after="0" w:line="117"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 An active Participant who is at least aged 58 shall become eligible for voluntary early retirement upon his request and provided he</w:t>
      </w:r>
      <w:r>
        <w:rPr>
          <w:rFonts w:ascii="Arial" w:cs="Arial" w:eastAsia="Arial" w:hAnsi="Arial"/>
          <w:sz w:val="18"/>
          <w:szCs w:val="18"/>
          <w:b w:val="1"/>
          <w:bCs w:val="1"/>
          <w:color w:val="auto"/>
        </w:rPr>
        <w:t xml:space="preserve"> </w:t>
      </w:r>
      <w:r>
        <w:rPr>
          <w:rFonts w:ascii="Arial" w:cs="Arial" w:eastAsia="Arial" w:hAnsi="Arial"/>
          <w:sz w:val="18"/>
          <w:szCs w:val="18"/>
          <w:color w:val="auto"/>
        </w:rPr>
        <w:t>ceases to earn an income from the employer.</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Pension Amount </w:t>
      </w:r>
      <w:r>
        <w:rPr>
          <w:rFonts w:ascii="Arial" w:cs="Arial" w:eastAsia="Arial" w:hAnsi="Arial"/>
          <w:sz w:val="18"/>
          <w:szCs w:val="18"/>
          <w:color w:val="auto"/>
        </w:rPr>
        <w:t>- The early retirement pension shall be determined by:</w:t>
      </w:r>
    </w:p>
    <w:p>
      <w:pPr>
        <w:spacing w:after="0" w:line="135" w:lineRule="exact"/>
        <w:rPr>
          <w:sz w:val="20"/>
          <w:szCs w:val="20"/>
          <w:color w:val="auto"/>
        </w:rPr>
      </w:pPr>
    </w:p>
    <w:p>
      <w:pPr>
        <w:ind w:left="860" w:hanging="424"/>
        <w:spacing w:after="0"/>
        <w:tabs>
          <w:tab w:leader="none" w:pos="8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Calculating a basic pension amount, as provided in Section 5.1 B and</w:t>
      </w:r>
    </w:p>
    <w:p>
      <w:pPr>
        <w:spacing w:after="0" w:line="130" w:lineRule="exact"/>
        <w:rPr>
          <w:rFonts w:ascii="Arial" w:cs="Arial" w:eastAsia="Arial" w:hAnsi="Arial"/>
          <w:sz w:val="18"/>
          <w:szCs w:val="18"/>
          <w:color w:val="auto"/>
        </w:rPr>
      </w:pPr>
    </w:p>
    <w:p>
      <w:pPr>
        <w:ind w:left="860" w:right="220" w:hanging="424"/>
        <w:spacing w:after="0" w:line="277" w:lineRule="auto"/>
        <w:tabs>
          <w:tab w:leader="none" w:pos="8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Reducing this amount by 4% per year preceding the normal retirement date (for example, at age 58 the reduction is 28% and at age 61 the reduction is 16%).</w:t>
      </w:r>
    </w:p>
    <w:p>
      <w:pPr>
        <w:spacing w:after="0" w:line="10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10</w:t>
      </w:r>
    </w:p>
    <w:p>
      <w:pPr>
        <w:sectPr>
          <w:pgSz w:w="11900" w:h="16838" w:orient="portrait"/>
          <w:cols w:equalWidth="0" w:num="1">
            <w:col w:w="11020"/>
          </w:cols>
          <w:pgMar w:left="440" w:top="274" w:right="439" w:bottom="1440" w:gutter="0" w:footer="0" w:header="0"/>
        </w:sectPr>
      </w:pPr>
    </w:p>
    <w:bookmarkStart w:id="107" w:name="page108"/>
    <w:bookmarkEnd w:id="107"/>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transition measures will be applied:</w:t>
      </w:r>
    </w:p>
    <w:p>
      <w:pPr>
        <w:spacing w:after="0" w:line="131" w:lineRule="exact"/>
        <w:rPr>
          <w:sz w:val="20"/>
          <w:szCs w:val="20"/>
          <w:color w:val="auto"/>
        </w:rPr>
      </w:pPr>
    </w:p>
    <w:p>
      <w:pPr>
        <w:jc w:val="both"/>
        <w:ind w:left="1420" w:right="240" w:hanging="538"/>
        <w:spacing w:after="0" w:line="264"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the Participants aged 58 or above as at 31 December 2012, the pension amount is reduced by 4% per year between age 58 and 59, 3% per year between age 59 and 62 and no reduction between age 62 and age 65 (for example, at age 58 the reduction is 13% and at age 61 the reduction is 3%).</w:t>
      </w:r>
    </w:p>
    <w:p>
      <w:pPr>
        <w:spacing w:after="0" w:line="86" w:lineRule="exact"/>
        <w:rPr>
          <w:rFonts w:ascii="Arial" w:cs="Arial" w:eastAsia="Arial" w:hAnsi="Arial"/>
          <w:sz w:val="18"/>
          <w:szCs w:val="18"/>
          <w:color w:val="auto"/>
        </w:rPr>
      </w:pPr>
    </w:p>
    <w:p>
      <w:pPr>
        <w:ind w:left="1420" w:right="180" w:hanging="538"/>
        <w:spacing w:after="0" w:line="308" w:lineRule="auto"/>
        <w:tabs>
          <w:tab w:leader="none" w:pos="14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For the Participants aged between 50 and 57 as at 31 December 2012, the pension amount is reduced by 2% per year preceding the normal retirement date (for example, at age 58 the reduction is 14% and at age 61 the reduction is 8%).</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reduction is pro rated when the number of years is fractional.</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Facilitated Retirement</w:t>
      </w:r>
    </w:p>
    <w:p>
      <w:pPr>
        <w:spacing w:after="0" w:line="121" w:lineRule="exact"/>
        <w:rPr>
          <w:sz w:val="20"/>
          <w:szCs w:val="20"/>
          <w:color w:val="auto"/>
        </w:rPr>
      </w:pPr>
    </w:p>
    <w:p>
      <w:pPr>
        <w:ind w:left="440" w:right="500"/>
        <w:spacing w:after="0" w:line="277" w:lineRule="auto"/>
        <w:rPr>
          <w:sz w:val="20"/>
          <w:szCs w:val="20"/>
          <w:color w:val="auto"/>
        </w:rPr>
      </w:pPr>
      <w:r>
        <w:rPr>
          <w:rFonts w:ascii="Arial" w:cs="Arial" w:eastAsia="Arial" w:hAnsi="Arial"/>
          <w:sz w:val="18"/>
          <w:szCs w:val="18"/>
          <w:color w:val="auto"/>
        </w:rPr>
        <w:t>Upon the employer’s request, the Foundation can waive, partially or entirely, the reduction applied to the retirement pension in case of early retirement (Section 5.2). The employer bears the costs resulting from this waiver.</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Lump Sum Option for Retirement Pension</w:t>
      </w:r>
    </w:p>
    <w:p>
      <w:pPr>
        <w:spacing w:after="0" w:line="121"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In respect of the Normal or Early Retirement Pension as provided in Sections 5.1 and 5.2, a Participant may require that a part, maximum 50%, of his pension be converted into a lump sum payment at the date of retirement.</w:t>
      </w:r>
    </w:p>
    <w:p>
      <w:pPr>
        <w:spacing w:after="0" w:line="62"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The same actuarial and technical bases used to define the level of funding of the pension plan will also be applied to calculate the lump sum, see Table attachment 2 of the present rules.</w:t>
      </w:r>
    </w:p>
    <w:p>
      <w:pPr>
        <w:spacing w:after="0" w:line="62"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In case of conversion of part of the pension, only the remaining portion will be taken into consideration for future survivors’ pensions (Section 6) and any future post-retirement pension adjustments, which may be granted.</w:t>
      </w:r>
    </w:p>
    <w:p>
      <w:pPr>
        <w:spacing w:after="0" w:line="62" w:lineRule="exact"/>
        <w:rPr>
          <w:sz w:val="20"/>
          <w:szCs w:val="20"/>
          <w:color w:val="auto"/>
        </w:rPr>
      </w:pPr>
    </w:p>
    <w:p>
      <w:pPr>
        <w:ind w:left="440" w:right="320"/>
        <w:spacing w:after="0" w:line="259" w:lineRule="auto"/>
        <w:rPr>
          <w:sz w:val="20"/>
          <w:szCs w:val="20"/>
          <w:color w:val="auto"/>
        </w:rPr>
      </w:pPr>
      <w:r>
        <w:rPr>
          <w:rFonts w:ascii="Arial" w:cs="Arial" w:eastAsia="Arial" w:hAnsi="Arial"/>
          <w:sz w:val="18"/>
          <w:szCs w:val="18"/>
          <w:color w:val="auto"/>
        </w:rPr>
        <w:t>The Participants who so elect shall give notice of their intention in writing to the Board of the Foundation with the percentage of pension they wish to convert to a lump sum. This request is irrevocable and must reach the Board of the Foundation at least one month before the normal or early retirement date in accordance with Sections 5.1 &amp; 5.2. For married Participants, the written agreement of their spouse is required. The Foundation may require an authenticated signature.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Retirement Pension which annual amount is less than 10% of the minimum AVS retirement pension will be paid as a lump sum.</w:t>
      </w:r>
    </w:p>
    <w:p>
      <w:pPr>
        <w:spacing w:after="0" w:line="158"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11</w:t>
      </w:r>
    </w:p>
    <w:p>
      <w:pPr>
        <w:sectPr>
          <w:pgSz w:w="11900" w:h="16838" w:orient="portrait"/>
          <w:cols w:equalWidth="0" w:num="1">
            <w:col w:w="11020"/>
          </w:cols>
          <w:pgMar w:left="440" w:top="274" w:right="439" w:bottom="1440" w:gutter="0" w:footer="0" w:header="0"/>
        </w:sectPr>
      </w:pPr>
    </w:p>
    <w:bookmarkStart w:id="108" w:name="page109"/>
    <w:bookmarkEnd w:id="108"/>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5.5</w:t>
      </w:r>
      <w:r>
        <w:rPr>
          <w:sz w:val="20"/>
          <w:szCs w:val="20"/>
          <w:color w:val="auto"/>
        </w:rPr>
        <w:tab/>
      </w:r>
      <w:r>
        <w:rPr>
          <w:rFonts w:ascii="Arial" w:cs="Arial" w:eastAsia="Arial" w:hAnsi="Arial"/>
          <w:sz w:val="16"/>
          <w:szCs w:val="16"/>
          <w:b w:val="1"/>
          <w:bCs w:val="1"/>
          <w:color w:val="auto"/>
        </w:rPr>
        <w:t>Disability Pension</w:t>
      </w:r>
    </w:p>
    <w:p>
      <w:pPr>
        <w:spacing w:after="0" w:line="131" w:lineRule="exact"/>
        <w:rPr>
          <w:sz w:val="20"/>
          <w:szCs w:val="20"/>
          <w:color w:val="auto"/>
        </w:rPr>
      </w:pPr>
    </w:p>
    <w:p>
      <w:pPr>
        <w:ind w:left="860" w:right="380" w:hanging="424"/>
        <w:spacing w:after="0" w:line="266" w:lineRule="auto"/>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 A Participant who becomes disabled as defined in Section 1.20 shall be retired as a Disability Pensioner. Should such a</w:t>
      </w:r>
      <w:r>
        <w:rPr>
          <w:rFonts w:ascii="Arial" w:cs="Arial" w:eastAsia="Arial" w:hAnsi="Arial"/>
          <w:sz w:val="18"/>
          <w:szCs w:val="18"/>
          <w:b w:val="1"/>
          <w:bCs w:val="1"/>
          <w:color w:val="auto"/>
        </w:rPr>
        <w:t xml:space="preserve"> </w:t>
      </w:r>
      <w:r>
        <w:rPr>
          <w:rFonts w:ascii="Arial" w:cs="Arial" w:eastAsia="Arial" w:hAnsi="Arial"/>
          <w:sz w:val="18"/>
          <w:szCs w:val="18"/>
          <w:color w:val="auto"/>
        </w:rPr>
        <w:t>Pensioner no longer be disabled in the sense of Section 1.20 before reaching Normal Retirement, his Disability retirement pension shall cease and the provisions of Section 8.6 shall apply.</w:t>
      </w:r>
    </w:p>
    <w:p>
      <w:pPr>
        <w:spacing w:after="0" w:line="7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7"/>
          <w:szCs w:val="17"/>
          <w:color w:val="auto"/>
        </w:rPr>
        <w:t>At normal retirement date, the disability retirement pension will be converted into a normal retirement pension of the same amount.</w:t>
      </w:r>
    </w:p>
    <w:p>
      <w:pPr>
        <w:spacing w:after="0" w:line="138" w:lineRule="exact"/>
        <w:rPr>
          <w:rFonts w:ascii="Arial" w:cs="Arial" w:eastAsia="Arial" w:hAnsi="Arial"/>
          <w:sz w:val="18"/>
          <w:szCs w:val="18"/>
          <w:color w:val="auto"/>
        </w:rPr>
      </w:pPr>
    </w:p>
    <w:p>
      <w:pPr>
        <w:ind w:left="860" w:hanging="424"/>
        <w:spacing w:after="0"/>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Pension Amount </w:t>
      </w:r>
      <w:r>
        <w:rPr>
          <w:rFonts w:ascii="Arial" w:cs="Arial" w:eastAsia="Arial" w:hAnsi="Arial"/>
          <w:sz w:val="18"/>
          <w:szCs w:val="18"/>
          <w:color w:val="auto"/>
        </w:rPr>
        <w:t>- The monthly Disability retirement pension shall be the sum of two parts as follows:</w:t>
      </w:r>
    </w:p>
    <w:p>
      <w:pPr>
        <w:spacing w:after="0" w:line="134" w:lineRule="exact"/>
        <w:rPr>
          <w:rFonts w:ascii="Arial" w:cs="Arial" w:eastAsia="Arial" w:hAnsi="Arial"/>
          <w:sz w:val="18"/>
          <w:szCs w:val="18"/>
          <w:color w:val="auto"/>
        </w:rPr>
      </w:pPr>
    </w:p>
    <w:p>
      <w:pPr>
        <w:ind w:left="1440" w:right="380" w:hanging="558"/>
        <w:spacing w:after="0" w:line="383" w:lineRule="auto"/>
        <w:tabs>
          <w:tab w:leader="none" w:pos="142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 amount based on pension retirement entitlement at the date of Disability Retirement, calculated as provided in Section 5.1B, Plus</w:t>
      </w:r>
    </w:p>
    <w:p>
      <w:pPr>
        <w:spacing w:after="0" w:line="1" w:lineRule="exact"/>
        <w:rPr>
          <w:rFonts w:ascii="Arial" w:cs="Arial" w:eastAsia="Arial" w:hAnsi="Arial"/>
          <w:sz w:val="18"/>
          <w:szCs w:val="18"/>
          <w:color w:val="auto"/>
        </w:rPr>
      </w:pPr>
    </w:p>
    <w:p>
      <w:pPr>
        <w:ind w:left="1420" w:hanging="538"/>
        <w:spacing w:after="0"/>
        <w:tabs>
          <w:tab w:leader="none" w:pos="14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 amount equal to [1.8% x Sdf x Sp] / 12</w:t>
      </w:r>
    </w:p>
    <w:p>
      <w:pPr>
        <w:spacing w:after="0" w:line="117"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Sdf = Final Three-Year Pension-Bearing Pay as defined in Section 1.25.</w:t>
      </w:r>
    </w:p>
    <w:p>
      <w:pPr>
        <w:spacing w:after="0" w:line="117" w:lineRule="exact"/>
        <w:rPr>
          <w:rFonts w:ascii="Arial" w:cs="Arial" w:eastAsia="Arial" w:hAnsi="Arial"/>
          <w:sz w:val="18"/>
          <w:szCs w:val="18"/>
          <w:color w:val="auto"/>
        </w:rPr>
      </w:pPr>
    </w:p>
    <w:p>
      <w:pPr>
        <w:ind w:left="1440" w:right="700"/>
        <w:spacing w:after="0" w:line="277" w:lineRule="auto"/>
        <w:rPr>
          <w:rFonts w:ascii="Arial" w:cs="Arial" w:eastAsia="Arial" w:hAnsi="Arial"/>
          <w:sz w:val="18"/>
          <w:szCs w:val="18"/>
          <w:color w:val="auto"/>
        </w:rPr>
      </w:pPr>
      <w:r>
        <w:rPr>
          <w:rFonts w:ascii="Arial" w:cs="Arial" w:eastAsia="Arial" w:hAnsi="Arial"/>
          <w:sz w:val="18"/>
          <w:szCs w:val="18"/>
          <w:color w:val="auto"/>
        </w:rPr>
        <w:t>Sp = Months of projected Participation Credit assuming the Pensioner had continued as a Participant until reaching Normal Retirement Date, at most 540, or 45 years.</w:t>
      </w:r>
    </w:p>
    <w:p>
      <w:pPr>
        <w:spacing w:after="0" w:line="75" w:lineRule="exact"/>
        <w:rPr>
          <w:rFonts w:ascii="Arial" w:cs="Arial" w:eastAsia="Arial" w:hAnsi="Arial"/>
          <w:sz w:val="18"/>
          <w:szCs w:val="18"/>
          <w:color w:val="auto"/>
        </w:rPr>
      </w:pPr>
    </w:p>
    <w:p>
      <w:pPr>
        <w:ind w:left="860" w:right="320" w:hanging="424"/>
        <w:spacing w:after="0" w:line="277" w:lineRule="auto"/>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disabled participant has the right to a disability orphan pension for each child who would have an orphan pension under Section 6.2. The child disability pension will amount to the minimum LPP benefit.</w:t>
      </w:r>
    </w:p>
    <w:p>
      <w:pPr>
        <w:spacing w:after="0" w:line="75" w:lineRule="exact"/>
        <w:rPr>
          <w:rFonts w:ascii="Arial" w:cs="Arial" w:eastAsia="Arial" w:hAnsi="Arial"/>
          <w:sz w:val="18"/>
          <w:szCs w:val="18"/>
          <w:color w:val="auto"/>
        </w:rPr>
      </w:pPr>
    </w:p>
    <w:p>
      <w:pPr>
        <w:ind w:left="860" w:right="120" w:hanging="424"/>
        <w:spacing w:after="0" w:line="277" w:lineRule="auto"/>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case of partial disability the pension amount calculated under Section 5.5. B will be adjusted as follows in accordance with the degree of disability determined by the AI:</w:t>
      </w:r>
    </w:p>
    <w:p>
      <w:pPr>
        <w:sectPr>
          <w:pgSz w:w="11900" w:h="16838" w:orient="portrait"/>
          <w:cols w:equalWidth="0" w:num="1">
            <w:col w:w="11020"/>
          </w:cols>
          <w:pgMar w:left="440" w:top="270" w:right="439" w:bottom="1440" w:gutter="0" w:footer="0" w:header="0"/>
        </w:sectPr>
      </w:pPr>
    </w:p>
    <w:p>
      <w:pPr>
        <w:spacing w:after="0" w:line="7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Disability according to AI</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Disability benefits of the Foundation</w:t>
      </w:r>
    </w:p>
    <w:p>
      <w:pPr>
        <w:spacing w:after="0" w:line="140" w:lineRule="exact"/>
        <w:rPr>
          <w:sz w:val="20"/>
          <w:szCs w:val="20"/>
          <w:color w:val="auto"/>
        </w:rPr>
      </w:pPr>
    </w:p>
    <w:p>
      <w:pPr>
        <w:sectPr>
          <w:pgSz w:w="11900" w:h="16838" w:orient="portrait"/>
          <w:cols w:equalWidth="0" w:num="2">
            <w:col w:w="5560" w:space="720"/>
            <w:col w:w="4740"/>
          </w:cols>
          <w:pgMar w:left="440" w:top="270" w:right="4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Less than 25%</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Arial" w:cs="Arial" w:eastAsia="Arial" w:hAnsi="Arial"/>
          <w:sz w:val="16"/>
          <w:szCs w:val="16"/>
          <w:color w:val="auto"/>
        </w:rPr>
        <w:t>No pension</w:t>
      </w:r>
    </w:p>
    <w:p>
      <w:pPr>
        <w:spacing w:after="0" w:line="140" w:lineRule="exact"/>
        <w:rPr>
          <w:sz w:val="20"/>
          <w:szCs w:val="20"/>
          <w:color w:val="auto"/>
        </w:rPr>
      </w:pPr>
    </w:p>
    <w:p>
      <w:pPr>
        <w:sectPr>
          <w:pgSz w:w="11900" w:h="16838" w:orient="portrait"/>
          <w:cols w:equalWidth="0" w:num="2">
            <w:col w:w="5560" w:space="720"/>
            <w:col w:w="4740"/>
          </w:cols>
          <w:pgMar w:left="440" w:top="270" w:right="4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as from 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one quarter of a pension</w:t>
      </w:r>
    </w:p>
    <w:p>
      <w:pPr>
        <w:spacing w:after="0" w:line="151" w:lineRule="exact"/>
        <w:rPr>
          <w:sz w:val="20"/>
          <w:szCs w:val="20"/>
          <w:color w:val="auto"/>
        </w:rPr>
      </w:pPr>
    </w:p>
    <w:p>
      <w:pPr>
        <w:sectPr>
          <w:pgSz w:w="11900" w:h="16838" w:orient="portrait"/>
          <w:cols w:equalWidth="0" w:num="2">
            <w:col w:w="5560" w:space="720"/>
            <w:col w:w="4740"/>
          </w:cols>
          <w:pgMar w:left="440" w:top="270" w:right="4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as from 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half a pension</w:t>
      </w:r>
    </w:p>
    <w:p>
      <w:pPr>
        <w:spacing w:after="0" w:line="140" w:lineRule="exact"/>
        <w:rPr>
          <w:sz w:val="20"/>
          <w:szCs w:val="20"/>
          <w:color w:val="auto"/>
        </w:rPr>
      </w:pPr>
    </w:p>
    <w:p>
      <w:pPr>
        <w:sectPr>
          <w:pgSz w:w="11900" w:h="16838" w:orient="portrait"/>
          <w:cols w:equalWidth="0" w:num="2">
            <w:col w:w="5560" w:space="720"/>
            <w:col w:w="4740"/>
          </w:cols>
          <w:pgMar w:left="440" w:top="270" w:right="4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as from 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three-quarters of a pension</w:t>
      </w:r>
    </w:p>
    <w:p>
      <w:pPr>
        <w:spacing w:after="0" w:line="151" w:lineRule="exact"/>
        <w:rPr>
          <w:sz w:val="20"/>
          <w:szCs w:val="20"/>
          <w:color w:val="auto"/>
        </w:rPr>
      </w:pPr>
    </w:p>
    <w:p>
      <w:pPr>
        <w:sectPr>
          <w:pgSz w:w="11900" w:h="16838" w:orient="portrait"/>
          <w:cols w:equalWidth="0" w:num="2">
            <w:col w:w="5560" w:space="720"/>
            <w:col w:w="4740"/>
          </w:cols>
          <w:pgMar w:left="440" w:top="270" w:right="4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as from 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full pension</w:t>
      </w:r>
    </w:p>
    <w:p>
      <w:pPr>
        <w:spacing w:after="0" w:line="140" w:lineRule="exact"/>
        <w:rPr>
          <w:sz w:val="20"/>
          <w:szCs w:val="20"/>
          <w:color w:val="auto"/>
        </w:rPr>
      </w:pPr>
    </w:p>
    <w:p>
      <w:pPr>
        <w:sectPr>
          <w:pgSz w:w="11900" w:h="16838" w:orient="portrait"/>
          <w:cols w:equalWidth="0" w:num="2">
            <w:col w:w="5560" w:space="720"/>
            <w:col w:w="4740"/>
          </w:cols>
          <w:pgMar w:left="440" w:top="270" w:right="439" w:bottom="1440" w:gutter="0" w:footer="0" w:header="0"/>
          <w:type w:val="continuous"/>
        </w:sectPr>
      </w:pPr>
    </w:p>
    <w:p>
      <w:pPr>
        <w:ind w:left="880" w:right="340"/>
        <w:spacing w:after="0" w:line="308" w:lineRule="auto"/>
        <w:rPr>
          <w:sz w:val="20"/>
          <w:szCs w:val="20"/>
          <w:color w:val="auto"/>
        </w:rPr>
      </w:pPr>
      <w:r>
        <w:rPr>
          <w:rFonts w:ascii="Arial" w:cs="Arial" w:eastAsia="Arial" w:hAnsi="Arial"/>
          <w:sz w:val="17"/>
          <w:szCs w:val="17"/>
          <w:color w:val="auto"/>
        </w:rPr>
        <w:t>The disability pension is not paid as long as the Participant receives his salary or any allowances in lieu of his salary provided that these allowances represent at least 80% of the salary lost and that they have been funded to at least 50% by the employer.</w:t>
      </w:r>
    </w:p>
    <w:p>
      <w:pPr>
        <w:spacing w:after="0" w:line="79"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12</w:t>
      </w:r>
    </w:p>
    <w:p>
      <w:pPr>
        <w:sectPr>
          <w:pgSz w:w="11900" w:h="16838" w:orient="portrait"/>
          <w:cols w:equalWidth="0" w:num="1">
            <w:col w:w="11020"/>
          </w:cols>
          <w:pgMar w:left="440" w:top="270" w:right="439" w:bottom="1440" w:gutter="0" w:footer="0" w:header="0"/>
          <w:type w:val="continuous"/>
        </w:sectPr>
      </w:pPr>
    </w:p>
    <w:bookmarkStart w:id="109" w:name="page110"/>
    <w:bookmarkEnd w:id="109"/>
    <w:p>
      <w:pPr>
        <w:jc w:val="both"/>
        <w:ind w:left="8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reduction or elimination of the disability pension due to a reduction of the degree of disability, the previous disability pension shall be kept as long as the Participant qualifies according to the article 26a LPP. The revision of the disability pension granted because of a syndrome pathogenesis without deficit and without clear organic remains reserved (as per final disposition of LPP from 18 March 2011).</w:t>
      </w:r>
    </w:p>
    <w:p>
      <w:pPr>
        <w:ind w:left="880" w:right="560"/>
        <w:spacing w:after="0" w:line="261" w:lineRule="auto"/>
        <w:rPr>
          <w:sz w:val="20"/>
          <w:szCs w:val="20"/>
          <w:color w:val="auto"/>
        </w:rPr>
      </w:pPr>
      <w:r>
        <w:rPr>
          <w:rFonts w:ascii="Arial" w:cs="Arial" w:eastAsia="Arial" w:hAnsi="Arial"/>
          <w:sz w:val="18"/>
          <w:szCs w:val="18"/>
          <w:color w:val="auto"/>
        </w:rPr>
        <w:t>The Foundation reduces its disability pension up to the new disability rates of AI, provided that such reduction is offset by additional income realized by the Participant.</w:t>
      </w:r>
    </w:p>
    <w:p>
      <w:pPr>
        <w:spacing w:after="0" w:line="85" w:lineRule="exact"/>
        <w:rPr>
          <w:sz w:val="20"/>
          <w:szCs w:val="20"/>
          <w:color w:val="auto"/>
        </w:rPr>
      </w:pPr>
    </w:p>
    <w:p>
      <w:pPr>
        <w:ind w:left="860" w:right="80" w:hanging="424"/>
        <w:spacing w:after="0" w:line="266" w:lineRule="auto"/>
        <w:tabs>
          <w:tab w:leader="none" w:pos="86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Maximum Total Disability Pensions </w:t>
      </w:r>
      <w:r>
        <w:rPr>
          <w:rFonts w:ascii="Arial" w:cs="Arial" w:eastAsia="Arial" w:hAnsi="Arial"/>
          <w:sz w:val="18"/>
          <w:szCs w:val="18"/>
          <w:color w:val="auto"/>
        </w:rPr>
        <w:t>- In no event shall the combined total of Disability Pensions due (children pension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month from a) this plan, b) the Social Security, c) the employer’s insurance plans and d) the old age benefits paid by Swiss or foreign social insurances or pension funds after the AVS Retirement Age exceed the greater of:</w:t>
      </w:r>
    </w:p>
    <w:p>
      <w:pPr>
        <w:spacing w:after="0" w:line="85" w:lineRule="exact"/>
        <w:rPr>
          <w:rFonts w:ascii="Arial" w:cs="Arial" w:eastAsia="Arial" w:hAnsi="Arial"/>
          <w:sz w:val="18"/>
          <w:szCs w:val="18"/>
          <w:color w:val="auto"/>
        </w:rPr>
      </w:pPr>
    </w:p>
    <w:p>
      <w:pPr>
        <w:ind w:left="1420" w:hanging="538"/>
        <w:spacing w:after="0"/>
        <w:tabs>
          <w:tab w:leader="none" w:pos="14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100% of the disabled participant’s final Monthly Pay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100% of his three-year average monthly pay.</w:t>
      </w:r>
    </w:p>
    <w:p>
      <w:pPr>
        <w:spacing w:after="0" w:line="117"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For purposes of calculation, benefits, which are not in the form of a monthly pension, shall be converted to such form in accordance with the actuarial rules of this Plan.</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items are also taken into account:</w:t>
      </w:r>
    </w:p>
    <w:p>
      <w:pPr>
        <w:spacing w:after="0" w:line="131" w:lineRule="exact"/>
        <w:rPr>
          <w:sz w:val="20"/>
          <w:szCs w:val="20"/>
          <w:color w:val="auto"/>
        </w:rPr>
      </w:pPr>
    </w:p>
    <w:p>
      <w:pPr>
        <w:ind w:left="1420" w:hanging="538"/>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Salary possibly paid by the employer or allowances paid to replace the loss of income;</w:t>
      </w:r>
    </w:p>
    <w:p>
      <w:pPr>
        <w:spacing w:after="0" w:line="130" w:lineRule="exact"/>
        <w:rPr>
          <w:rFonts w:ascii="Arial" w:cs="Arial" w:eastAsia="Arial" w:hAnsi="Arial"/>
          <w:sz w:val="18"/>
          <w:szCs w:val="18"/>
          <w:color w:val="auto"/>
        </w:rPr>
      </w:pPr>
    </w:p>
    <w:p>
      <w:pPr>
        <w:ind w:left="1420" w:right="120" w:hanging="538"/>
        <w:spacing w:after="0" w:line="264" w:lineRule="auto"/>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income received by a disabled Participant from exercising a gainful occupation as well as all income that a disabled Participant could still reasonably achieve. However, the additional income realised during the execution of a new measure of rehabilitation proposed by the AI is not taken into account.</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allowances for disabled persons and the compensations for breach of integrity are not taken into account.</w:t>
      </w:r>
    </w:p>
    <w:p>
      <w:pPr>
        <w:spacing w:after="0" w:line="158"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13</w:t>
      </w:r>
    </w:p>
    <w:p>
      <w:pPr>
        <w:sectPr>
          <w:pgSz w:w="11900" w:h="16838" w:orient="portrait"/>
          <w:cols w:equalWidth="0" w:num="1">
            <w:col w:w="11020"/>
          </w:cols>
          <w:pgMar w:left="440" w:top="274" w:right="439" w:bottom="1440" w:gutter="0" w:footer="0" w:header="0"/>
        </w:sectPr>
      </w:pPr>
    </w:p>
    <w:bookmarkStart w:id="110" w:name="page111"/>
    <w:bookmarkEnd w:id="110"/>
    <w:p>
      <w:pPr>
        <w:ind w:left="880"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Foundation will not compensate any benefits denied or refused relying on Article 25 OPP2, Article 20 (2ter) and (2quarter) LAA, or Article 47(1) LAM. This paragraph applies by analogy to foreign benefits.</w:t>
      </w:r>
    </w:p>
    <w:p>
      <w:pPr>
        <w:spacing w:after="0" w:line="62" w:lineRule="exact"/>
        <w:rPr>
          <w:sz w:val="20"/>
          <w:szCs w:val="20"/>
          <w:color w:val="auto"/>
        </w:rPr>
      </w:pPr>
    </w:p>
    <w:p>
      <w:pPr>
        <w:ind w:left="440" w:right="780"/>
        <w:spacing w:after="0" w:line="277" w:lineRule="auto"/>
        <w:rPr>
          <w:sz w:val="20"/>
          <w:szCs w:val="20"/>
          <w:color w:val="auto"/>
        </w:rPr>
      </w:pPr>
      <w:r>
        <w:rPr>
          <w:rFonts w:ascii="Arial" w:cs="Arial" w:eastAsia="Arial" w:hAnsi="Arial"/>
          <w:sz w:val="18"/>
          <w:szCs w:val="18"/>
          <w:color w:val="auto"/>
        </w:rPr>
        <w:t>If benefits are reduced following a divorce, the benefits to which the Participant would have been entitled without the reduction shall be authoritative.</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color w:val="auto"/>
        </w:rPr>
        <w:t>Temporary complementary pension</w:t>
      </w:r>
    </w:p>
    <w:p>
      <w:pPr>
        <w:spacing w:after="0" w:line="135" w:lineRule="exact"/>
        <w:rPr>
          <w:sz w:val="20"/>
          <w:szCs w:val="20"/>
          <w:color w:val="auto"/>
        </w:rPr>
      </w:pPr>
    </w:p>
    <w:p>
      <w:pPr>
        <w:ind w:left="860" w:right="220" w:hanging="424"/>
        <w:spacing w:after="0" w:line="277" w:lineRule="auto"/>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pensioner eligible for an early retirement pension as defined in Section 5.2 and who has not yet attained the normal AVS retirement age may upon request receive a temporary complementary pension.</w:t>
      </w:r>
    </w:p>
    <w:p>
      <w:pPr>
        <w:spacing w:after="0" w:line="75" w:lineRule="exact"/>
        <w:rPr>
          <w:rFonts w:ascii="Arial" w:cs="Arial" w:eastAsia="Arial" w:hAnsi="Arial"/>
          <w:sz w:val="18"/>
          <w:szCs w:val="18"/>
          <w:color w:val="auto"/>
        </w:rPr>
      </w:pPr>
    </w:p>
    <w:p>
      <w:pPr>
        <w:ind w:left="860" w:right="100" w:hanging="424"/>
        <w:spacing w:after="0" w:line="264" w:lineRule="auto"/>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amount of the temporary complementary pension shall be chosen by the pensioner but it may not exceed an amount equal to that of the Swiss federal single person old-age pension (AVS) acquired by the pensioner during employment with the employer, nor may result in a reduction of the pension of more than 30%. The amount chosen may not be later modified.</w:t>
      </w:r>
    </w:p>
    <w:p>
      <w:pPr>
        <w:spacing w:after="0" w:line="86" w:lineRule="exact"/>
        <w:rPr>
          <w:rFonts w:ascii="Arial" w:cs="Arial" w:eastAsia="Arial" w:hAnsi="Arial"/>
          <w:sz w:val="18"/>
          <w:szCs w:val="18"/>
          <w:color w:val="auto"/>
        </w:rPr>
      </w:pPr>
    </w:p>
    <w:p>
      <w:pPr>
        <w:ind w:left="860" w:right="320" w:hanging="424"/>
        <w:spacing w:after="0" w:line="277" w:lineRule="auto"/>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temporary complementary pension shall cease as of the normal AVS retirement age but at the latest following the pensioner’s death. Survivors shall not be eligible for the temporary complementary pension.</w:t>
      </w:r>
    </w:p>
    <w:p>
      <w:pPr>
        <w:spacing w:after="0" w:line="75" w:lineRule="exact"/>
        <w:rPr>
          <w:rFonts w:ascii="Arial" w:cs="Arial" w:eastAsia="Arial" w:hAnsi="Arial"/>
          <w:sz w:val="18"/>
          <w:szCs w:val="18"/>
          <w:color w:val="auto"/>
        </w:rPr>
      </w:pPr>
    </w:p>
    <w:p>
      <w:pPr>
        <w:ind w:left="860" w:right="120" w:hanging="424"/>
        <w:spacing w:after="0" w:line="279" w:lineRule="auto"/>
        <w:tabs>
          <w:tab w:leader="none" w:pos="8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amount necessary to finance the temporary complementary pension shall be determined by an actuarial calculation according to a table using the same actuarial basis and techniques used to define the level of pension funding - see attachment 3; it shall be levied by equal deductions from the pension payable to the beneficiary of the temporary complementary pension as of normal AVS retirement age and during the entire period of such payment of pension or eventual payment of widow or orphan pensions.</w:t>
      </w:r>
    </w:p>
    <w:p>
      <w:pPr>
        <w:spacing w:after="0" w:line="76" w:lineRule="exact"/>
        <w:rPr>
          <w:rFonts w:ascii="Arial" w:cs="Arial" w:eastAsia="Arial" w:hAnsi="Arial"/>
          <w:sz w:val="17"/>
          <w:szCs w:val="17"/>
          <w:color w:val="auto"/>
        </w:rPr>
      </w:pPr>
    </w:p>
    <w:p>
      <w:pPr>
        <w:ind w:left="860" w:hanging="424"/>
        <w:spacing w:after="0"/>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Requests for temporary complementary pensions must be made prior to the first payment of early retirement pension.</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b w:val="1"/>
          <w:bCs w:val="1"/>
          <w:color w:val="auto"/>
        </w:rPr>
        <w:t>Pension payable to the Child of a Pensioner</w:t>
      </w:r>
    </w:p>
    <w:p>
      <w:pPr>
        <w:spacing w:after="0" w:line="131" w:lineRule="exact"/>
        <w:rPr>
          <w:sz w:val="20"/>
          <w:szCs w:val="20"/>
          <w:color w:val="auto"/>
        </w:rPr>
      </w:pPr>
    </w:p>
    <w:p>
      <w:pPr>
        <w:ind w:left="860" w:right="20" w:hanging="424"/>
        <w:spacing w:after="0" w:line="282" w:lineRule="auto"/>
        <w:tabs>
          <w:tab w:leader="none" w:pos="86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Entitlement </w:t>
      </w:r>
      <w:r>
        <w:rPr>
          <w:rFonts w:ascii="Arial" w:cs="Arial" w:eastAsia="Arial" w:hAnsi="Arial"/>
          <w:sz w:val="18"/>
          <w:szCs w:val="18"/>
          <w:color w:val="auto"/>
        </w:rPr>
        <w:t>- The beneficiary of a retirement pension (early or normal) is entitled to a pension payable for each child who would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an Orphan Pension under Section 6.2.</w:t>
      </w:r>
    </w:p>
    <w:p>
      <w:pPr>
        <w:spacing w:after="0" w:line="67" w:lineRule="exact"/>
        <w:rPr>
          <w:rFonts w:ascii="Arial" w:cs="Arial" w:eastAsia="Arial" w:hAnsi="Arial"/>
          <w:sz w:val="18"/>
          <w:szCs w:val="18"/>
          <w:color w:val="auto"/>
        </w:rPr>
      </w:pPr>
    </w:p>
    <w:p>
      <w:pPr>
        <w:ind w:left="860" w:hanging="424"/>
        <w:spacing w:after="0"/>
        <w:tabs>
          <w:tab w:leader="none" w:pos="86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Pension amount </w:t>
      </w:r>
      <w:r>
        <w:rPr>
          <w:rFonts w:ascii="Arial" w:cs="Arial" w:eastAsia="Arial" w:hAnsi="Arial"/>
          <w:sz w:val="18"/>
          <w:szCs w:val="18"/>
          <w:color w:val="auto"/>
        </w:rPr>
        <w:t>- The child pension of a Pensioner amounts to the minimum LPP benefit.</w:t>
      </w:r>
    </w:p>
    <w:p>
      <w:pPr>
        <w:spacing w:after="0" w:line="162"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14</w:t>
      </w:r>
    </w:p>
    <w:p>
      <w:pPr>
        <w:sectPr>
          <w:pgSz w:w="11900" w:h="16838" w:orient="portrait"/>
          <w:cols w:equalWidth="0" w:num="1">
            <w:col w:w="11020"/>
          </w:cols>
          <w:pgMar w:left="440" w:top="274" w:right="4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 SURVIVORS’ PENSIONS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Surviving Spouse Pension</w:t>
      </w:r>
    </w:p>
    <w:p>
      <w:pPr>
        <w:spacing w:after="0" w:line="131" w:lineRule="exact"/>
        <w:rPr>
          <w:sz w:val="20"/>
          <w:szCs w:val="20"/>
          <w:color w:val="auto"/>
        </w:rPr>
      </w:pPr>
    </w:p>
    <w:p>
      <w:pPr>
        <w:ind w:left="860" w:hanging="424"/>
        <w:spacing w:after="0"/>
        <w:tabs>
          <w:tab w:leader="none" w:pos="8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 When a Participant dies, his surviving Spouse shall receive a pension.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Pension Amount</w:t>
      </w:r>
    </w:p>
    <w:p>
      <w:pPr>
        <w:spacing w:after="0" w:line="134" w:lineRule="exact"/>
        <w:rPr>
          <w:rFonts w:ascii="Arial" w:cs="Arial" w:eastAsia="Arial" w:hAnsi="Arial"/>
          <w:sz w:val="18"/>
          <w:szCs w:val="18"/>
          <w:color w:val="auto"/>
        </w:rPr>
      </w:pPr>
    </w:p>
    <w:p>
      <w:pPr>
        <w:ind w:left="1420" w:right="100" w:hanging="538"/>
        <w:spacing w:after="0" w:line="277" w:lineRule="auto"/>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pension for the Surviving Spouse of a deceased retirement Pensioner shall be 60% of the pension formerly paid to the deceased Pensioner.</w:t>
      </w:r>
    </w:p>
    <w:p>
      <w:pPr>
        <w:spacing w:after="0" w:line="75" w:lineRule="exact"/>
        <w:rPr>
          <w:rFonts w:ascii="Arial" w:cs="Arial" w:eastAsia="Arial" w:hAnsi="Arial"/>
          <w:sz w:val="18"/>
          <w:szCs w:val="18"/>
          <w:color w:val="auto"/>
        </w:rPr>
      </w:pPr>
    </w:p>
    <w:p>
      <w:pPr>
        <w:ind w:left="1420" w:right="180" w:hanging="538"/>
        <w:spacing w:after="0" w:line="277" w:lineRule="auto"/>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monthly pension for the Surviving Spouse of an active or disabled Participant shall be 60% of his presumed normal retirement pension. The presumed normal retirement pension equals the sum of:</w:t>
      </w:r>
    </w:p>
    <w:p>
      <w:pPr>
        <w:spacing w:after="0" w:line="75" w:lineRule="exact"/>
        <w:rPr>
          <w:rFonts w:ascii="Arial" w:cs="Arial" w:eastAsia="Arial" w:hAnsi="Arial"/>
          <w:sz w:val="18"/>
          <w:szCs w:val="18"/>
          <w:color w:val="auto"/>
        </w:rPr>
      </w:pPr>
    </w:p>
    <w:p>
      <w:pPr>
        <w:ind w:left="1860" w:right="360" w:hanging="425"/>
        <w:spacing w:after="0" w:line="277" w:lineRule="auto"/>
        <w:tabs>
          <w:tab w:leader="none" w:pos="186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An amount based on the deceased’s pension entitlement at the time he ceased to be a Participant, calculated as provided in Section 5.1 B,</w:t>
      </w:r>
    </w:p>
    <w:p>
      <w:pPr>
        <w:spacing w:after="0" w:line="62"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Plus</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An amount equal to [1.8% x Sdf x Sp] / 12</w:t>
      </w:r>
    </w:p>
    <w:p>
      <w:pPr>
        <w:spacing w:after="0" w:line="11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Sdf = Final Three-Year Pension-Bearing Pay as defined in Section 1.25.</w:t>
      </w:r>
    </w:p>
    <w:p>
      <w:pPr>
        <w:spacing w:after="0" w:line="117" w:lineRule="exact"/>
        <w:rPr>
          <w:rFonts w:ascii="Arial" w:cs="Arial" w:eastAsia="Arial" w:hAnsi="Arial"/>
          <w:sz w:val="18"/>
          <w:szCs w:val="18"/>
          <w:color w:val="auto"/>
        </w:rPr>
      </w:pPr>
    </w:p>
    <w:p>
      <w:pPr>
        <w:ind w:left="1880" w:right="320"/>
        <w:spacing w:after="0" w:line="277" w:lineRule="auto"/>
        <w:rPr>
          <w:rFonts w:ascii="Arial" w:cs="Arial" w:eastAsia="Arial" w:hAnsi="Arial"/>
          <w:sz w:val="18"/>
          <w:szCs w:val="18"/>
          <w:color w:val="auto"/>
        </w:rPr>
      </w:pPr>
      <w:r>
        <w:rPr>
          <w:rFonts w:ascii="Arial" w:cs="Arial" w:eastAsia="Arial" w:hAnsi="Arial"/>
          <w:sz w:val="18"/>
          <w:szCs w:val="18"/>
          <w:color w:val="auto"/>
        </w:rPr>
        <w:t>Sp = Months of projected Participation Credit assuming the deceased had continued as a Participant until reaching Normal Retirement Date, at most 540, or 45 years.</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Surviving Spouse pension shall be subject to reductions as provided in Sections 6.1 C and D and 6.3.</w:t>
      </w:r>
    </w:p>
    <w:p>
      <w:pPr>
        <w:spacing w:after="0" w:line="126" w:lineRule="exact"/>
        <w:rPr>
          <w:rFonts w:ascii="Arial" w:cs="Arial" w:eastAsia="Arial" w:hAnsi="Arial"/>
          <w:sz w:val="18"/>
          <w:szCs w:val="18"/>
          <w:color w:val="auto"/>
        </w:rPr>
      </w:pPr>
    </w:p>
    <w:p>
      <w:pPr>
        <w:ind w:left="860" w:right="600" w:hanging="424"/>
        <w:spacing w:after="0" w:line="347" w:lineRule="auto"/>
        <w:tabs>
          <w:tab w:leader="none" w:pos="86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Reduction of Surviving Spouse Pension </w:t>
      </w:r>
      <w:r>
        <w:rPr>
          <w:rFonts w:ascii="Arial" w:cs="Arial" w:eastAsia="Arial" w:hAnsi="Arial"/>
          <w:sz w:val="16"/>
          <w:szCs w:val="16"/>
          <w:color w:val="auto"/>
        </w:rPr>
        <w:t>- If the Surviving Spouse is at least 10 years younger than the deceased spouse,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survivor’s pension shall be reduced by 1% per year for each year or fraction thereof exceeding the 10 years’ age difference</w:t>
      </w:r>
    </w:p>
    <w:p>
      <w:pPr>
        <w:spacing w:after="0" w:line="21" w:lineRule="exact"/>
        <w:rPr>
          <w:rFonts w:ascii="Arial" w:cs="Arial" w:eastAsia="Arial" w:hAnsi="Arial"/>
          <w:sz w:val="16"/>
          <w:szCs w:val="16"/>
          <w:color w:val="auto"/>
        </w:rPr>
      </w:pPr>
    </w:p>
    <w:p>
      <w:pPr>
        <w:ind w:left="860" w:right="280" w:hanging="424"/>
        <w:spacing w:after="0" w:line="313" w:lineRule="auto"/>
        <w:tabs>
          <w:tab w:leader="none" w:pos="860"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 xml:space="preserve">Marriage after reaching the age of 65 </w:t>
      </w:r>
      <w:r>
        <w:rPr>
          <w:rFonts w:ascii="Arial" w:cs="Arial" w:eastAsia="Arial" w:hAnsi="Arial"/>
          <w:sz w:val="17"/>
          <w:szCs w:val="17"/>
          <w:color w:val="auto"/>
        </w:rPr>
        <w:t>- When a deceased Pensioner has contracted marriage after reaching the age of 65, the Surviving</w:t>
      </w:r>
      <w:r>
        <w:rPr>
          <w:rFonts w:ascii="Arial" w:cs="Arial" w:eastAsia="Arial" w:hAnsi="Arial"/>
          <w:sz w:val="17"/>
          <w:szCs w:val="17"/>
          <w:b w:val="1"/>
          <w:bCs w:val="1"/>
          <w:color w:val="auto"/>
        </w:rPr>
        <w:t xml:space="preserve"> </w:t>
      </w:r>
      <w:r>
        <w:rPr>
          <w:rFonts w:ascii="Arial" w:cs="Arial" w:eastAsia="Arial" w:hAnsi="Arial"/>
          <w:sz w:val="17"/>
          <w:szCs w:val="17"/>
          <w:color w:val="auto"/>
        </w:rPr>
        <w:t>Spouse’s pension, reduced if appropriate according to C above, shall be further reduced according to the following scale:</w:t>
      </w:r>
    </w:p>
    <w:p>
      <w:pPr>
        <w:spacing w:after="0" w:line="75"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15</w:t>
      </w:r>
    </w:p>
    <w:p>
      <w:pPr>
        <w:sectPr>
          <w:pgSz w:w="11900" w:h="16838" w:orient="portrait"/>
          <w:cols w:equalWidth="0" w:num="1">
            <w:col w:w="11020"/>
          </w:cols>
          <w:pgMar w:left="440" w:top="270" w:right="439" w:bottom="1440" w:gutter="0" w:footer="0" w:header="0"/>
        </w:sectPr>
      </w:pPr>
    </w:p>
    <w:bookmarkStart w:id="112" w:name="page113"/>
    <w:bookmarkEnd w:id="112"/>
    <w:tbl>
      <w:tblPr>
        <w:tblLayout w:type="fixed"/>
        <w:tblInd w:w="1780" w:type="dxa"/>
        <w:tblCellMar>
          <w:top w:w="0" w:type="dxa"/>
          <w:left w:w="0" w:type="dxa"/>
          <w:bottom w:w="0" w:type="dxa"/>
          <w:right w:w="0" w:type="dxa"/>
        </w:tblCellMar>
      </w:tblP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Age at marriage</w:t>
            </w:r>
          </w:p>
        </w:tc>
        <w:tc>
          <w:tcPr>
            <w:tcW w:w="3880" w:type="dxa"/>
            <w:vAlign w:val="bottom"/>
          </w:tcPr>
          <w:p>
            <w:pPr>
              <w:jc w:val="right"/>
              <w:ind w:right="114"/>
              <w:spacing w:after="0"/>
              <w:rPr>
                <w:sz w:val="20"/>
                <w:szCs w:val="20"/>
                <w:color w:val="auto"/>
              </w:rPr>
            </w:pPr>
            <w:r>
              <w:rPr>
                <w:rFonts w:ascii="Arial" w:cs="Arial" w:eastAsia="Arial" w:hAnsi="Arial"/>
                <w:sz w:val="14"/>
                <w:szCs w:val="14"/>
                <w:color w:val="auto"/>
              </w:rPr>
              <w:t>Rate of reduction</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66</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67</w:t>
            </w:r>
          </w:p>
        </w:tc>
        <w:tc>
          <w:tcPr>
            <w:tcW w:w="3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68</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69</w:t>
            </w:r>
          </w:p>
        </w:tc>
        <w:tc>
          <w:tcPr>
            <w:tcW w:w="388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80" w:right="440"/>
        <w:spacing w:after="0" w:line="308" w:lineRule="auto"/>
        <w:rPr>
          <w:sz w:val="20"/>
          <w:szCs w:val="20"/>
          <w:color w:val="auto"/>
        </w:rPr>
      </w:pPr>
      <w:r>
        <w:rPr>
          <w:rFonts w:ascii="Arial" w:cs="Arial" w:eastAsia="Arial" w:hAnsi="Arial"/>
          <w:sz w:val="17"/>
          <w:szCs w:val="17"/>
          <w:color w:val="auto"/>
        </w:rPr>
        <w:t>No Surviving Spouse’s pension shall be payable if the marriage was contracted after the age of 69, or if at the time of the marriage, the Pensioner had reached age 65 and suffered from a serious disease which was known to him and of which he died.</w:t>
      </w:r>
    </w:p>
    <w:p>
      <w:pPr>
        <w:spacing w:after="0" w:line="48" w:lineRule="exact"/>
        <w:rPr>
          <w:sz w:val="20"/>
          <w:szCs w:val="20"/>
          <w:color w:val="auto"/>
        </w:rPr>
      </w:pPr>
    </w:p>
    <w:p>
      <w:pPr>
        <w:jc w:val="both"/>
        <w:ind w:left="860" w:right="20" w:hanging="424"/>
        <w:spacing w:after="0" w:line="266" w:lineRule="auto"/>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Surviving Spouse Pension </w:t>
      </w:r>
      <w:r>
        <w:rPr>
          <w:rFonts w:ascii="Arial" w:cs="Arial" w:eastAsia="Arial" w:hAnsi="Arial"/>
          <w:sz w:val="18"/>
          <w:szCs w:val="18"/>
          <w:color w:val="auto"/>
        </w:rPr>
        <w:t>- A Surviving Spouse’s pension shall cease with payment made for the quarter in which he dies</w:t>
      </w:r>
      <w:r>
        <w:rPr>
          <w:rFonts w:ascii="Arial" w:cs="Arial" w:eastAsia="Arial" w:hAnsi="Arial"/>
          <w:sz w:val="18"/>
          <w:szCs w:val="18"/>
          <w:b w:val="1"/>
          <w:bCs w:val="1"/>
          <w:color w:val="auto"/>
        </w:rPr>
        <w:t xml:space="preserve"> </w:t>
      </w:r>
      <w:r>
        <w:rPr>
          <w:rFonts w:ascii="Arial" w:cs="Arial" w:eastAsia="Arial" w:hAnsi="Arial"/>
          <w:sz w:val="18"/>
          <w:szCs w:val="18"/>
          <w:color w:val="auto"/>
        </w:rPr>
        <w:t>or remarries. If he remarries, he will be paid a settlement allowance equal to 3 years of Surviving Spouse pension payments in lieu of further pension payments.</w:t>
      </w:r>
    </w:p>
    <w:p>
      <w:pPr>
        <w:spacing w:after="0" w:line="85" w:lineRule="exact"/>
        <w:rPr>
          <w:rFonts w:ascii="Arial" w:cs="Arial" w:eastAsia="Arial" w:hAnsi="Arial"/>
          <w:sz w:val="18"/>
          <w:szCs w:val="18"/>
          <w:color w:val="auto"/>
        </w:rPr>
      </w:pPr>
    </w:p>
    <w:p>
      <w:pPr>
        <w:ind w:left="860" w:hanging="424"/>
        <w:spacing w:after="0"/>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benefits for a divorced Spouse are limited to that of the minimum LPP benefit.</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Orphan Pensions</w:t>
      </w:r>
    </w:p>
    <w:p>
      <w:pPr>
        <w:spacing w:after="0" w:line="131" w:lineRule="exact"/>
        <w:rPr>
          <w:sz w:val="20"/>
          <w:szCs w:val="20"/>
          <w:color w:val="auto"/>
        </w:rPr>
      </w:pPr>
    </w:p>
    <w:p>
      <w:pPr>
        <w:ind w:left="860" w:hanging="424"/>
        <w:spacing w:after="0"/>
        <w:tabs>
          <w:tab w:leader="none" w:pos="86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 When a Participant dies, each of his Orphans shall receive a pension.</w:t>
      </w:r>
    </w:p>
    <w:p>
      <w:pPr>
        <w:spacing w:after="0" w:line="130" w:lineRule="exact"/>
        <w:rPr>
          <w:rFonts w:ascii="Arial" w:cs="Arial" w:eastAsia="Arial" w:hAnsi="Arial"/>
          <w:sz w:val="18"/>
          <w:szCs w:val="18"/>
          <w:color w:val="auto"/>
        </w:rPr>
      </w:pPr>
    </w:p>
    <w:p>
      <w:pPr>
        <w:jc w:val="both"/>
        <w:ind w:left="860" w:right="500" w:hanging="424"/>
        <w:spacing w:after="0" w:line="266" w:lineRule="auto"/>
        <w:tabs>
          <w:tab w:leader="none" w:pos="86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Orphan Status </w:t>
      </w:r>
      <w:r>
        <w:rPr>
          <w:rFonts w:ascii="Arial" w:cs="Arial" w:eastAsia="Arial" w:hAnsi="Arial"/>
          <w:sz w:val="18"/>
          <w:szCs w:val="18"/>
          <w:color w:val="auto"/>
        </w:rPr>
        <w:t>- Orphans shall be designated as Half or Whole Orphans in accordance with Sections 1,15 and 1.16 except that a Half</w:t>
      </w:r>
      <w:r>
        <w:rPr>
          <w:rFonts w:ascii="Arial" w:cs="Arial" w:eastAsia="Arial" w:hAnsi="Arial"/>
          <w:sz w:val="18"/>
          <w:szCs w:val="18"/>
          <w:b w:val="1"/>
          <w:bCs w:val="1"/>
          <w:color w:val="auto"/>
        </w:rPr>
        <w:t xml:space="preserve"> </w:t>
      </w:r>
      <w:r>
        <w:rPr>
          <w:rFonts w:ascii="Arial" w:cs="Arial" w:eastAsia="Arial" w:hAnsi="Arial"/>
          <w:sz w:val="18"/>
          <w:szCs w:val="18"/>
          <w:color w:val="auto"/>
        </w:rPr>
        <w:t>Orphan may be declared a Whole Orphan by the Board of the Foundation on the recommendation of the employer when no support is available from the surviving parent or step-parent.</w:t>
      </w:r>
    </w:p>
    <w:p>
      <w:pPr>
        <w:spacing w:after="0" w:line="81" w:lineRule="exact"/>
        <w:rPr>
          <w:rFonts w:ascii="Arial" w:cs="Arial" w:eastAsia="Arial" w:hAnsi="Arial"/>
          <w:sz w:val="18"/>
          <w:szCs w:val="18"/>
          <w:color w:val="auto"/>
        </w:rPr>
      </w:pPr>
    </w:p>
    <w:p>
      <w:pPr>
        <w:ind w:left="860" w:right="680" w:hanging="424"/>
        <w:spacing w:after="0" w:line="282" w:lineRule="auto"/>
        <w:tabs>
          <w:tab w:leader="none" w:pos="86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Pension Amount </w:t>
      </w:r>
      <w:r>
        <w:rPr>
          <w:rFonts w:ascii="Arial" w:cs="Arial" w:eastAsia="Arial" w:hAnsi="Arial"/>
          <w:sz w:val="18"/>
          <w:szCs w:val="18"/>
          <w:color w:val="auto"/>
        </w:rPr>
        <w:t>- Orphan pension shall be the following percentage of the actual or presumed employee pension used to calculate</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Spouse Pension as provided in Section 6.1 B:</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Each Half Orphan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760" w:type="dxa"/>
            <w:vAlign w:val="bottom"/>
          </w:tcPr>
          <w:p>
            <w:pPr>
              <w:spacing w:after="0"/>
              <w:rPr>
                <w:sz w:val="18"/>
                <w:szCs w:val="18"/>
                <w:color w:val="auto"/>
              </w:rPr>
            </w:pPr>
          </w:p>
        </w:tc>
      </w:tr>
      <w:tr>
        <w:trPr>
          <w:trHeight w:val="230"/>
        </w:trPr>
        <w:tc>
          <w:tcPr>
            <w:tcW w:w="178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Each Whole Orphan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c>
          <w:tcPr>
            <w:tcW w:w="1760" w:type="dxa"/>
            <w:vAlign w:val="bottom"/>
          </w:tcPr>
          <w:p>
            <w:pPr>
              <w:spacing w:after="0"/>
              <w:rPr>
                <w:sz w:val="20"/>
                <w:szCs w:val="20"/>
                <w:color w:val="auto"/>
              </w:rPr>
            </w:pPr>
          </w:p>
        </w:tc>
      </w:tr>
      <w:tr>
        <w:trPr>
          <w:trHeight w:val="418"/>
        </w:trPr>
        <w:tc>
          <w:tcPr>
            <w:tcW w:w="7660" w:type="dxa"/>
            <w:vAlign w:val="bottom"/>
            <w:gridSpan w:val="2"/>
          </w:tcPr>
          <w:p>
            <w:pPr>
              <w:ind w:left="880"/>
              <w:spacing w:after="0"/>
              <w:rPr>
                <w:sz w:val="20"/>
                <w:szCs w:val="20"/>
                <w:color w:val="auto"/>
              </w:rPr>
            </w:pPr>
            <w:r>
              <w:rPr>
                <w:rFonts w:ascii="Arial" w:cs="Arial" w:eastAsia="Arial" w:hAnsi="Arial"/>
                <w:sz w:val="18"/>
                <w:szCs w:val="18"/>
                <w:color w:val="auto"/>
              </w:rPr>
              <w:t>The Orphan pension shall be subject to reductions as provided in Section 6.3.</w:t>
            </w: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65"/>
        </w:trPr>
        <w:tc>
          <w:tcPr>
            <w:tcW w:w="7660" w:type="dxa"/>
            <w:vAlign w:val="bottom"/>
            <w:gridSpan w:val="2"/>
          </w:tcPr>
          <w:p>
            <w:pPr>
              <w:spacing w:after="0"/>
              <w:rPr>
                <w:sz w:val="20"/>
                <w:szCs w:val="20"/>
                <w:color w:val="auto"/>
              </w:rPr>
            </w:pPr>
            <w:r>
              <w:rPr>
                <w:rFonts w:ascii="Arial" w:cs="Arial" w:eastAsia="Arial" w:hAnsi="Arial"/>
                <w:sz w:val="18"/>
                <w:szCs w:val="18"/>
                <w:color w:val="auto"/>
              </w:rPr>
              <w:t>PENSION PLAN RULES</w:t>
            </w:r>
          </w:p>
        </w:tc>
        <w:tc>
          <w:tcPr>
            <w:tcW w:w="1600" w:type="dxa"/>
            <w:vAlign w:val="bottom"/>
          </w:tcPr>
          <w:p>
            <w:pPr>
              <w:spacing w:after="0"/>
              <w:rPr>
                <w:sz w:val="24"/>
                <w:szCs w:val="24"/>
                <w:color w:val="auto"/>
              </w:rPr>
            </w:pPr>
          </w:p>
        </w:tc>
        <w:tc>
          <w:tcPr>
            <w:tcW w:w="1760" w:type="dxa"/>
            <w:vAlign w:val="bottom"/>
          </w:tcPr>
          <w:p>
            <w:pPr>
              <w:ind w:left="1180"/>
              <w:spacing w:after="0"/>
              <w:rPr>
                <w:sz w:val="20"/>
                <w:szCs w:val="20"/>
                <w:color w:val="auto"/>
              </w:rPr>
            </w:pPr>
            <w:r>
              <w:rPr>
                <w:rFonts w:ascii="Arial" w:cs="Arial" w:eastAsia="Arial" w:hAnsi="Arial"/>
                <w:sz w:val="18"/>
                <w:szCs w:val="18"/>
                <w:color w:val="auto"/>
                <w:w w:val="83"/>
              </w:rPr>
              <w:t>Page 16</w:t>
            </w:r>
          </w:p>
        </w:tc>
      </w:tr>
    </w:tbl>
    <w:p>
      <w:pPr>
        <w:sectPr>
          <w:pgSz w:w="11900" w:h="16838" w:orient="portrait"/>
          <w:cols w:equalWidth="0" w:num="1">
            <w:col w:w="11020"/>
          </w:cols>
          <w:pgMar w:left="440" w:top="269" w:right="439" w:bottom="1440" w:gutter="0" w:footer="0" w:header="0"/>
        </w:sectPr>
      </w:pPr>
    </w:p>
    <w:bookmarkStart w:id="113" w:name="page114"/>
    <w:bookmarkEnd w:id="113"/>
    <w:p>
      <w:pPr>
        <w:ind w:left="860" w:right="120" w:hanging="424"/>
        <w:spacing w:after="0" w:line="261" w:lineRule="auto"/>
        <w:tabs>
          <w:tab w:leader="none" w:pos="8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of Orphan Pension </w:t>
      </w:r>
      <w:r>
        <w:rPr>
          <w:rFonts w:ascii="Arial" w:cs="Arial" w:eastAsia="Arial" w:hAnsi="Arial"/>
          <w:sz w:val="18"/>
          <w:szCs w:val="18"/>
          <w:color w:val="auto"/>
        </w:rPr>
        <w:t>- An Orphan’s pension shall cease with the payment made for the quarter in which he reaches age 20, or</w:t>
      </w:r>
      <w:r>
        <w:rPr>
          <w:rFonts w:ascii="Arial" w:cs="Arial" w:eastAsia="Arial" w:hAnsi="Arial"/>
          <w:sz w:val="18"/>
          <w:szCs w:val="18"/>
          <w:b w:val="1"/>
          <w:bCs w:val="1"/>
          <w:color w:val="auto"/>
        </w:rPr>
        <w:t xml:space="preserve"> </w:t>
      </w:r>
      <w:r>
        <w:rPr>
          <w:rFonts w:ascii="Arial" w:cs="Arial" w:eastAsia="Arial" w:hAnsi="Arial"/>
          <w:sz w:val="18"/>
          <w:szCs w:val="18"/>
          <w:color w:val="auto"/>
        </w:rPr>
        <w:t>25 if receiving training as an apprentice or continuing in school as a full-time student. If an Orphan, who is receiving an orphan pension is permanently disabled when he reaches the age mentioned above, the Orphan pension will continue to be payable according to the degree of disability, and as long as the disability continues.</w:t>
      </w:r>
    </w:p>
    <w:p>
      <w:pPr>
        <w:spacing w:after="0" w:line="8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Maximum Total Surviving Spouse and Orphan Pensions</w:t>
      </w:r>
    </w:p>
    <w:p>
      <w:pPr>
        <w:spacing w:after="0" w:line="12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In no case shall the combined total of Surviving Spouse and Orphan pensions due in respect of any month from this Plan, Lump Sum Death Benefit under Section 7</w:t>
      </w:r>
      <w:r>
        <w:rPr>
          <w:rFonts w:ascii="Arial" w:cs="Arial" w:eastAsia="Arial" w:hAnsi="Arial"/>
          <w:sz w:val="18"/>
          <w:szCs w:val="18"/>
          <w:i w:val="1"/>
          <w:iCs w:val="1"/>
          <w:color w:val="auto"/>
        </w:rPr>
        <w:t>,</w:t>
      </w:r>
      <w:r>
        <w:rPr>
          <w:rFonts w:ascii="Arial" w:cs="Arial" w:eastAsia="Arial" w:hAnsi="Arial"/>
          <w:sz w:val="18"/>
          <w:szCs w:val="18"/>
          <w:color w:val="auto"/>
        </w:rPr>
        <w:t xml:space="preserve"> Social Security and employer Insurance plans exceed the greater of 100% of the deceased’s final Monthly Pay or his final three-year average Monthly Pay. The combined total of the Surviving Spouse and Orphan pensions paid in any month from this Plan only shall not exceed 100% of:</w:t>
      </w:r>
    </w:p>
    <w:p>
      <w:pPr>
        <w:spacing w:after="0" w:line="92" w:lineRule="exact"/>
        <w:rPr>
          <w:sz w:val="20"/>
          <w:szCs w:val="20"/>
          <w:color w:val="auto"/>
        </w:rPr>
      </w:pPr>
    </w:p>
    <w:p>
      <w:pPr>
        <w:ind w:left="860" w:hanging="424"/>
        <w:spacing w:after="0"/>
        <w:tabs>
          <w:tab w:leader="none" w:pos="8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deceased’s actual normal or early retirement pension from this Plan or</w:t>
      </w:r>
    </w:p>
    <w:p>
      <w:pPr>
        <w:spacing w:after="0" w:line="130" w:lineRule="exact"/>
        <w:rPr>
          <w:rFonts w:ascii="Arial" w:cs="Arial" w:eastAsia="Arial" w:hAnsi="Arial"/>
          <w:sz w:val="18"/>
          <w:szCs w:val="18"/>
          <w:color w:val="auto"/>
        </w:rPr>
      </w:pPr>
    </w:p>
    <w:p>
      <w:pPr>
        <w:ind w:left="860" w:right="60" w:hanging="424"/>
        <w:spacing w:after="0" w:line="264" w:lineRule="auto"/>
        <w:tabs>
          <w:tab w:leader="none" w:pos="8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his presumed normal retirement pension calculated according to Section 5.1 B. Any necessary reductions shall be applied pro rata to each Foundation pension. For purpose of calculation, benefits, which are not in the form of a monthly pension, shall be converted to such form in accordance with the actuarial rules of this Plan.</w:t>
      </w:r>
    </w:p>
    <w:p>
      <w:pPr>
        <w:spacing w:after="0" w:line="73" w:lineRule="exact"/>
        <w:rPr>
          <w:sz w:val="20"/>
          <w:szCs w:val="20"/>
          <w:color w:val="auto"/>
        </w:rPr>
      </w:pPr>
    </w:p>
    <w:p>
      <w:pPr>
        <w:ind w:left="880" w:right="300"/>
        <w:spacing w:after="0" w:line="277" w:lineRule="auto"/>
        <w:rPr>
          <w:sz w:val="20"/>
          <w:szCs w:val="20"/>
          <w:color w:val="auto"/>
        </w:rPr>
      </w:pPr>
      <w:r>
        <w:rPr>
          <w:rFonts w:ascii="Arial" w:cs="Arial" w:eastAsia="Arial" w:hAnsi="Arial"/>
          <w:sz w:val="18"/>
          <w:szCs w:val="18"/>
          <w:color w:val="auto"/>
        </w:rPr>
        <w:t>After the normal AVS retirement age, the old age benefits paid by Swiss or foreign social insurances or pension funds are also taken into account.</w:t>
      </w:r>
    </w:p>
    <w:p>
      <w:pPr>
        <w:spacing w:after="0" w:line="62"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The Foundation will not compensate any benefits denied or refused relying on Article 25 OPP2, Article 20 (2ter) and (2quarter) LAA, or Article 47(1) LAM. This paragraph applies by analogy to foreign benefits..</w:t>
      </w:r>
    </w:p>
    <w:p>
      <w:pPr>
        <w:spacing w:after="0" w:line="10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17</w:t>
      </w:r>
    </w:p>
    <w:p>
      <w:pPr>
        <w:sectPr>
          <w:pgSz w:w="11900" w:h="16838" w:orient="portrait"/>
          <w:cols w:equalWidth="0" w:num="1">
            <w:col w:w="11020"/>
          </w:cols>
          <w:pgMar w:left="440" w:top="270" w:right="439" w:bottom="1440" w:gutter="0" w:footer="0" w:header="0"/>
        </w:sectPr>
      </w:pPr>
    </w:p>
    <w:bookmarkStart w:id="114" w:name="page115"/>
    <w:bookmarkEnd w:id="114"/>
    <w:p>
      <w:pPr>
        <w:ind w:left="440" w:righ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benefits are reduced following a divorce, the benefits to which beneficiaries would have been entitled without the reduction shall be authoritative.</w:t>
      </w:r>
    </w:p>
    <w:p>
      <w:pPr>
        <w:spacing w:after="0" w:line="62"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Survivor pensions, after reflecting any applicable reductions, are generally fixed as of the time they are first payable. However, such pensions will be reviewed and recalculated as necessary whenever there is a change in a) the calculation basis for benefits paid from the above sources, or b) the number of beneficiaries. For the purpose of this calculation, the last monthly salary or the average monthly salary of the last three years before death will be indexed to the cost of living.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LUMP-SUM DEATH BENEFIT</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Lump-sum Death Benefit</w:t>
      </w:r>
    </w:p>
    <w:p>
      <w:pPr>
        <w:spacing w:after="0" w:line="131" w:lineRule="exact"/>
        <w:rPr>
          <w:sz w:val="20"/>
          <w:szCs w:val="20"/>
          <w:color w:val="auto"/>
        </w:rPr>
      </w:pPr>
    </w:p>
    <w:p>
      <w:pPr>
        <w:ind w:left="860" w:right="60" w:hanging="424"/>
        <w:spacing w:after="0" w:line="282" w:lineRule="auto"/>
        <w:tabs>
          <w:tab w:leader="none" w:pos="8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Entitlement </w:t>
      </w:r>
      <w:r>
        <w:rPr>
          <w:rFonts w:ascii="Arial" w:cs="Arial" w:eastAsia="Arial" w:hAnsi="Arial"/>
          <w:sz w:val="18"/>
          <w:szCs w:val="18"/>
          <w:color w:val="auto"/>
        </w:rPr>
        <w:t>- When an active or disabled Participant dies due to a cause other than an accident, his or her beneficiaries shall receive a lump</w:t>
      </w:r>
      <w:r>
        <w:rPr>
          <w:rFonts w:ascii="Arial" w:cs="Arial" w:eastAsia="Arial" w:hAnsi="Arial"/>
          <w:sz w:val="18"/>
          <w:szCs w:val="18"/>
          <w:b w:val="1"/>
          <w:bCs w:val="1"/>
          <w:color w:val="auto"/>
        </w:rPr>
        <w:t xml:space="preserve"> </w:t>
      </w:r>
      <w:r>
        <w:rPr>
          <w:rFonts w:ascii="Arial" w:cs="Arial" w:eastAsia="Arial" w:hAnsi="Arial"/>
          <w:sz w:val="18"/>
          <w:szCs w:val="18"/>
          <w:color w:val="auto"/>
        </w:rPr>
        <w:t>sum payment.</w:t>
      </w:r>
    </w:p>
    <w:p>
      <w:pPr>
        <w:spacing w:after="0" w:line="5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The beneficiaries are understood to be, in the following order: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surviving spouse,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failing him, the Participant’s children who are in receipt of an Orphan’s Pension, in equal shares,</w:t>
      </w:r>
    </w:p>
    <w:p>
      <w:pPr>
        <w:spacing w:after="0" w:line="130" w:lineRule="exact"/>
        <w:rPr>
          <w:rFonts w:ascii="Arial" w:cs="Arial" w:eastAsia="Arial" w:hAnsi="Arial"/>
          <w:sz w:val="18"/>
          <w:szCs w:val="18"/>
          <w:color w:val="auto"/>
        </w:rPr>
      </w:pPr>
    </w:p>
    <w:p>
      <w:pPr>
        <w:ind w:left="1420" w:right="180" w:hanging="538"/>
        <w:spacing w:after="0" w:line="277" w:lineRule="auto"/>
        <w:tabs>
          <w:tab w:leader="none" w:pos="14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failing him, the dependants of the Participant, or the person who cohabitated with the latter for an uninterrupted period of at least 5 years immediately before his death, or who supports one or more common child, in equal shares,</w:t>
      </w:r>
    </w:p>
    <w:p>
      <w:pPr>
        <w:spacing w:after="0" w:line="75" w:lineRule="exact"/>
        <w:rPr>
          <w:rFonts w:ascii="Arial" w:cs="Arial" w:eastAsia="Arial" w:hAnsi="Arial"/>
          <w:sz w:val="18"/>
          <w:szCs w:val="18"/>
          <w:color w:val="auto"/>
        </w:rPr>
      </w:pPr>
    </w:p>
    <w:p>
      <w:pPr>
        <w:ind w:left="1420" w:right="20" w:hanging="538"/>
        <w:spacing w:after="0" w:line="277" w:lineRule="auto"/>
        <w:tabs>
          <w:tab w:leader="none" w:pos="14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failing them, any children of the Participant who are not beneficiaries of an Orphan’s pension, parents or brothers and sisters in equal shares,</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failing them, other legal heirs, excluding public bodies, in the amount of 50% of the lump-sum benefit.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Participant may modify the foregoing order of beneficiaries by sending during his or her lifetime a written appointment, to the</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Foundation:</w:t>
      </w:r>
    </w:p>
    <w:p>
      <w:pPr>
        <w:spacing w:after="0" w:line="116" w:lineRule="exact"/>
        <w:rPr>
          <w:sz w:val="20"/>
          <w:szCs w:val="20"/>
          <w:color w:val="auto"/>
        </w:rPr>
      </w:pPr>
    </w:p>
    <w:p>
      <w:pPr>
        <w:ind w:left="1420" w:right="100" w:hanging="538"/>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he may grant all or part of the lump-sum death benefits to the surviving spouse, or his children who are beneficiaries of an Orphan’s Pension.</w:t>
      </w:r>
    </w:p>
    <w:p>
      <w:pPr>
        <w:spacing w:after="0" w:line="10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18</w:t>
      </w:r>
    </w:p>
    <w:p>
      <w:pPr>
        <w:sectPr>
          <w:pgSz w:w="11900" w:h="16838" w:orient="portrait"/>
          <w:cols w:equalWidth="0" w:num="1">
            <w:col w:w="11020"/>
          </w:cols>
          <w:pgMar w:left="440" w:top="274" w:right="439" w:bottom="1440" w:gutter="0" w:footer="0" w:header="0"/>
        </w:sectPr>
      </w:pPr>
    </w:p>
    <w:bookmarkStart w:id="115" w:name="page116"/>
    <w:bookmarkEnd w:id="115"/>
    <w:p>
      <w:pPr>
        <w:ind w:left="1420" w:right="20" w:hanging="538"/>
        <w:spacing w:after="0" w:line="277" w:lineRule="auto"/>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instead of the granting of equal shares, he may provide for a different distribution of the lump-sum death benefit in favour of persons in one of the categories provided in paragraphs a) et seq. above.</w:t>
      </w:r>
    </w:p>
    <w:p>
      <w:pPr>
        <w:spacing w:after="0" w:line="62" w:lineRule="exact"/>
        <w:rPr>
          <w:sz w:val="20"/>
          <w:szCs w:val="20"/>
          <w:color w:val="auto"/>
        </w:rPr>
      </w:pPr>
    </w:p>
    <w:p>
      <w:pPr>
        <w:jc w:val="both"/>
        <w:ind w:left="880" w:right="340"/>
        <w:spacing w:after="0" w:line="264" w:lineRule="auto"/>
        <w:rPr>
          <w:sz w:val="20"/>
          <w:szCs w:val="20"/>
          <w:color w:val="auto"/>
        </w:rPr>
      </w:pPr>
      <w:r>
        <w:rPr>
          <w:rFonts w:ascii="Arial" w:cs="Arial" w:eastAsia="Arial" w:hAnsi="Arial"/>
          <w:sz w:val="18"/>
          <w:szCs w:val="18"/>
          <w:color w:val="auto"/>
        </w:rPr>
        <w:t>Failing an appointment, beneficiaries must claim their entitlement from the Foundation within 6 months of the Participant’s death. They must show that they meet the required conditions. If there are no beneficiaries, within the meaning of this Section, the lump-sum death benefits shall vest with the Foundation.</w:t>
      </w:r>
    </w:p>
    <w:p>
      <w:pPr>
        <w:spacing w:after="0" w:line="83" w:lineRule="exact"/>
        <w:rPr>
          <w:sz w:val="20"/>
          <w:szCs w:val="20"/>
          <w:color w:val="auto"/>
        </w:rPr>
      </w:pPr>
    </w:p>
    <w:p>
      <w:pPr>
        <w:ind w:left="860" w:hanging="424"/>
        <w:spacing w:after="0"/>
        <w:tabs>
          <w:tab w:leader="none" w:pos="86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Amount </w:t>
      </w:r>
      <w:r>
        <w:rPr>
          <w:rFonts w:ascii="Arial" w:cs="Arial" w:eastAsia="Arial" w:hAnsi="Arial"/>
          <w:sz w:val="18"/>
          <w:szCs w:val="18"/>
          <w:color w:val="auto"/>
        </w:rPr>
        <w:t>- The lump-sum death benefit is 13 times the Participant’s gross Monthly Pay at the time of death.</w:t>
      </w:r>
    </w:p>
    <w:p>
      <w:pPr>
        <w:spacing w:after="0" w:line="131" w:lineRule="exact"/>
        <w:rPr>
          <w:sz w:val="20"/>
          <w:szCs w:val="20"/>
          <w:color w:val="auto"/>
        </w:rPr>
      </w:pPr>
    </w:p>
    <w:p>
      <w:pPr>
        <w:ind w:left="440" w:right="60" w:hanging="431"/>
        <w:spacing w:after="0" w:line="255" w:lineRule="auto"/>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 xml:space="preserve">Minimum lump-sum death capital </w:t>
      </w:r>
      <w:r>
        <w:rPr>
          <w:rFonts w:ascii="Arial" w:cs="Arial" w:eastAsia="Arial" w:hAnsi="Arial"/>
          <w:sz w:val="18"/>
          <w:szCs w:val="18"/>
          <w:color w:val="auto"/>
        </w:rPr>
        <w:t>- In the event of the death of a Participant, entitlement to a lump-sum death benefit is established. If the</w:t>
      </w:r>
      <w:r>
        <w:rPr>
          <w:rFonts w:ascii="Arial" w:cs="Arial" w:eastAsia="Arial" w:hAnsi="Arial"/>
          <w:sz w:val="18"/>
          <w:szCs w:val="18"/>
          <w:b w:val="1"/>
          <w:bCs w:val="1"/>
          <w:color w:val="auto"/>
        </w:rPr>
        <w:t xml:space="preserve"> </w:t>
      </w:r>
      <w:r>
        <w:rPr>
          <w:rFonts w:ascii="Arial" w:cs="Arial" w:eastAsia="Arial" w:hAnsi="Arial"/>
          <w:sz w:val="18"/>
          <w:szCs w:val="18"/>
          <w:color w:val="auto"/>
        </w:rPr>
        <w:t>deceased’s own contributions exceed the benefits already paid and benefits due under this Plan, the difference is paid as a lump-sum death capital. The term “own contributions of the deceased” is understood to mean contributions to Portable Benefits, buying in credits and personal contributions, including voluntary contributions, all with interest until the end of the month in which the contributions were paid. The term “benefits paid and benefits due” is understood to mean benefits paid to the insured and his survivors in the form of a pension or capital, as well as the capitalised value of survivors’ pensions which begin to run after the death. The lump-sum death benefit is paid to a beneficiary defined under Section 7.1.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PORTABLE BENEFIT</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Entitlement</w:t>
      </w:r>
    </w:p>
    <w:p>
      <w:pPr>
        <w:spacing w:after="0" w:line="121" w:lineRule="exact"/>
        <w:rPr>
          <w:sz w:val="20"/>
          <w:szCs w:val="20"/>
          <w:color w:val="auto"/>
        </w:rPr>
      </w:pPr>
    </w:p>
    <w:p>
      <w:pPr>
        <w:ind w:left="440" w:right="280"/>
        <w:spacing w:after="0" w:line="279" w:lineRule="auto"/>
        <w:rPr>
          <w:sz w:val="20"/>
          <w:szCs w:val="20"/>
          <w:color w:val="auto"/>
        </w:rPr>
      </w:pPr>
      <w:r>
        <w:rPr>
          <w:rFonts w:ascii="Arial" w:cs="Arial" w:eastAsia="Arial" w:hAnsi="Arial"/>
          <w:sz w:val="17"/>
          <w:szCs w:val="17"/>
          <w:color w:val="auto"/>
        </w:rPr>
        <w:t>If an active Participant leaves the Foundation prior to an insured event (retirement, disability or death), he is entitled to a portable benefit. The portable benefit earns interest at the minimum LPP rate from that date. Once the Foundation has paid the portable benefit it is released from all benefit obligations. During one month after leaving the Foundation a Participant remains covered for disability and death risks. Should the Participant take up new employment before the end of this period, the new pension institution is liable.</w:t>
      </w:r>
    </w:p>
    <w:p>
      <w:pPr>
        <w:spacing w:after="0" w:line="7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Amount of the portable benefit</w:t>
      </w:r>
    </w:p>
    <w:p>
      <w:pPr>
        <w:spacing w:after="0" w:line="121"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The portable benefit is equivalent to the actual value of the acquired vested rights (on the principle of defined benefits). The actual value factors are shown in attachment 1 to the present rules. The vested rights are composed of:</w:t>
      </w:r>
    </w:p>
    <w:p>
      <w:pPr>
        <w:spacing w:after="0" w:line="76" w:lineRule="exact"/>
        <w:rPr>
          <w:sz w:val="20"/>
          <w:szCs w:val="20"/>
          <w:color w:val="auto"/>
        </w:rPr>
      </w:pPr>
    </w:p>
    <w:p>
      <w:pPr>
        <w:ind w:left="860" w:right="720" w:hanging="424"/>
        <w:spacing w:after="0" w:line="342" w:lineRule="auto"/>
        <w:tabs>
          <w:tab w:leader="none" w:pos="8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 annual retirement pension equal to 1.8% of the last three years average pension bearing pay at the time the employee leaves the company, multiplied by the number of years and months of participation accumulated or bought (participation credit) at that date.</w:t>
      </w:r>
    </w:p>
    <w:p>
      <w:pPr>
        <w:spacing w:after="0" w:line="56"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19</w:t>
      </w:r>
    </w:p>
    <w:p>
      <w:pPr>
        <w:sectPr>
          <w:pgSz w:w="11900" w:h="16838" w:orient="portrait"/>
          <w:cols w:equalWidth="0" w:num="1">
            <w:col w:w="11020"/>
          </w:cols>
          <w:pgMar w:left="440" w:top="274" w:right="439" w:bottom="1440" w:gutter="0" w:footer="0" w:header="0"/>
        </w:sectPr>
      </w:pPr>
    </w:p>
    <w:bookmarkStart w:id="116" w:name="page117"/>
    <w:bookmarkEnd w:id="116"/>
    <w:p>
      <w:pPr>
        <w:ind w:left="440" w:right="4480" w:hanging="4"/>
        <w:spacing w:after="0" w:line="383" w:lineRule="auto"/>
        <w:tabs>
          <w:tab w:leader="none" w:pos="8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annual Surviving Spouse’s pension equal to 60% of the retirement pension. The portable benefit will be at least equivalent to:</w:t>
      </w:r>
    </w:p>
    <w:p>
      <w:pPr>
        <w:spacing w:after="0" w:line="1" w:lineRule="exact"/>
        <w:rPr>
          <w:sz w:val="20"/>
          <w:szCs w:val="20"/>
          <w:color w:val="auto"/>
        </w:rPr>
      </w:pPr>
    </w:p>
    <w:p>
      <w:pPr>
        <w:ind w:left="860" w:hanging="424"/>
        <w:spacing w:after="0"/>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Portable benefits brought in plus any participation credit plus interest,</w:t>
      </w:r>
    </w:p>
    <w:p>
      <w:pPr>
        <w:spacing w:after="0" w:line="130" w:lineRule="exact"/>
        <w:rPr>
          <w:rFonts w:ascii="Arial" w:cs="Arial" w:eastAsia="Arial" w:hAnsi="Arial"/>
          <w:sz w:val="18"/>
          <w:szCs w:val="18"/>
          <w:color w:val="auto"/>
        </w:rPr>
      </w:pPr>
    </w:p>
    <w:p>
      <w:pPr>
        <w:ind w:left="860" w:right="220" w:hanging="424"/>
        <w:spacing w:after="0" w:line="277" w:lineRule="auto"/>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amount of contributions paid by the Participant, with interest, increased by 4% per annum as of age 20, but not more than 100% as of age 45 (see table on attachment 4 to the present rules).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interest rate generally equals to the LPP minimum rate; in case of an underfunding, the LPP minimum rate can be decreased by 0.5%.</w:t>
      </w:r>
    </w:p>
    <w:p>
      <w:pPr>
        <w:spacing w:after="0" w:line="1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Attribution of a portable benefit</w:t>
      </w:r>
    </w:p>
    <w:p>
      <w:pPr>
        <w:spacing w:after="0" w:line="121"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The amount of the portable benefit is transferred to the pension institution of the new employer in accordance with the instructions given to the Foundation by the Participant.</w:t>
      </w:r>
    </w:p>
    <w:p>
      <w:pPr>
        <w:spacing w:after="0" w:line="62"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If the Participant does not start work with a new employer, he may choose between subscribing a portable benefits policy and opening a portable benefits account with a pension fund.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 Foundation fails to transfer these benefits within 30 days of receipt of all the relevant information, it shall pay default interest from that time.</w:t>
      </w:r>
    </w:p>
    <w:p>
      <w:pPr>
        <w:spacing w:after="0" w:line="140" w:lineRule="exact"/>
        <w:rPr>
          <w:sz w:val="20"/>
          <w:szCs w:val="20"/>
          <w:color w:val="auto"/>
        </w:rPr>
      </w:pPr>
    </w:p>
    <w:p>
      <w:pPr>
        <w:ind w:left="440" w:right="440"/>
        <w:spacing w:after="0" w:line="342" w:lineRule="auto"/>
        <w:rPr>
          <w:sz w:val="20"/>
          <w:szCs w:val="20"/>
          <w:color w:val="auto"/>
        </w:rPr>
      </w:pPr>
      <w:r>
        <w:rPr>
          <w:rFonts w:ascii="Arial" w:cs="Arial" w:eastAsia="Arial" w:hAnsi="Arial"/>
          <w:sz w:val="16"/>
          <w:szCs w:val="16"/>
          <w:color w:val="auto"/>
        </w:rPr>
        <w:t>If the Participant fails to provide the requisite information within the specified time limit, the Foundation shall transfer the Portable Benefits, including interest, to the Substitute Pension Plan at the earliest 6 months, and at the latest 2 years, after termination of employment.</w:t>
      </w:r>
    </w:p>
    <w:p>
      <w:pPr>
        <w:spacing w:after="0" w:line="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color w:val="auto"/>
        </w:rPr>
        <w:t>Payment in cash</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payment may be made only if the Participant</w:t>
      </w:r>
    </w:p>
    <w:p>
      <w:pPr>
        <w:spacing w:after="0" w:line="131" w:lineRule="exact"/>
        <w:rPr>
          <w:sz w:val="20"/>
          <w:szCs w:val="20"/>
          <w:color w:val="auto"/>
        </w:rPr>
      </w:pPr>
    </w:p>
    <w:p>
      <w:pPr>
        <w:ind w:left="860" w:hanging="424"/>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is entitled to portable benefits of less than the equivalent of one year of participation,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leaves Switzerland permanently, subject to restrictions imposed by international agreements.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leaves the employer to become self-employed, and produces appropriate justification such as registration to the Commercial Register.</w:t>
      </w:r>
    </w:p>
    <w:p>
      <w:pPr>
        <w:spacing w:after="0" w:line="129" w:lineRule="exact"/>
        <w:rPr>
          <w:sz w:val="20"/>
          <w:szCs w:val="20"/>
          <w:color w:val="auto"/>
        </w:rPr>
      </w:pPr>
    </w:p>
    <w:p>
      <w:pPr>
        <w:ind w:left="440" w:right="480"/>
        <w:spacing w:after="0" w:line="277" w:lineRule="auto"/>
        <w:rPr>
          <w:sz w:val="20"/>
          <w:szCs w:val="20"/>
          <w:color w:val="auto"/>
        </w:rPr>
      </w:pPr>
      <w:r>
        <w:rPr>
          <w:rFonts w:ascii="Arial" w:cs="Arial" w:eastAsia="Arial" w:hAnsi="Arial"/>
          <w:sz w:val="18"/>
          <w:szCs w:val="18"/>
          <w:color w:val="auto"/>
        </w:rPr>
        <w:t>If the Participant is married, for any payment in cash, the written agreement of the spouse must be obtained. The Foundation may require an authenticated signature.</w:t>
      </w:r>
    </w:p>
    <w:p>
      <w:pPr>
        <w:spacing w:after="0" w:line="10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20</w:t>
      </w:r>
    </w:p>
    <w:p>
      <w:pPr>
        <w:sectPr>
          <w:pgSz w:w="11900" w:h="16838" w:orient="portrait"/>
          <w:cols w:equalWidth="0" w:num="1">
            <w:col w:w="11020"/>
          </w:cols>
          <w:pgMar w:left="440" w:top="274" w:right="439" w:bottom="1440" w:gutter="0" w:footer="0" w:header="0"/>
        </w:sectPr>
      </w:pPr>
    </w:p>
    <w:bookmarkStart w:id="117" w:name="page118"/>
    <w:bookmarkEnd w:id="117"/>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8.5</w:t>
      </w:r>
      <w:r>
        <w:rPr>
          <w:sz w:val="20"/>
          <w:szCs w:val="20"/>
          <w:color w:val="auto"/>
        </w:rPr>
        <w:tab/>
      </w:r>
      <w:r>
        <w:rPr>
          <w:rFonts w:ascii="Arial" w:cs="Arial" w:eastAsia="Arial" w:hAnsi="Arial"/>
          <w:sz w:val="16"/>
          <w:szCs w:val="16"/>
          <w:b w:val="1"/>
          <w:bCs w:val="1"/>
          <w:color w:val="auto"/>
        </w:rPr>
        <w:t>Transfer to a Group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Plan participation is terminated because of transfer of the Participant to a Group Company, the employer may direct that:</w:t>
      </w:r>
    </w:p>
    <w:p>
      <w:pPr>
        <w:spacing w:after="0" w:line="131" w:lineRule="exact"/>
        <w:rPr>
          <w:sz w:val="20"/>
          <w:szCs w:val="20"/>
          <w:color w:val="auto"/>
        </w:rPr>
      </w:pPr>
    </w:p>
    <w:p>
      <w:pPr>
        <w:ind w:left="860" w:right="180" w:hanging="424"/>
        <w:spacing w:after="0" w:line="277" w:lineRule="auto"/>
        <w:tabs>
          <w:tab w:leader="none" w:pos="8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instead of obtaining a right to future benefits, he retains the Participation Credit already accrued provided, however, that he leaves his own contributions with the Foundation and does not acquire any new benefit participation credit under this Plan; or</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his Participation Credit be transferred to the Group Company.</w:t>
      </w:r>
    </w:p>
    <w:p>
      <w:pPr>
        <w:spacing w:after="0" w:line="117"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The Plan participation of any Participant, who has retained his Participant Credit with the Foundation according letter a) above, shall end when he starts a new employment with the employer.</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b w:val="1"/>
          <w:bCs w:val="1"/>
          <w:color w:val="auto"/>
        </w:rPr>
        <w:t>Disabled Participants</w:t>
      </w:r>
    </w:p>
    <w:p>
      <w:pPr>
        <w:spacing w:after="0" w:line="121" w:lineRule="exact"/>
        <w:rPr>
          <w:sz w:val="20"/>
          <w:szCs w:val="20"/>
          <w:color w:val="auto"/>
        </w:rPr>
      </w:pPr>
    </w:p>
    <w:p>
      <w:pPr>
        <w:ind w:left="440" w:right="140"/>
        <w:spacing w:after="0" w:line="302" w:lineRule="auto"/>
        <w:rPr>
          <w:sz w:val="20"/>
          <w:szCs w:val="20"/>
          <w:color w:val="auto"/>
        </w:rPr>
      </w:pPr>
      <w:r>
        <w:rPr>
          <w:rFonts w:ascii="Arial" w:cs="Arial" w:eastAsia="Arial" w:hAnsi="Arial"/>
          <w:sz w:val="16"/>
          <w:szCs w:val="16"/>
          <w:color w:val="auto"/>
        </w:rPr>
        <w:t>A Disabled Participant who is no longer considered as disabled and who is re-employed by the employer shall again become eligible for participation in the Plan, in which event he shall retain all prior Participation Credit (including participation credit accumulated during the period of disability) as if he had contributed to the plan until the end of disability. If he is not re-employed by the employer he shall receive the Portable Benefit to which he would have been entitled had his employment been terminated at the time he became a Disabled Participant.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APPLICATION FOR AND PAYMENT OF PENSION</w:t>
      </w:r>
    </w:p>
    <w:p>
      <w:pPr>
        <w:spacing w:after="0" w:line="135" w:lineRule="exact"/>
        <w:rPr>
          <w:sz w:val="20"/>
          <w:szCs w:val="20"/>
          <w:color w:val="auto"/>
        </w:rPr>
      </w:pPr>
    </w:p>
    <w:p>
      <w:pPr>
        <w:ind w:left="440" w:hanging="431"/>
        <w:spacing w:after="0" w:line="277" w:lineRule="auto"/>
        <w:tabs>
          <w:tab w:leader="none" w:pos="420" w:val="left"/>
        </w:tabs>
        <w:rPr>
          <w:sz w:val="20"/>
          <w:szCs w:val="20"/>
          <w:color w:val="auto"/>
        </w:rPr>
      </w:pPr>
      <w:r>
        <w:rPr>
          <w:rFonts w:ascii="Arial" w:cs="Arial" w:eastAsia="Arial" w:hAnsi="Arial"/>
          <w:sz w:val="18"/>
          <w:szCs w:val="18"/>
          <w:color w:val="auto"/>
        </w:rPr>
        <w:t>9.1</w:t>
        <w:tab/>
        <w:t>Beneficiaries entitled to payment of benefits under this Plan shall be required to execute application forms and provide reasonable proof of facts as the Foundation may require.</w:t>
      </w:r>
    </w:p>
    <w:p>
      <w:pPr>
        <w:spacing w:after="0" w:line="76" w:lineRule="exact"/>
        <w:rPr>
          <w:sz w:val="20"/>
          <w:szCs w:val="20"/>
          <w:color w:val="auto"/>
        </w:rPr>
      </w:pPr>
    </w:p>
    <w:p>
      <w:pPr>
        <w:ind w:left="440" w:right="220" w:hanging="431"/>
        <w:spacing w:after="0" w:line="277" w:lineRule="auto"/>
        <w:tabs>
          <w:tab w:leader="none" w:pos="420" w:val="left"/>
        </w:tabs>
        <w:rPr>
          <w:sz w:val="20"/>
          <w:szCs w:val="20"/>
          <w:color w:val="auto"/>
        </w:rPr>
      </w:pPr>
      <w:r>
        <w:rPr>
          <w:rFonts w:ascii="Arial" w:cs="Arial" w:eastAsia="Arial" w:hAnsi="Arial"/>
          <w:sz w:val="18"/>
          <w:szCs w:val="18"/>
          <w:color w:val="auto"/>
        </w:rPr>
        <w:t>9.2</w:t>
        <w:tab/>
        <w:t>Retirement pensions shall be paid monthly in advance beginning with the month of effective date of retirement and terminating at the end of the month in which the Pensioner dies.</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Pensions payable to the Survivor(s) shall be paid monthly in advance and shall terminate in accordance with the provision of Section 6.</w:t>
      </w:r>
    </w:p>
    <w:p>
      <w:pPr>
        <w:spacing w:after="0" w:line="131" w:lineRule="exact"/>
        <w:rPr>
          <w:sz w:val="20"/>
          <w:szCs w:val="20"/>
          <w:color w:val="auto"/>
        </w:rPr>
      </w:pPr>
    </w:p>
    <w:p>
      <w:pPr>
        <w:ind w:left="440" w:right="520" w:hanging="431"/>
        <w:spacing w:after="0" w:line="277" w:lineRule="auto"/>
        <w:tabs>
          <w:tab w:leader="none" w:pos="420" w:val="left"/>
        </w:tabs>
        <w:rPr>
          <w:sz w:val="20"/>
          <w:szCs w:val="20"/>
          <w:color w:val="auto"/>
        </w:rPr>
      </w:pPr>
      <w:r>
        <w:rPr>
          <w:rFonts w:ascii="Arial" w:cs="Arial" w:eastAsia="Arial" w:hAnsi="Arial"/>
          <w:sz w:val="18"/>
          <w:szCs w:val="18"/>
          <w:color w:val="auto"/>
        </w:rPr>
        <w:t>9.4</w:t>
        <w:tab/>
        <w:t>If a Pensioner is re-employed by the employer as an Employee, he may with the consent of the employer retain all rights of a Pensioner, but without accruing additional Participation Credit.</w:t>
      </w:r>
    </w:p>
    <w:p>
      <w:pPr>
        <w:spacing w:after="0" w:line="76" w:lineRule="exact"/>
        <w:rPr>
          <w:sz w:val="20"/>
          <w:szCs w:val="20"/>
          <w:color w:val="auto"/>
        </w:rPr>
      </w:pPr>
    </w:p>
    <w:p>
      <w:pPr>
        <w:ind w:left="440" w:right="400" w:hanging="431"/>
        <w:spacing w:after="0" w:line="277" w:lineRule="auto"/>
        <w:tabs>
          <w:tab w:leader="none" w:pos="420" w:val="left"/>
        </w:tabs>
        <w:rPr>
          <w:sz w:val="20"/>
          <w:szCs w:val="20"/>
          <w:color w:val="auto"/>
        </w:rPr>
      </w:pPr>
      <w:r>
        <w:rPr>
          <w:rFonts w:ascii="Arial" w:cs="Arial" w:eastAsia="Arial" w:hAnsi="Arial"/>
          <w:sz w:val="18"/>
          <w:szCs w:val="18"/>
          <w:color w:val="auto"/>
        </w:rPr>
        <w:t>9.5</w:t>
        <w:tab/>
        <w:t>The amount of the monthly pension computed in accordance with this Plan, if not in whole Swiss francs, shall be increased to the next higher Swiss franc.</w:t>
      </w:r>
    </w:p>
    <w:p>
      <w:pPr>
        <w:spacing w:after="0" w:line="10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21</w:t>
      </w:r>
    </w:p>
    <w:p>
      <w:pPr>
        <w:sectPr>
          <w:pgSz w:w="11900" w:h="16838" w:orient="portrait"/>
          <w:cols w:equalWidth="0" w:num="1">
            <w:col w:w="11020"/>
          </w:cols>
          <w:pgMar w:left="440" w:top="270"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10 - GENERAL RULES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10.1  This Plan shall not be construed as giving any person the right of employment with the employer or any Group Company.</w:t>
      </w:r>
    </w:p>
    <w:p>
      <w:pPr>
        <w:spacing w:after="0" w:line="131" w:lineRule="exact"/>
        <w:rPr>
          <w:sz w:val="20"/>
          <w:szCs w:val="20"/>
          <w:color w:val="auto"/>
        </w:rPr>
      </w:pPr>
    </w:p>
    <w:p>
      <w:pPr>
        <w:ind w:left="440" w:right="260" w:hanging="431"/>
        <w:spacing w:after="0" w:line="277" w:lineRule="auto"/>
        <w:rPr>
          <w:sz w:val="20"/>
          <w:szCs w:val="20"/>
          <w:color w:val="auto"/>
        </w:rPr>
      </w:pPr>
      <w:r>
        <w:rPr>
          <w:rFonts w:ascii="Arial" w:cs="Arial" w:eastAsia="Arial" w:hAnsi="Arial"/>
          <w:sz w:val="18"/>
          <w:szCs w:val="18"/>
          <w:color w:val="auto"/>
        </w:rPr>
        <w:t>10.2 Pension and other benefits derived from this Plan are for the sole benefit of the beneficiaries thereof and are not subject to assignment, transfer, enforcement, or levy of any kind except to the extent required by law.</w:t>
      </w:r>
    </w:p>
    <w:p>
      <w:pPr>
        <w:spacing w:after="0" w:line="76" w:lineRule="exact"/>
        <w:rPr>
          <w:sz w:val="20"/>
          <w:szCs w:val="20"/>
          <w:color w:val="auto"/>
        </w:rPr>
      </w:pPr>
    </w:p>
    <w:p>
      <w:pPr>
        <w:ind w:left="440" w:right="80" w:hanging="431"/>
        <w:spacing w:after="0" w:line="264" w:lineRule="auto"/>
        <w:rPr>
          <w:sz w:val="20"/>
          <w:szCs w:val="20"/>
          <w:color w:val="auto"/>
        </w:rPr>
      </w:pPr>
      <w:r>
        <w:rPr>
          <w:rFonts w:ascii="Arial" w:cs="Arial" w:eastAsia="Arial" w:hAnsi="Arial"/>
          <w:sz w:val="18"/>
          <w:szCs w:val="18"/>
          <w:color w:val="auto"/>
        </w:rPr>
        <w:t>10.3 All contributions and benefits payable under this Plan shall be calculated and paid out in Swiss Francs. In the event a Participant’s Monthly Pay is in a currency other than Swiss Francs, his Monthly Pay for the purposes of this Plan shall be the Swiss Franc equivalent of such Monthly Pay converted at the official rate of exchange at the time it is due.</w:t>
      </w:r>
    </w:p>
    <w:p>
      <w:pPr>
        <w:spacing w:after="0" w:line="87" w:lineRule="exact"/>
        <w:rPr>
          <w:sz w:val="20"/>
          <w:szCs w:val="20"/>
          <w:color w:val="auto"/>
        </w:rPr>
      </w:pPr>
    </w:p>
    <w:p>
      <w:pPr>
        <w:ind w:left="440" w:right="160" w:hanging="431"/>
        <w:spacing w:after="0" w:line="286" w:lineRule="auto"/>
        <w:rPr>
          <w:sz w:val="20"/>
          <w:szCs w:val="20"/>
          <w:color w:val="auto"/>
        </w:rPr>
      </w:pPr>
      <w:r>
        <w:rPr>
          <w:rFonts w:ascii="Arial" w:cs="Arial" w:eastAsia="Arial" w:hAnsi="Arial"/>
          <w:sz w:val="17"/>
          <w:szCs w:val="17"/>
          <w:color w:val="auto"/>
        </w:rPr>
        <w:t>10.4 The Foundation, following a decision of the Board of the Foundation, may reduce the benefits accordingly if the AI refuses, reduces or stops benefits because the beneficiary has provoked his death or disability by a serious offence or refuses to follow rehabilitation measure proposed by the AI. However, the reduction may not exceed the extent of the reduction, withdrawal or refusal decided by the AVS / AI.</w:t>
      </w:r>
    </w:p>
    <w:p>
      <w:pPr>
        <w:spacing w:after="0" w:line="71" w:lineRule="exact"/>
        <w:rPr>
          <w:sz w:val="20"/>
          <w:szCs w:val="20"/>
          <w:color w:val="auto"/>
        </w:rPr>
      </w:pPr>
    </w:p>
    <w:p>
      <w:pPr>
        <w:ind w:left="440" w:right="20" w:hanging="431"/>
        <w:spacing w:after="0" w:line="264" w:lineRule="auto"/>
        <w:rPr>
          <w:sz w:val="20"/>
          <w:szCs w:val="20"/>
          <w:color w:val="auto"/>
        </w:rPr>
      </w:pPr>
      <w:r>
        <w:rPr>
          <w:rFonts w:ascii="Arial" w:cs="Arial" w:eastAsia="Arial" w:hAnsi="Arial"/>
          <w:sz w:val="18"/>
          <w:szCs w:val="18"/>
          <w:color w:val="auto"/>
        </w:rPr>
        <w:t>10.5 The current pensions in payment are inflation-adjusted according to the financial capabilities of the Foundation. The Board of the Foundation shall decide each year if and to what extent current pensions should be adjusted. The Foundation will include these decisions in its annual report. The minimum provisions of the LPP are reserved.</w:t>
      </w:r>
    </w:p>
    <w:p>
      <w:pPr>
        <w:spacing w:after="0" w:line="87" w:lineRule="exact"/>
        <w:rPr>
          <w:sz w:val="20"/>
          <w:szCs w:val="20"/>
          <w:color w:val="auto"/>
        </w:rPr>
      </w:pPr>
    </w:p>
    <w:p>
      <w:pPr>
        <w:ind w:left="440" w:right="340" w:hanging="431"/>
        <w:spacing w:after="0" w:line="277" w:lineRule="auto"/>
        <w:rPr>
          <w:sz w:val="20"/>
          <w:szCs w:val="20"/>
          <w:color w:val="auto"/>
        </w:rPr>
      </w:pPr>
      <w:r>
        <w:rPr>
          <w:rFonts w:ascii="Arial" w:cs="Arial" w:eastAsia="Arial" w:hAnsi="Arial"/>
          <w:sz w:val="18"/>
          <w:szCs w:val="18"/>
          <w:color w:val="auto"/>
        </w:rPr>
        <w:t>10.6 All Participants may pledge their portable benefits (maximum accumulated until age 50 or if above, half of that accumulated at the time of the request should it be after age 50) and at the latest at age 62 either by pledge or early withdrawal for</w:t>
      </w:r>
    </w:p>
    <w:p>
      <w:pPr>
        <w:spacing w:after="0" w:line="76" w:lineRule="exact"/>
        <w:rPr>
          <w:sz w:val="20"/>
          <w:szCs w:val="20"/>
          <w:color w:val="auto"/>
        </w:rPr>
      </w:pPr>
    </w:p>
    <w:p>
      <w:pPr>
        <w:ind w:left="860" w:hanging="424"/>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Acquisition or construction of a residence,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Acquisition of part of a co-operative habitable residence,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Redemption of existing mortgages.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Only the principal domicile is covered by such an arrangement.</w:t>
      </w:r>
    </w:p>
    <w:p>
      <w:pPr>
        <w:spacing w:after="0" w:line="117"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The payment incurs simultaneously a reduction of benefits calculated under the present Plan. For the married Participant, the agreement of his spouse is required. The Foundation may require an authenticated signature.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Participant or his heirs must reimburse the amount received from the Foundation if:</w:t>
      </w:r>
    </w:p>
    <w:p>
      <w:pPr>
        <w:spacing w:after="0" w:line="131" w:lineRule="exact"/>
        <w:rPr>
          <w:sz w:val="20"/>
          <w:szCs w:val="20"/>
          <w:color w:val="auto"/>
        </w:rPr>
      </w:pPr>
    </w:p>
    <w:p>
      <w:pPr>
        <w:ind w:left="860" w:hanging="424"/>
        <w:spacing w:after="0"/>
        <w:tabs>
          <w:tab w:leader="none" w:pos="8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property is sold,</w:t>
      </w:r>
    </w:p>
    <w:p>
      <w:pPr>
        <w:spacing w:after="0" w:line="158"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22</w:t>
      </w:r>
    </w:p>
    <w:p>
      <w:pPr>
        <w:sectPr>
          <w:pgSz w:w="11900" w:h="16838" w:orient="portrait"/>
          <w:cols w:equalWidth="0" w:num="1">
            <w:col w:w="11020"/>
          </w:cols>
          <w:pgMar w:left="440" w:top="270" w:right="439" w:bottom="1440" w:gutter="0" w:footer="0" w:header="0"/>
        </w:sectPr>
      </w:pPr>
    </w:p>
    <w:bookmarkStart w:id="119" w:name="page120"/>
    <w:bookmarkEnd w:id="119"/>
    <w:p>
      <w:pPr>
        <w:ind w:left="860" w:hanging="424"/>
        <w:spacing w:after="0"/>
        <w:tabs>
          <w:tab w:leader="none" w:pos="8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equivalent economic transfer rights are granted on the property,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benefits are payable under this plan in the event of the Participant’s death.</w:t>
      </w:r>
    </w:p>
    <w:p>
      <w:pPr>
        <w:spacing w:after="0" w:line="131" w:lineRule="exact"/>
        <w:rPr>
          <w:sz w:val="20"/>
          <w:szCs w:val="20"/>
          <w:color w:val="auto"/>
        </w:rPr>
      </w:pPr>
    </w:p>
    <w:p>
      <w:pPr>
        <w:ind w:left="440" w:right="240" w:hanging="431"/>
        <w:spacing w:after="0" w:line="277" w:lineRule="auto"/>
        <w:rPr>
          <w:sz w:val="20"/>
          <w:szCs w:val="20"/>
          <w:color w:val="auto"/>
        </w:rPr>
      </w:pPr>
      <w:r>
        <w:rPr>
          <w:rFonts w:ascii="Arial" w:cs="Arial" w:eastAsia="Arial" w:hAnsi="Arial"/>
          <w:sz w:val="18"/>
          <w:szCs w:val="18"/>
          <w:color w:val="auto"/>
        </w:rPr>
        <w:t>10.7 All circumstances not covered by the present Rules will be settled by the Board of the Foundation according to its statutes and according to any laws or orders of the Supervisory Authority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10.8  Claims between insured persons, beneficiaries, an employer and the Foundation shall be brought before the competent Cantonal tribunal.</w:t>
      </w:r>
    </w:p>
    <w:p>
      <w:pPr>
        <w:spacing w:after="0" w:line="129"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These Plan Rules have been established in French; they can be translated into other languages. In case of any discrepancies between the French text and the translation, the French text is binding.</w:t>
      </w:r>
    </w:p>
    <w:p>
      <w:pPr>
        <w:spacing w:after="0" w:line="76" w:lineRule="exact"/>
        <w:rPr>
          <w:sz w:val="20"/>
          <w:szCs w:val="20"/>
          <w:color w:val="auto"/>
        </w:rPr>
      </w:pPr>
    </w:p>
    <w:p>
      <w:pPr>
        <w:ind w:left="440" w:right="180" w:hanging="431"/>
        <w:spacing w:after="0" w:line="264" w:lineRule="auto"/>
        <w:rPr>
          <w:sz w:val="20"/>
          <w:szCs w:val="20"/>
          <w:color w:val="auto"/>
        </w:rPr>
      </w:pPr>
      <w:r>
        <w:rPr>
          <w:rFonts w:ascii="Arial" w:cs="Arial" w:eastAsia="Arial" w:hAnsi="Arial"/>
          <w:sz w:val="18"/>
          <w:szCs w:val="18"/>
          <w:color w:val="auto"/>
        </w:rPr>
        <w:t>10.9 When the Foundation, as the last known pension plan, has a temporary obligation to assume payment of disability or survivors’ benefits, the entitlement is limited to the minimal LPP requirements. If it is later established with certainty that the Foundation is not responsible for payment of benefits, it will reclaim such benefits.</w:t>
      </w:r>
    </w:p>
    <w:p>
      <w:pPr>
        <w:spacing w:after="0" w:line="87" w:lineRule="exact"/>
        <w:rPr>
          <w:sz w:val="20"/>
          <w:szCs w:val="20"/>
          <w:color w:val="auto"/>
        </w:rPr>
      </w:pPr>
    </w:p>
    <w:p>
      <w:pPr>
        <w:ind w:left="440" w:right="300" w:hanging="431"/>
        <w:spacing w:after="0" w:line="277" w:lineRule="auto"/>
        <w:rPr>
          <w:sz w:val="20"/>
          <w:szCs w:val="20"/>
          <w:color w:val="auto"/>
        </w:rPr>
      </w:pPr>
      <w:r>
        <w:rPr>
          <w:rFonts w:ascii="Arial" w:cs="Arial" w:eastAsia="Arial" w:hAnsi="Arial"/>
          <w:sz w:val="18"/>
          <w:szCs w:val="18"/>
          <w:color w:val="auto"/>
        </w:rPr>
        <w:t>10.10 Each Participant receives a benefits statement at the time of joining the Foundation, when there is an insurance modification, and in the case of marriage, but at least once a year.</w:t>
      </w:r>
    </w:p>
    <w:p>
      <w:pPr>
        <w:spacing w:after="0" w:line="62" w:lineRule="exact"/>
        <w:rPr>
          <w:sz w:val="20"/>
          <w:szCs w:val="20"/>
          <w:color w:val="auto"/>
        </w:rPr>
      </w:pPr>
    </w:p>
    <w:p>
      <w:pPr>
        <w:jc w:val="both"/>
        <w:ind w:left="440" w:right="160"/>
        <w:spacing w:after="0" w:line="264" w:lineRule="auto"/>
        <w:rPr>
          <w:sz w:val="20"/>
          <w:szCs w:val="20"/>
          <w:color w:val="auto"/>
        </w:rPr>
      </w:pPr>
      <w:r>
        <w:rPr>
          <w:rFonts w:ascii="Arial" w:cs="Arial" w:eastAsia="Arial" w:hAnsi="Arial"/>
          <w:sz w:val="18"/>
          <w:szCs w:val="18"/>
          <w:color w:val="auto"/>
        </w:rPr>
        <w:t>The benefits statement contains information about the Participant’s individual insurance conditions, particularly the following amounts: insured benefits, Pension Bearing Pay, contributions, and portable benefits. In the event of discrepancy between the benefits statement and these Pension Plan Rules, the Rules shall take precedence.</w:t>
      </w:r>
    </w:p>
    <w:p>
      <w:pPr>
        <w:spacing w:after="0" w:line="73"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At least once a year, the Foundation shall inform each Participant, in an appropriate manner, about the Foundation’s organisation, funding, and the composition of the Board of the Foundation.</w:t>
      </w:r>
    </w:p>
    <w:p>
      <w:pPr>
        <w:spacing w:after="0" w:line="62" w:lineRule="exact"/>
        <w:rPr>
          <w:sz w:val="20"/>
          <w:szCs w:val="20"/>
          <w:color w:val="auto"/>
        </w:rPr>
      </w:pPr>
    </w:p>
    <w:p>
      <w:pPr>
        <w:ind w:left="440" w:right="300"/>
        <w:spacing w:after="0" w:line="342" w:lineRule="auto"/>
        <w:rPr>
          <w:sz w:val="20"/>
          <w:szCs w:val="20"/>
          <w:color w:val="auto"/>
        </w:rPr>
      </w:pPr>
      <w:r>
        <w:rPr>
          <w:rFonts w:ascii="Arial" w:cs="Arial" w:eastAsia="Arial" w:hAnsi="Arial"/>
          <w:sz w:val="16"/>
          <w:szCs w:val="16"/>
          <w:color w:val="auto"/>
        </w:rPr>
        <w:t>The Foundation, upon request, shall send Participants a copy of the annual report and financial statements and inform them about the return on capital, the trend in actuarial risk, administration costs, principles for calculating the liabilities, supplemental provisions and coverage ratio.</w:t>
      </w:r>
    </w:p>
    <w:p>
      <w:pPr>
        <w:spacing w:after="0" w:line="29" w:lineRule="exact"/>
        <w:rPr>
          <w:sz w:val="20"/>
          <w:szCs w:val="20"/>
          <w:color w:val="auto"/>
        </w:rPr>
      </w:pPr>
    </w:p>
    <w:p>
      <w:pPr>
        <w:ind w:left="440" w:right="360" w:hanging="431"/>
        <w:spacing w:after="0" w:line="264" w:lineRule="auto"/>
        <w:rPr>
          <w:sz w:val="20"/>
          <w:szCs w:val="20"/>
          <w:color w:val="auto"/>
        </w:rPr>
      </w:pPr>
      <w:r>
        <w:rPr>
          <w:rFonts w:ascii="Arial" w:cs="Arial" w:eastAsia="Arial" w:hAnsi="Arial"/>
          <w:sz w:val="18"/>
          <w:szCs w:val="18"/>
          <w:color w:val="auto"/>
        </w:rPr>
        <w:t>10.11 Benefits are generally paid into an account in Switzerland; in case of payments made into an account abroad, benefits are reduced by the bank service charges. However, beneficiaries domiciled in a member state of EU or EFTA may request payment on an account in their country of residence without any reduction.</w:t>
      </w:r>
    </w:p>
    <w:p>
      <w:pPr>
        <w:spacing w:after="0" w:line="87" w:lineRule="exact"/>
        <w:rPr>
          <w:sz w:val="20"/>
          <w:szCs w:val="20"/>
          <w:color w:val="auto"/>
        </w:rPr>
      </w:pPr>
    </w:p>
    <w:p>
      <w:pPr>
        <w:ind w:left="440" w:right="100" w:hanging="431"/>
        <w:spacing w:after="0" w:line="277" w:lineRule="auto"/>
        <w:rPr>
          <w:sz w:val="20"/>
          <w:szCs w:val="20"/>
          <w:color w:val="auto"/>
        </w:rPr>
      </w:pPr>
      <w:r>
        <w:rPr>
          <w:rFonts w:ascii="Arial" w:cs="Arial" w:eastAsia="Arial" w:hAnsi="Arial"/>
          <w:sz w:val="18"/>
          <w:szCs w:val="18"/>
          <w:color w:val="auto"/>
        </w:rPr>
        <w:t>10.12 The Foundation can claim repayment of benefits wrongfully obtained or paid, in particular portable benefits which have been provided to eligible disabled participants. If no repayment occurs, the Foundation shall reduce its benefits accordingly.</w:t>
      </w:r>
    </w:p>
    <w:p>
      <w:pPr>
        <w:spacing w:after="0" w:line="10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23</w:t>
      </w:r>
    </w:p>
    <w:p>
      <w:pPr>
        <w:sectPr>
          <w:pgSz w:w="11900" w:h="16838" w:orient="portrait"/>
          <w:cols w:equalWidth="0" w:num="1">
            <w:col w:w="11020"/>
          </w:cols>
          <w:pgMar w:left="440" w:top="274" w:right="439" w:bottom="1440" w:gutter="0" w:footer="0" w:header="0"/>
        </w:sectPr>
      </w:pPr>
    </w:p>
    <w:bookmarkStart w:id="120" w:name="page121"/>
    <w:bookmarkEnd w:id="120"/>
    <w:p>
      <w:pPr>
        <w:ind w:left="440" w:hanging="43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10.13 The Foundation may require to an eligible disabled participant or survivors of a Participant that they surrender their rights to a third party civil liability for the disability or death to the extent of the benefits of the Foundation, and provided that it is not, under the LPP, subrogated to the rights of the insured person’s survivors or other rightful claimants. The Foundation is authorized to suspend its services until the assignment is reached.</w:t>
      </w:r>
    </w:p>
    <w:p>
      <w:pPr>
        <w:spacing w:after="0" w:line="52" w:lineRule="exact"/>
        <w:rPr>
          <w:sz w:val="20"/>
          <w:szCs w:val="20"/>
          <w:color w:val="auto"/>
        </w:rPr>
      </w:pPr>
    </w:p>
    <w:p>
      <w:pPr>
        <w:ind w:left="440" w:right="260" w:hanging="431"/>
        <w:spacing w:after="0" w:line="264" w:lineRule="auto"/>
        <w:rPr>
          <w:sz w:val="20"/>
          <w:szCs w:val="20"/>
          <w:color w:val="auto"/>
        </w:rPr>
      </w:pPr>
      <w:r>
        <w:rPr>
          <w:rFonts w:ascii="Arial" w:cs="Arial" w:eastAsia="Arial" w:hAnsi="Arial"/>
          <w:sz w:val="18"/>
          <w:szCs w:val="18"/>
          <w:color w:val="auto"/>
        </w:rPr>
        <w:t>10.14 The benefits of the Foundation cannot be sold or pledged as long as they are not payable. The right to pledge remains reserved as part of encouraging home ownership. Entitlement to benefits cannot be offset against claims that the employer has transferred to the Foundation that if these claims are intended contributions that have not been deducted from salary.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 DIVORCE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11.1  The Foundation only executes final divorce judgments (decrees absolute) delivered by Swiss courts.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11.2  If an active Participant is liable under a pension-sharing order, the Foundation shall reduce his benefits as follows:</w:t>
      </w:r>
    </w:p>
    <w:p>
      <w:pPr>
        <w:spacing w:after="0" w:line="131" w:lineRule="exact"/>
        <w:rPr>
          <w:sz w:val="20"/>
          <w:szCs w:val="20"/>
          <w:color w:val="auto"/>
        </w:rPr>
      </w:pPr>
    </w:p>
    <w:p>
      <w:pPr>
        <w:ind w:left="860" w:right="80" w:hanging="424"/>
        <w:spacing w:after="0" w:line="312" w:lineRule="auto"/>
        <w:tabs>
          <w:tab w:leader="none" w:pos="8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amount decided by the court shall first be deducted from the voluntary contributions account; the balance, if any, shall be deducted from the participation credit based on the rates in Annex 1; as a result, all benefits calculated on the basis of the voluntary contribution account and participation credit are reduced; all the Participant’s other individual accounts shall be reduced proportionately;</w:t>
      </w:r>
    </w:p>
    <w:p>
      <w:pPr>
        <w:spacing w:after="0" w:line="52" w:lineRule="exact"/>
        <w:rPr>
          <w:rFonts w:ascii="Arial" w:cs="Arial" w:eastAsia="Arial" w:hAnsi="Arial"/>
          <w:sz w:val="16"/>
          <w:szCs w:val="16"/>
          <w:color w:val="auto"/>
        </w:rPr>
      </w:pPr>
    </w:p>
    <w:p>
      <w:pPr>
        <w:ind w:left="860" w:right="20" w:hanging="424"/>
        <w:spacing w:after="0" w:line="259" w:lineRule="auto"/>
        <w:tabs>
          <w:tab w:leader="none" w:pos="8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 Participant retires before the end of the divorce proceedings, the Foundation may temporarily pay retirement benefits based on the information available; the exact amount of the retirement benefits will be determined at the end of the divorce procedure; any excess retirement benefits paid shall be deducted from the pension-sharing benefit to the extent they cannot be offset against the Participant’s future benefits.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11.3  If a disabled Participant is liable under a pension-sharing order, the Foundation shall reduce his benefits as follows:</w:t>
      </w:r>
    </w:p>
    <w:p>
      <w:pPr>
        <w:spacing w:after="0" w:line="131" w:lineRule="exact"/>
        <w:rPr>
          <w:sz w:val="20"/>
          <w:szCs w:val="20"/>
          <w:color w:val="auto"/>
        </w:rPr>
      </w:pPr>
    </w:p>
    <w:p>
      <w:pPr>
        <w:ind w:left="860" w:right="160" w:hanging="424"/>
        <w:spacing w:after="0" w:line="264" w:lineRule="auto"/>
        <w:tabs>
          <w:tab w:leader="none" w:pos="8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participation credit used to calculate the disability pension in payment will be reduced by the amount decided by the court; the rates set in the Rules applicable at the start of the entitlement to a pension shall apply; all the Participant’s other accounts shall be reduced proportionately;</w:t>
      </w:r>
    </w:p>
    <w:p>
      <w:pPr>
        <w:spacing w:after="0" w:line="114"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24</w:t>
      </w:r>
    </w:p>
    <w:p>
      <w:pPr>
        <w:sectPr>
          <w:pgSz w:w="11900" w:h="16838" w:orient="portrait"/>
          <w:cols w:equalWidth="0" w:num="1">
            <w:col w:w="11020"/>
          </w:cols>
          <w:pgMar w:left="440" w:top="274" w:right="439" w:bottom="1440" w:gutter="0" w:footer="0" w:header="0"/>
        </w:sectPr>
      </w:pPr>
    </w:p>
    <w:bookmarkStart w:id="121" w:name="page122"/>
    <w:bookmarkEnd w:id="121"/>
    <w:p>
      <w:pPr>
        <w:ind w:left="860" w:right="300" w:hanging="424"/>
        <w:spacing w:after="0" w:line="264" w:lineRule="auto"/>
        <w:tabs>
          <w:tab w:leader="none" w:pos="8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disability pension will then be recalculated (reduced) based on the reduced participation credit; the Rules applicable at the start of the entitlement to the pension shall apply; any disabled Participant’s child’s pensions in payment will not be reduced; any future disabled Participant’s child’s pensions will be calculated on the reduced disability pension;</w:t>
      </w:r>
    </w:p>
    <w:p>
      <w:pPr>
        <w:spacing w:after="0" w:line="86" w:lineRule="exact"/>
        <w:rPr>
          <w:rFonts w:ascii="Arial" w:cs="Arial" w:eastAsia="Arial" w:hAnsi="Arial"/>
          <w:sz w:val="18"/>
          <w:szCs w:val="18"/>
          <w:color w:val="auto"/>
        </w:rPr>
      </w:pPr>
    </w:p>
    <w:p>
      <w:pPr>
        <w:ind w:left="860" w:right="560" w:hanging="424"/>
        <w:spacing w:after="0" w:line="277" w:lineRule="auto"/>
        <w:tabs>
          <w:tab w:leader="none" w:pos="8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other pension benefits determined on the basis of the participation credit will also be recalculated (reduced) based on the reduced participation credit.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11.4  If the beneficiary of a retirement pension (including the former beneficiaries of disability pensions) is liable under a pension-sharing order, the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Foundation shall reduce his benefits as follows:</w:t>
      </w:r>
    </w:p>
    <w:p>
      <w:pPr>
        <w:spacing w:after="0" w:line="116" w:lineRule="exact"/>
        <w:rPr>
          <w:sz w:val="20"/>
          <w:szCs w:val="20"/>
          <w:color w:val="auto"/>
        </w:rPr>
      </w:pPr>
    </w:p>
    <w:p>
      <w:pPr>
        <w:ind w:left="860" w:right="500" w:hanging="424"/>
        <w:spacing w:after="0" w:line="308" w:lineRule="auto"/>
        <w:tabs>
          <w:tab w:leader="none" w:pos="8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retirement pension in payment shall be reduced by the amount decided by the court; the reduction will be converted into a lifelong pension in accordance with Article 19h OLP which the Foundation shall pay to the beneficiary spouse (divorce pension);</w:t>
      </w:r>
    </w:p>
    <w:p>
      <w:pPr>
        <w:spacing w:after="0" w:line="51" w:lineRule="exact"/>
        <w:rPr>
          <w:rFonts w:ascii="Arial" w:cs="Arial" w:eastAsia="Arial" w:hAnsi="Arial"/>
          <w:sz w:val="17"/>
          <w:szCs w:val="17"/>
          <w:color w:val="auto"/>
        </w:rPr>
      </w:pPr>
    </w:p>
    <w:p>
      <w:pPr>
        <w:jc w:val="both"/>
        <w:ind w:left="860" w:right="220" w:hanging="424"/>
        <w:spacing w:after="0" w:line="264" w:lineRule="auto"/>
        <w:tabs>
          <w:tab w:leader="none" w:pos="8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reduction in the retirement pension does not affect any Pensioner’s child’s pensions in payment, or any orphan’s pensions superseding Pensioner’s child’s pensions. However, any new child’s pensions or orphan’s pensions shall be calculated based on the reduced retirement pension.</w:t>
      </w:r>
    </w:p>
    <w:p>
      <w:pPr>
        <w:spacing w:after="0" w:line="87" w:lineRule="exact"/>
        <w:rPr>
          <w:sz w:val="20"/>
          <w:szCs w:val="20"/>
          <w:color w:val="auto"/>
        </w:rPr>
      </w:pPr>
    </w:p>
    <w:p>
      <w:pPr>
        <w:ind w:left="440" w:right="240" w:hanging="431"/>
        <w:spacing w:after="0" w:line="277" w:lineRule="auto"/>
        <w:rPr>
          <w:sz w:val="20"/>
          <w:szCs w:val="20"/>
          <w:color w:val="auto"/>
        </w:rPr>
      </w:pPr>
      <w:r>
        <w:rPr>
          <w:rFonts w:ascii="Arial" w:cs="Arial" w:eastAsia="Arial" w:hAnsi="Arial"/>
          <w:sz w:val="18"/>
          <w:szCs w:val="18"/>
          <w:color w:val="auto"/>
        </w:rPr>
        <w:t>11.5 As a rule, the pension-sharing benefit (vested termination benefit or divorce pension) shall be paid to the occupational benefits institution of the beneficiary spouse or, if he has none, to a vested benefits institution. However:</w:t>
      </w:r>
    </w:p>
    <w:p>
      <w:pPr>
        <w:spacing w:after="0" w:line="76" w:lineRule="exact"/>
        <w:rPr>
          <w:sz w:val="20"/>
          <w:szCs w:val="20"/>
          <w:color w:val="auto"/>
        </w:rPr>
      </w:pPr>
    </w:p>
    <w:p>
      <w:pPr>
        <w:ind w:left="860" w:right="180" w:hanging="424"/>
        <w:spacing w:after="0" w:line="277" w:lineRule="auto"/>
        <w:tabs>
          <w:tab w:leader="none" w:pos="8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beneficiary spouse satisfies the conditions of Article 5 LFLP, or if he is drawing a full disability pension, the pension-sharing benefit will be paid to him directly at his request;</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beneficiary spouse has reached the age of 58, the divorce pension will be paid to him directly at his request;</w:t>
      </w:r>
    </w:p>
    <w:p>
      <w:pPr>
        <w:spacing w:after="0" w:line="130" w:lineRule="exact"/>
        <w:rPr>
          <w:rFonts w:ascii="Arial" w:cs="Arial" w:eastAsia="Arial" w:hAnsi="Arial"/>
          <w:sz w:val="18"/>
          <w:szCs w:val="18"/>
          <w:color w:val="auto"/>
        </w:rPr>
      </w:pPr>
    </w:p>
    <w:p>
      <w:pPr>
        <w:ind w:left="860" w:right="120" w:hanging="424"/>
        <w:spacing w:after="0" w:line="277" w:lineRule="auto"/>
        <w:tabs>
          <w:tab w:leader="none" w:pos="8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beneficiary spouse has reached the LPP normal retirement age, the pension-sharing benefit will be paid to him directly unless he asks for it to be transferred to his occupational benefits institution if the latter accepts such transfers;</w:t>
      </w:r>
    </w:p>
    <w:p>
      <w:pPr>
        <w:spacing w:after="0" w:line="75" w:lineRule="exact"/>
        <w:rPr>
          <w:rFonts w:ascii="Arial" w:cs="Arial" w:eastAsia="Arial" w:hAnsi="Arial"/>
          <w:sz w:val="18"/>
          <w:szCs w:val="18"/>
          <w:color w:val="auto"/>
        </w:rPr>
      </w:pPr>
    </w:p>
    <w:p>
      <w:pPr>
        <w:ind w:left="860" w:right="80" w:hanging="424"/>
        <w:spacing w:after="0" w:line="277" w:lineRule="auto"/>
        <w:tabs>
          <w:tab w:leader="none" w:pos="8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the request of the beneficiary spouse, the divorce pension will be replaced by a single lump-sum settlement calculated in accordance with the principles set forth in Article 19h OLP;</w:t>
      </w:r>
    </w:p>
    <w:p>
      <w:pPr>
        <w:spacing w:after="0" w:line="75" w:lineRule="exact"/>
        <w:rPr>
          <w:rFonts w:ascii="Arial" w:cs="Arial" w:eastAsia="Arial" w:hAnsi="Arial"/>
          <w:sz w:val="18"/>
          <w:szCs w:val="18"/>
          <w:color w:val="auto"/>
        </w:rPr>
      </w:pPr>
    </w:p>
    <w:p>
      <w:pPr>
        <w:ind w:left="860" w:right="340" w:hanging="424"/>
        <w:spacing w:after="0" w:line="277" w:lineRule="auto"/>
        <w:tabs>
          <w:tab w:leader="none" w:pos="8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divorce pension is payable until the death of the beneficiary spouse; from this time, no other benefits (survivor benefits, indemnities, etc.) shall be due to the beneficiary spouse.</w:t>
      </w:r>
    </w:p>
    <w:p>
      <w:pPr>
        <w:spacing w:after="0" w:line="10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25</w:t>
      </w:r>
    </w:p>
    <w:p>
      <w:pPr>
        <w:sectPr>
          <w:pgSz w:w="11900" w:h="16838" w:orient="portrait"/>
          <w:cols w:equalWidth="0" w:num="1">
            <w:col w:w="11020"/>
          </w:cols>
          <w:pgMar w:left="440" w:top="274" w:right="439" w:bottom="1440" w:gutter="0" w:footer="0" w:header="0"/>
        </w:sectPr>
      </w:pPr>
    </w:p>
    <w:bookmarkStart w:id="122" w:name="page123"/>
    <w:bookmarkEnd w:id="122"/>
    <w:p>
      <w:pPr>
        <w:ind w:left="440" w:right="40" w:hanging="43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11.6 Active Participants whose participation credit was reduced in connection with a divorce may increase their participation credit at any time, but not after the occurrence of an insured event, through voluntary contributions. The restrictions in Section 4.3 are not applicable. However, such purchases may not exceed the amount transferred in connection with the divorce. Purchases made after the effective date of the decree absolute shall reduce the purchase allowance in connection with the divorce. Pensioners and disabled Participants cannot make voluntary contributions to compensate the reduction in their pension following a divorce.</w:t>
      </w:r>
    </w:p>
    <w:p>
      <w:pPr>
        <w:spacing w:after="0" w:line="94" w:lineRule="exact"/>
        <w:rPr>
          <w:sz w:val="20"/>
          <w:szCs w:val="20"/>
          <w:color w:val="auto"/>
        </w:rPr>
      </w:pPr>
    </w:p>
    <w:p>
      <w:pPr>
        <w:ind w:left="440" w:right="100" w:hanging="431"/>
        <w:spacing w:after="0" w:line="259" w:lineRule="auto"/>
        <w:rPr>
          <w:sz w:val="20"/>
          <w:szCs w:val="20"/>
          <w:color w:val="auto"/>
        </w:rPr>
      </w:pPr>
      <w:r>
        <w:rPr>
          <w:rFonts w:ascii="Arial" w:cs="Arial" w:eastAsia="Arial" w:hAnsi="Arial"/>
          <w:sz w:val="18"/>
          <w:szCs w:val="18"/>
          <w:color w:val="auto"/>
        </w:rPr>
        <w:t>11.7 If an active or disabled Participant is the beneficiary of a pension-sharing order (lump sum or pension), the Foundation shall apply the amounts received in the same way as a portable benefit The corresponding provisions apply by analogy. The minimum LPP pension assets shall be increased insofar as the Foundation receives such benefits. If a Pensioner is the beneficiary of a pension-sharing order, the corresponding benefits shall be disbursed directly to him and shall not affect the benefits under these Rules.</w:t>
      </w:r>
    </w:p>
    <w:p>
      <w:pPr>
        <w:spacing w:after="0" w:line="92" w:lineRule="exact"/>
        <w:rPr>
          <w:sz w:val="20"/>
          <w:szCs w:val="20"/>
          <w:color w:val="auto"/>
        </w:rPr>
      </w:pPr>
    </w:p>
    <w:p>
      <w:pPr>
        <w:ind w:left="440" w:right="120" w:hanging="431"/>
        <w:spacing w:after="0" w:line="277" w:lineRule="auto"/>
        <w:rPr>
          <w:sz w:val="20"/>
          <w:szCs w:val="20"/>
          <w:color w:val="auto"/>
        </w:rPr>
      </w:pPr>
      <w:r>
        <w:rPr>
          <w:rFonts w:ascii="Arial" w:cs="Arial" w:eastAsia="Arial" w:hAnsi="Arial"/>
          <w:sz w:val="18"/>
          <w:szCs w:val="18"/>
          <w:color w:val="auto"/>
        </w:rPr>
        <w:t>11.8 In the event of a divorce, the Foundation shall provide the information under Article 24 LFLP and Article 19k OLP to the Participant or the court on request.</w:t>
      </w:r>
    </w:p>
    <w:p>
      <w:pPr>
        <w:spacing w:after="0" w:line="76"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11.9 At the request of the Participant or the court, the Foundation will examine a pension-sharing proposal and express its opinion in writing (feasibility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 AMENDMENT OF THE PENSION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These Plan Rules may be amended at any time by the Board of the Foundation.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rules replace all previous plan rules and become effective on 1 January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Encs. ment.</w:t>
      </w:r>
    </w:p>
    <w:p>
      <w:pPr>
        <w:spacing w:after="0" w:line="158"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PENSION PLAN RULES</w:t>
      </w:r>
      <w:r>
        <w:rPr>
          <w:sz w:val="20"/>
          <w:szCs w:val="20"/>
          <w:color w:val="auto"/>
        </w:rPr>
        <w:tab/>
      </w:r>
      <w:r>
        <w:rPr>
          <w:rFonts w:ascii="Arial" w:cs="Arial" w:eastAsia="Arial" w:hAnsi="Arial"/>
          <w:sz w:val="15"/>
          <w:szCs w:val="15"/>
          <w:color w:val="auto"/>
        </w:rPr>
        <w:t>Page 26</w:t>
      </w:r>
    </w:p>
    <w:p>
      <w:pPr>
        <w:sectPr>
          <w:pgSz w:w="11900" w:h="16838" w:orient="portrait"/>
          <w:cols w:equalWidth="0" w:num="1">
            <w:col w:w="11020"/>
          </w:cols>
          <w:pgMar w:left="440" w:top="274" w:right="439" w:bottom="1440" w:gutter="0" w:footer="0" w:header="0"/>
        </w:sectPr>
      </w:pPr>
    </w:p>
    <w:bookmarkStart w:id="123" w:name="page124"/>
    <w:bookmarkEnd w:id="123"/>
    <w:p>
      <w:pPr>
        <w:jc w:val="center"/>
        <w:ind w:right="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1 - In force as of 1 January 2017</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7"/>
          <w:szCs w:val="17"/>
          <w:b w:val="1"/>
          <w:bCs w:val="1"/>
          <w:color w:val="auto"/>
        </w:rPr>
        <w:t>FACTORS TO CONVERT CHF.1.- OF ACCRUED ANNUAL PENSION</w:t>
      </w:r>
    </w:p>
    <w:p>
      <w:pPr>
        <w:spacing w:after="0" w:line="3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INTO PORTABLE BENEFIT</w:t>
      </w:r>
    </w:p>
    <w:p>
      <w:pPr>
        <w:sectPr>
          <w:pgSz w:w="11900" w:h="16838" w:orient="portrait"/>
          <w:cols w:equalWidth="0" w:num="1">
            <w:col w:w="10480"/>
          </w:cols>
          <w:pgMar w:left="980" w:top="270" w:right="43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AGE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60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61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62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63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64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320" w:type="dxa"/>
            <w:vAlign w:val="bottom"/>
            <w:gridSpan w:val="2"/>
          </w:tcPr>
          <w:p>
            <w:pPr>
              <w:ind w:left="400"/>
              <w:spacing w:after="0"/>
              <w:rPr>
                <w:sz w:val="20"/>
                <w:szCs w:val="20"/>
                <w:color w:val="auto"/>
              </w:rPr>
            </w:pPr>
            <w:r>
              <w:rPr>
                <w:rFonts w:ascii="Arial" w:cs="Arial" w:eastAsia="Arial" w:hAnsi="Arial"/>
                <w:sz w:val="14"/>
                <w:szCs w:val="14"/>
                <w:color w:val="auto"/>
              </w:rPr>
              <w:t>MEN</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AGE</w:t>
            </w:r>
          </w:p>
        </w:tc>
        <w:tc>
          <w:tcPr>
            <w:tcW w:w="1060" w:type="dxa"/>
            <w:vAlign w:val="bottom"/>
          </w:tcPr>
          <w:p>
            <w:pPr>
              <w:ind w:left="240"/>
              <w:spacing w:after="0"/>
              <w:rPr>
                <w:sz w:val="20"/>
                <w:szCs w:val="20"/>
                <w:color w:val="auto"/>
              </w:rPr>
            </w:pPr>
            <w:r>
              <w:rPr>
                <w:rFonts w:ascii="Arial" w:cs="Arial" w:eastAsia="Arial" w:hAnsi="Arial"/>
                <w:sz w:val="14"/>
                <w:szCs w:val="14"/>
                <w:color w:val="auto"/>
              </w:rPr>
              <w:t>WOMEN</w:t>
            </w:r>
          </w:p>
        </w:tc>
      </w:tr>
      <w:tr>
        <w:trPr>
          <w:trHeight w:val="195"/>
        </w:trPr>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3.333</w:t>
            </w:r>
          </w:p>
        </w:tc>
        <w:tc>
          <w:tcPr>
            <w:tcW w:w="2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3.333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3.566</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3.548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3.800</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3.763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4.033</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3.978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4.267</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4.193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4.408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4.734</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4.623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4.967</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4.838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5.201</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5.053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5.434</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5.268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5.668</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5.483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5.901</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5.698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6.135</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5.913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6.368</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6.129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6.602</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6.344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6.835</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6.559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7.069</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6.774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7.302</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6.989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7.536</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7.204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7.769</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7.419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8.003</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7.634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8.236</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7.849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8.470</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8.064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8.703</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8.279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8.937</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8.494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9.170</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8.709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9.447</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8.974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9.733</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9.248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10.028</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9.530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10.333</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9.822</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10.647</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10.123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10.972</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10.435</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11.308</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10.756</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11.655</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11.089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12.014</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11.433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12.385</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11.789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12.770</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12.158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13.169</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12.541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13.583</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12.937</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14.013</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13.347</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14.460</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13.773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14.924</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14.214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15.407</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14.672</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15.909</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15.146</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16.430</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15.638</w:t>
            </w:r>
          </w:p>
        </w:tc>
      </w:tr>
      <w:tr>
        <w:trPr>
          <w:trHeight w:val="230"/>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16.971</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16.148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EXAMPLES :</w:t>
            </w:r>
          </w:p>
        </w:tc>
        <w:tc>
          <w:tcPr>
            <w:tcW w:w="1900" w:type="dxa"/>
            <w:vAlign w:val="bottom"/>
          </w:tcPr>
          <w:p>
            <w:pPr>
              <w:spacing w:after="0"/>
              <w:rPr>
                <w:sz w:val="20"/>
                <w:szCs w:val="20"/>
                <w:color w:val="auto"/>
              </w:rPr>
            </w:pPr>
          </w:p>
        </w:tc>
      </w:tr>
      <w:tr>
        <w:trPr>
          <w:trHeight w:val="108"/>
        </w:trPr>
        <w:tc>
          <w:tcPr>
            <w:tcW w:w="35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 case of arrival :</w:t>
            </w:r>
          </w:p>
        </w:tc>
        <w:tc>
          <w:tcPr>
            <w:tcW w:w="19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Man aged 28 years &amp; 5 months :</w:t>
            </w:r>
          </w:p>
        </w:tc>
        <w:tc>
          <w:tcPr>
            <w:tcW w:w="1900" w:type="dxa"/>
            <w:vAlign w:val="bottom"/>
          </w:tcPr>
          <w:p>
            <w:pPr>
              <w:jc w:val="right"/>
              <w:spacing w:after="0"/>
              <w:rPr>
                <w:sz w:val="20"/>
                <w:szCs w:val="20"/>
                <w:color w:val="auto"/>
              </w:rPr>
            </w:pPr>
            <w:r>
              <w:rPr>
                <w:rFonts w:ascii="Arial" w:cs="Arial" w:eastAsia="Arial" w:hAnsi="Arial"/>
                <w:sz w:val="18"/>
                <w:szCs w:val="18"/>
                <w:color w:val="auto"/>
              </w:rPr>
              <w:t>5.298</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Final Three-Year Pension Bearing Pay :</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w w:val="97"/>
              </w:rPr>
              <w:t>Portable benefit from previous pension fund :</w:t>
            </w:r>
          </w:p>
        </w:tc>
        <w:tc>
          <w:tcPr>
            <w:tcW w:w="1900" w:type="dxa"/>
            <w:vAlign w:val="bottom"/>
          </w:tcPr>
          <w:p>
            <w:pPr>
              <w:jc w:val="right"/>
              <w:spacing w:after="0"/>
              <w:rPr>
                <w:sz w:val="20"/>
                <w:szCs w:val="20"/>
                <w:color w:val="auto"/>
              </w:rPr>
            </w:pPr>
            <w:r>
              <w:rPr>
                <w:rFonts w:ascii="Arial" w:cs="Arial" w:eastAsia="Arial" w:hAnsi="Arial"/>
                <w:sz w:val="18"/>
                <w:szCs w:val="18"/>
                <w:color w:val="auto"/>
              </w:rPr>
              <w:t>19’695</w:t>
            </w:r>
          </w:p>
        </w:tc>
      </w:tr>
      <w:tr>
        <w:trPr>
          <w:trHeight w:val="310"/>
        </w:trPr>
        <w:tc>
          <w:tcPr>
            <w:tcW w:w="3500" w:type="dxa"/>
            <w:vAlign w:val="bottom"/>
          </w:tcPr>
          <w:p>
            <w:pPr>
              <w:spacing w:after="0"/>
              <w:rPr>
                <w:sz w:val="20"/>
                <w:szCs w:val="20"/>
                <w:color w:val="auto"/>
              </w:rPr>
            </w:pPr>
            <w:r>
              <w:rPr>
                <w:rFonts w:ascii="Arial" w:cs="Arial" w:eastAsia="Arial" w:hAnsi="Arial"/>
                <w:sz w:val="18"/>
                <w:szCs w:val="18"/>
                <w:b w:val="1"/>
                <w:bCs w:val="1"/>
                <w:color w:val="auto"/>
              </w:rPr>
              <w:t>Cost of one year of service :</w:t>
            </w:r>
          </w:p>
        </w:tc>
        <w:tc>
          <w:tcPr>
            <w:tcW w:w="1900" w:type="dxa"/>
            <w:vAlign w:val="bottom"/>
          </w:tcPr>
          <w:p>
            <w:pPr>
              <w:spacing w:after="0"/>
              <w:rPr>
                <w:sz w:val="24"/>
                <w:szCs w:val="24"/>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1.8% x 70’000 x 5.298 =</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6’676</w:t>
            </w:r>
          </w:p>
        </w:tc>
      </w:tr>
      <w:tr>
        <w:trPr>
          <w:trHeight w:val="324"/>
        </w:trPr>
        <w:tc>
          <w:tcPr>
            <w:tcW w:w="3500" w:type="dxa"/>
            <w:vAlign w:val="bottom"/>
          </w:tcPr>
          <w:p>
            <w:pPr>
              <w:spacing w:after="0"/>
              <w:rPr>
                <w:sz w:val="20"/>
                <w:szCs w:val="20"/>
                <w:color w:val="auto"/>
              </w:rPr>
            </w:pPr>
            <w:r>
              <w:rPr>
                <w:rFonts w:ascii="Arial" w:cs="Arial" w:eastAsia="Arial" w:hAnsi="Arial"/>
                <w:sz w:val="18"/>
                <w:szCs w:val="18"/>
                <w:b w:val="1"/>
                <w:bCs w:val="1"/>
                <w:color w:val="auto"/>
              </w:rPr>
              <w:t>Participation credit bought :</w:t>
            </w:r>
          </w:p>
        </w:tc>
        <w:tc>
          <w:tcPr>
            <w:tcW w:w="1900" w:type="dxa"/>
            <w:vAlign w:val="bottom"/>
          </w:tcPr>
          <w:p>
            <w:pPr>
              <w:spacing w:after="0"/>
              <w:rPr>
                <w:sz w:val="24"/>
                <w:szCs w:val="24"/>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19’695 / 6’676 =</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years</w:t>
            </w: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108"/>
        </w:trPr>
        <w:tc>
          <w:tcPr>
            <w:tcW w:w="350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 case of departure :</w:t>
            </w:r>
          </w:p>
        </w:tc>
        <w:tc>
          <w:tcPr>
            <w:tcW w:w="19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Man aged 29 years &amp; 7 months :</w:t>
            </w:r>
          </w:p>
        </w:tc>
        <w:tc>
          <w:tcPr>
            <w:tcW w:w="1900" w:type="dxa"/>
            <w:vAlign w:val="bottom"/>
          </w:tcPr>
          <w:p>
            <w:pPr>
              <w:jc w:val="right"/>
              <w:spacing w:after="0"/>
              <w:rPr>
                <w:sz w:val="20"/>
                <w:szCs w:val="20"/>
                <w:color w:val="auto"/>
              </w:rPr>
            </w:pPr>
            <w:r>
              <w:rPr>
                <w:rFonts w:ascii="Arial" w:cs="Arial" w:eastAsia="Arial" w:hAnsi="Arial"/>
                <w:sz w:val="18"/>
                <w:szCs w:val="18"/>
                <w:color w:val="auto"/>
              </w:rPr>
              <w:t>5.571</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Final Three-Year Pension Bearing Pay :</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Accrued participation credit :</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w w:val="98"/>
              </w:rPr>
              <w:t>4 years and 8 months</w:t>
            </w:r>
          </w:p>
        </w:tc>
      </w:tr>
      <w:tr>
        <w:trPr>
          <w:trHeight w:val="306"/>
        </w:trPr>
        <w:tc>
          <w:tcPr>
            <w:tcW w:w="3500" w:type="dxa"/>
            <w:vAlign w:val="bottom"/>
          </w:tcPr>
          <w:p>
            <w:pPr>
              <w:spacing w:after="0"/>
              <w:rPr>
                <w:sz w:val="20"/>
                <w:szCs w:val="20"/>
                <w:color w:val="auto"/>
              </w:rPr>
            </w:pPr>
            <w:r>
              <w:rPr>
                <w:rFonts w:ascii="Arial" w:cs="Arial" w:eastAsia="Arial" w:hAnsi="Arial"/>
                <w:sz w:val="18"/>
                <w:szCs w:val="18"/>
                <w:b w:val="1"/>
                <w:bCs w:val="1"/>
                <w:color w:val="auto"/>
              </w:rPr>
              <w:t>Accrued annual pension :</w:t>
            </w:r>
          </w:p>
        </w:tc>
        <w:tc>
          <w:tcPr>
            <w:tcW w:w="1900" w:type="dxa"/>
            <w:vAlign w:val="bottom"/>
          </w:tcPr>
          <w:p>
            <w:pPr>
              <w:spacing w:after="0"/>
              <w:rPr>
                <w:sz w:val="24"/>
                <w:szCs w:val="24"/>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1.8% x 75’000 x (4 + 8/12) =</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6’300</w:t>
            </w:r>
          </w:p>
        </w:tc>
      </w:tr>
      <w:tr>
        <w:trPr>
          <w:trHeight w:val="324"/>
        </w:trPr>
        <w:tc>
          <w:tcPr>
            <w:tcW w:w="3500" w:type="dxa"/>
            <w:vAlign w:val="bottom"/>
          </w:tcPr>
          <w:p>
            <w:pPr>
              <w:spacing w:after="0"/>
              <w:rPr>
                <w:sz w:val="20"/>
                <w:szCs w:val="20"/>
                <w:color w:val="auto"/>
              </w:rPr>
            </w:pPr>
            <w:r>
              <w:rPr>
                <w:rFonts w:ascii="Arial" w:cs="Arial" w:eastAsia="Arial" w:hAnsi="Arial"/>
                <w:sz w:val="18"/>
                <w:szCs w:val="18"/>
                <w:b w:val="1"/>
                <w:bCs w:val="1"/>
                <w:color w:val="auto"/>
              </w:rPr>
              <w:t>Portable benefit at departure :</w:t>
            </w:r>
          </w:p>
        </w:tc>
        <w:tc>
          <w:tcPr>
            <w:tcW w:w="1900" w:type="dxa"/>
            <w:vAlign w:val="bottom"/>
          </w:tcPr>
          <w:p>
            <w:pPr>
              <w:spacing w:after="0"/>
              <w:rPr>
                <w:sz w:val="24"/>
                <w:szCs w:val="24"/>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6’300 x 5.571 =</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35’097</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Mortality table LPP2015 (P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Technical interest rate: 3.0 % p.a.</w:t>
      </w:r>
    </w:p>
    <w:p>
      <w:pPr>
        <w:sectPr>
          <w:pgSz w:w="11900" w:h="16838" w:orient="portrait"/>
          <w:cols w:equalWidth="0" w:num="3">
            <w:col w:w="340" w:space="720"/>
            <w:col w:w="3700" w:space="320"/>
            <w:col w:w="5400"/>
          </w:cols>
          <w:pgMar w:left="980" w:top="270" w:right="439" w:bottom="1440" w:gutter="0" w:footer="0" w:header="0"/>
          <w:type w:val="continuous"/>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MEN</w:t>
      </w:r>
    </w:p>
    <w:p>
      <w:pPr>
        <w:spacing w:after="0" w:line="21" w:lineRule="exact"/>
        <w:rPr>
          <w:sz w:val="20"/>
          <w:szCs w:val="20"/>
          <w:color w:val="auto"/>
        </w:rPr>
      </w:pPr>
    </w:p>
    <w:p>
      <w:pPr>
        <w:jc w:val="right"/>
        <w:ind w:right="380"/>
        <w:spacing w:after="0"/>
        <w:rPr>
          <w:sz w:val="20"/>
          <w:szCs w:val="20"/>
          <w:color w:val="auto"/>
        </w:rPr>
      </w:pPr>
      <w:r>
        <w:rPr>
          <w:rFonts w:ascii="Arial" w:cs="Arial" w:eastAsia="Arial" w:hAnsi="Arial"/>
          <w:sz w:val="14"/>
          <w:szCs w:val="14"/>
          <w:u w:val="single" w:color="auto"/>
          <w:color w:val="auto"/>
        </w:rPr>
        <w:t>AGE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58</w:t>
      </w:r>
    </w:p>
    <w:p>
      <w:pPr>
        <w:spacing w:after="0" w:line="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59</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60</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61</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62</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63</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64</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65</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WOMEN</w:t>
      </w:r>
    </w:p>
    <w:p>
      <w:pPr>
        <w:spacing w:after="0" w:line="21" w:lineRule="exact"/>
        <w:rPr>
          <w:sz w:val="20"/>
          <w:szCs w:val="20"/>
          <w:color w:val="auto"/>
        </w:rPr>
      </w:pPr>
    </w:p>
    <w:p>
      <w:pPr>
        <w:jc w:val="right"/>
        <w:ind w:right="380"/>
        <w:spacing w:after="0"/>
        <w:rPr>
          <w:sz w:val="20"/>
          <w:szCs w:val="20"/>
          <w:color w:val="auto"/>
        </w:rPr>
      </w:pPr>
      <w:r>
        <w:rPr>
          <w:rFonts w:ascii="Arial" w:cs="Arial" w:eastAsia="Arial" w:hAnsi="Arial"/>
          <w:sz w:val="14"/>
          <w:szCs w:val="14"/>
          <w:u w:val="single" w:color="auto"/>
          <w:color w:val="auto"/>
        </w:rPr>
        <w:t>AGE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58</w:t>
      </w:r>
    </w:p>
    <w:p>
      <w:pPr>
        <w:spacing w:after="0" w:line="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59</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60</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61</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62</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63</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64</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65</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Arial" w:cs="Arial" w:eastAsia="Arial" w:hAnsi="Arial"/>
          <w:sz w:val="18"/>
          <w:szCs w:val="18"/>
          <w:b w:val="1"/>
          <w:bCs w:val="1"/>
          <w:color w:val="auto"/>
        </w:rPr>
        <w:t>ATTACHMENT 2 - In force as of 1 January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-213360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5" w:lineRule="exact"/>
        <w:rPr>
          <w:sz w:val="20"/>
          <w:szCs w:val="20"/>
          <w:color w:val="auto"/>
        </w:rPr>
      </w:pPr>
    </w:p>
    <w:p>
      <w:pPr>
        <w:jc w:val="center"/>
        <w:ind w:right="3180"/>
        <w:spacing w:after="0"/>
        <w:rPr>
          <w:sz w:val="20"/>
          <w:szCs w:val="20"/>
          <w:color w:val="auto"/>
        </w:rPr>
      </w:pPr>
      <w:r>
        <w:rPr>
          <w:rFonts w:ascii="Arial" w:cs="Arial" w:eastAsia="Arial" w:hAnsi="Arial"/>
          <w:sz w:val="17"/>
          <w:szCs w:val="17"/>
          <w:b w:val="1"/>
          <w:bCs w:val="1"/>
          <w:color w:val="auto"/>
        </w:rPr>
        <w:t>FACTORS TO CONVERT CHF.1.- OF ANNUAL PENSION</w:t>
      </w:r>
    </w:p>
    <w:p>
      <w:pPr>
        <w:spacing w:after="0" w:line="39" w:lineRule="exact"/>
        <w:rPr>
          <w:sz w:val="20"/>
          <w:szCs w:val="20"/>
          <w:color w:val="auto"/>
        </w:rPr>
      </w:pPr>
    </w:p>
    <w:p>
      <w:pPr>
        <w:jc w:val="center"/>
        <w:ind w:right="3180"/>
        <w:spacing w:after="0"/>
        <w:rPr>
          <w:sz w:val="20"/>
          <w:szCs w:val="20"/>
          <w:color w:val="auto"/>
        </w:rPr>
      </w:pPr>
      <w:r>
        <w:rPr>
          <w:rFonts w:ascii="Arial" w:cs="Arial" w:eastAsia="Arial" w:hAnsi="Arial"/>
          <w:sz w:val="18"/>
          <w:szCs w:val="18"/>
          <w:b w:val="1"/>
          <w:bCs w:val="1"/>
          <w:color w:val="auto"/>
        </w:rPr>
        <w:t>INTO A LUMP SUM</w:t>
      </w:r>
    </w:p>
    <w:p>
      <w:pPr>
        <w:spacing w:after="0" w:line="200" w:lineRule="exact"/>
        <w:rPr>
          <w:sz w:val="20"/>
          <w:szCs w:val="20"/>
          <w:color w:val="auto"/>
        </w:rPr>
      </w:pP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81"/>
        </w:trPr>
        <w:tc>
          <w:tcPr>
            <w:tcW w:w="3620" w:type="dxa"/>
            <w:vAlign w:val="bottom"/>
            <w:gridSpan w:val="2"/>
          </w:tcPr>
          <w:p>
            <w:pPr>
              <w:jc w:val="center"/>
              <w:ind w:right="120"/>
              <w:spacing w:after="0"/>
              <w:rPr>
                <w:sz w:val="20"/>
                <w:szCs w:val="20"/>
                <w:color w:val="auto"/>
              </w:rPr>
            </w:pPr>
            <w:r>
              <w:rPr>
                <w:rFonts w:ascii="Arial" w:cs="Arial" w:eastAsia="Arial" w:hAnsi="Arial"/>
                <w:sz w:val="14"/>
                <w:szCs w:val="14"/>
                <w:color w:val="auto"/>
              </w:rPr>
              <w:t>MARRIED</w:t>
            </w:r>
          </w:p>
        </w:tc>
        <w:tc>
          <w:tcPr>
            <w:tcW w:w="3420" w:type="dxa"/>
            <w:vAlign w:val="bottom"/>
          </w:tcPr>
          <w:p>
            <w:pPr>
              <w:jc w:val="center"/>
              <w:spacing w:after="0"/>
              <w:rPr>
                <w:sz w:val="20"/>
                <w:szCs w:val="20"/>
                <w:color w:val="auto"/>
              </w:rPr>
            </w:pPr>
            <w:r>
              <w:rPr>
                <w:rFonts w:ascii="Arial" w:cs="Arial" w:eastAsia="Arial" w:hAnsi="Arial"/>
                <w:sz w:val="14"/>
                <w:szCs w:val="14"/>
                <w:color w:val="auto"/>
              </w:rPr>
              <w:t>NOT MARRIED</w:t>
            </w:r>
          </w:p>
        </w:tc>
      </w:tr>
      <w:tr>
        <w:trPr>
          <w:trHeight w:val="195"/>
        </w:trPr>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19.911</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17.625</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19.530</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17.211</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19.143</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16.792</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18.748</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16.369</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18.346</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15.942</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17.936</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15.510</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17.520</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15.074</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17.095</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14.632</w:t>
            </w:r>
          </w:p>
        </w:tc>
      </w:tr>
      <w:tr>
        <w:trPr>
          <w:trHeight w:val="230"/>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16.663</w:t>
            </w: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14.185</w:t>
            </w:r>
          </w:p>
        </w:tc>
      </w:tr>
      <w:tr>
        <w:trPr>
          <w:trHeight w:val="608"/>
        </w:trPr>
        <w:tc>
          <w:tcPr>
            <w:tcW w:w="3620" w:type="dxa"/>
            <w:vAlign w:val="bottom"/>
            <w:gridSpan w:val="2"/>
          </w:tcPr>
          <w:p>
            <w:pPr>
              <w:jc w:val="center"/>
              <w:ind w:right="120"/>
              <w:spacing w:after="0"/>
              <w:rPr>
                <w:sz w:val="20"/>
                <w:szCs w:val="20"/>
                <w:color w:val="auto"/>
              </w:rPr>
            </w:pPr>
            <w:r>
              <w:rPr>
                <w:rFonts w:ascii="Arial" w:cs="Arial" w:eastAsia="Arial" w:hAnsi="Arial"/>
                <w:sz w:val="14"/>
                <w:szCs w:val="14"/>
                <w:color w:val="auto"/>
              </w:rPr>
              <w:t>MARRIED</w:t>
            </w:r>
          </w:p>
        </w:tc>
        <w:tc>
          <w:tcPr>
            <w:tcW w:w="3420" w:type="dxa"/>
            <w:vAlign w:val="bottom"/>
          </w:tcPr>
          <w:p>
            <w:pPr>
              <w:jc w:val="center"/>
              <w:spacing w:after="0"/>
              <w:rPr>
                <w:sz w:val="20"/>
                <w:szCs w:val="20"/>
                <w:color w:val="auto"/>
              </w:rPr>
            </w:pPr>
            <w:r>
              <w:rPr>
                <w:rFonts w:ascii="Arial" w:cs="Arial" w:eastAsia="Arial" w:hAnsi="Arial"/>
                <w:sz w:val="14"/>
                <w:szCs w:val="14"/>
                <w:color w:val="auto"/>
              </w:rPr>
              <w:t>NOT MARRIED</w:t>
            </w:r>
          </w:p>
        </w:tc>
      </w:tr>
      <w:tr>
        <w:trPr>
          <w:trHeight w:val="195"/>
        </w:trPr>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19.654</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18.756</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19.262</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18.359</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18.861</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17.953</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18.452</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17.540</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18.034</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17.118</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17.606</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16.689</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17.170</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16.251</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16.724</w:t>
            </w: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15.805</w:t>
            </w:r>
          </w:p>
        </w:tc>
      </w:tr>
      <w:tr>
        <w:trPr>
          <w:trHeight w:val="230"/>
        </w:trPr>
        <w:tc>
          <w:tcPr>
            <w:tcW w:w="3520" w:type="dxa"/>
            <w:vAlign w:val="bottom"/>
          </w:tcPr>
          <w:p>
            <w:pPr>
              <w:jc w:val="center"/>
              <w:spacing w:after="0"/>
              <w:rPr>
                <w:sz w:val="20"/>
                <w:szCs w:val="20"/>
                <w:color w:val="auto"/>
              </w:rPr>
            </w:pPr>
            <w:r>
              <w:rPr>
                <w:rFonts w:ascii="Arial" w:cs="Arial" w:eastAsia="Arial" w:hAnsi="Arial"/>
                <w:sz w:val="18"/>
                <w:szCs w:val="18"/>
                <w:color w:val="auto"/>
                <w:w w:val="90"/>
              </w:rPr>
              <w:t>16.269</w:t>
            </w: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15.351</w:t>
            </w:r>
          </w:p>
        </w:tc>
      </w:tr>
    </w:tbl>
    <w:p>
      <w:pPr>
        <w:spacing w:after="0" w:line="580" w:lineRule="exact"/>
        <w:rPr>
          <w:sz w:val="20"/>
          <w:szCs w:val="20"/>
          <w:color w:val="auto"/>
        </w:rPr>
      </w:pPr>
    </w:p>
    <w:p>
      <w:pPr>
        <w:sectPr>
          <w:pgSz w:w="11900" w:h="16838" w:orient="portrait"/>
          <w:cols w:equalWidth="0" w:num="2">
            <w:col w:w="1580" w:space="720"/>
            <w:col w:w="7860"/>
          </w:cols>
          <w:pgMar w:left="1320" w:top="270" w:right="419" w:bottom="1440" w:gutter="0" w:footer="0" w:header="0"/>
        </w:sectPr>
      </w:pPr>
    </w:p>
    <w:tbl>
      <w:tblPr>
        <w:tblLayout w:type="fixed"/>
        <w:tblInd w:w="0" w:type="dxa"/>
        <w:tblCellMar>
          <w:top w:w="0" w:type="dxa"/>
          <w:left w:w="0" w:type="dxa"/>
          <w:bottom w:w="0" w:type="dxa"/>
          <w:right w:w="0" w:type="dxa"/>
        </w:tblCellMar>
      </w:tblP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Married man retiring at the age of 62 years </w:t>
            </w:r>
            <w:r>
              <w:rPr>
                <w:rFonts w:ascii="Arial" w:cs="Arial" w:eastAsia="Arial" w:hAnsi="Arial"/>
                <w:sz w:val="18"/>
                <w:szCs w:val="18"/>
                <w:i w:val="1"/>
                <w:iCs w:val="1"/>
                <w:color w:val="auto"/>
              </w:rPr>
              <w:t>&amp;</w:t>
            </w:r>
            <w:r>
              <w:rPr>
                <w:rFonts w:ascii="Arial" w:cs="Arial" w:eastAsia="Arial" w:hAnsi="Arial"/>
                <w:sz w:val="18"/>
                <w:szCs w:val="18"/>
                <w:color w:val="auto"/>
              </w:rPr>
              <w:t xml:space="preserve"> 2 months :</w:t>
            </w:r>
          </w:p>
        </w:tc>
        <w:tc>
          <w:tcPr>
            <w:tcW w:w="2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18.278</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w w:val="96"/>
              </w:rPr>
              <w:t>Accrued annual pension :</w:t>
            </w:r>
          </w:p>
        </w:tc>
        <w:tc>
          <w:tcPr>
            <w:tcW w:w="4300" w:type="dxa"/>
            <w:vAlign w:val="bottom"/>
          </w:tcPr>
          <w:p>
            <w:pPr>
              <w:spacing w:after="0"/>
              <w:rPr>
                <w:sz w:val="18"/>
                <w:szCs w:val="18"/>
                <w:color w:val="auto"/>
              </w:rPr>
            </w:pPr>
          </w:p>
        </w:tc>
        <w:tc>
          <w:tcPr>
            <w:tcW w:w="2980" w:type="dxa"/>
            <w:vAlign w:val="bottom"/>
          </w:tcPr>
          <w:p>
            <w:pPr>
              <w:jc w:val="right"/>
              <w:ind w:right="110"/>
              <w:spacing w:after="0"/>
              <w:rPr>
                <w:sz w:val="20"/>
                <w:szCs w:val="20"/>
                <w:color w:val="auto"/>
              </w:rPr>
            </w:pPr>
            <w:r>
              <w:rPr>
                <w:rFonts w:ascii="Arial" w:cs="Arial" w:eastAsia="Arial" w:hAnsi="Arial"/>
                <w:sz w:val="18"/>
                <w:szCs w:val="18"/>
                <w:color w:val="auto"/>
              </w:rPr>
              <w:t>60’000</w:t>
            </w: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Participant’s choice :</w:t>
            </w:r>
          </w:p>
        </w:tc>
        <w:tc>
          <w:tcPr>
            <w:tcW w:w="4300" w:type="dxa"/>
            <w:vAlign w:val="bottom"/>
            <w:shd w:val="clear" w:color="auto" w:fill="CCEEFF"/>
          </w:tcPr>
          <w:p>
            <w:pPr>
              <w:jc w:val="center"/>
              <w:ind w:right="3250"/>
              <w:spacing w:after="0" w:line="201" w:lineRule="exact"/>
              <w:rPr>
                <w:sz w:val="20"/>
                <w:szCs w:val="20"/>
                <w:color w:val="auto"/>
              </w:rPr>
            </w:pPr>
            <w:r>
              <w:rPr>
                <w:rFonts w:ascii="Arial" w:cs="Arial" w:eastAsia="Arial" w:hAnsi="Arial"/>
                <w:sz w:val="18"/>
                <w:szCs w:val="18"/>
                <w:color w:val="auto"/>
                <w:w w:val="92"/>
              </w:rPr>
              <w:t>lump sum</w:t>
            </w:r>
          </w:p>
        </w:tc>
        <w:tc>
          <w:tcPr>
            <w:tcW w:w="2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w:t>
            </w:r>
          </w:p>
        </w:tc>
      </w:tr>
      <w:tr>
        <w:trPr>
          <w:trHeight w:val="244"/>
        </w:trPr>
        <w:tc>
          <w:tcPr>
            <w:tcW w:w="1980" w:type="dxa"/>
            <w:vAlign w:val="bottom"/>
            <w:shd w:val="clear" w:color="auto" w:fill="CCEEFF"/>
          </w:tcPr>
          <w:p>
            <w:pPr>
              <w:spacing w:after="0"/>
              <w:rPr>
                <w:sz w:val="21"/>
                <w:szCs w:val="21"/>
                <w:color w:val="auto"/>
              </w:rPr>
            </w:pPr>
          </w:p>
        </w:tc>
        <w:tc>
          <w:tcPr>
            <w:tcW w:w="4300" w:type="dxa"/>
            <w:vAlign w:val="bottom"/>
            <w:shd w:val="clear" w:color="auto" w:fill="CCEEFF"/>
          </w:tcPr>
          <w:p>
            <w:pPr>
              <w:jc w:val="center"/>
              <w:ind w:right="3290"/>
              <w:spacing w:after="0"/>
              <w:rPr>
                <w:sz w:val="20"/>
                <w:szCs w:val="20"/>
                <w:color w:val="auto"/>
              </w:rPr>
            </w:pPr>
            <w:r>
              <w:rPr>
                <w:rFonts w:ascii="Arial" w:cs="Arial" w:eastAsia="Arial" w:hAnsi="Arial"/>
                <w:sz w:val="18"/>
                <w:szCs w:val="18"/>
                <w:color w:val="auto"/>
                <w:w w:val="88"/>
              </w:rPr>
              <w:t>pension</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980" w:type="dxa"/>
            <w:vAlign w:val="bottom"/>
          </w:tcPr>
          <w:p>
            <w:pPr>
              <w:spacing w:after="0"/>
              <w:rPr>
                <w:sz w:val="20"/>
                <w:szCs w:val="20"/>
                <w:color w:val="auto"/>
              </w:rPr>
            </w:pPr>
            <w:r>
              <w:rPr>
                <w:rFonts w:ascii="Arial" w:cs="Arial" w:eastAsia="Arial" w:hAnsi="Arial"/>
                <w:sz w:val="18"/>
                <w:szCs w:val="18"/>
                <w:b w:val="1"/>
                <w:bCs w:val="1"/>
                <w:color w:val="auto"/>
              </w:rPr>
              <w:t>Lump sum :</w:t>
            </w:r>
          </w:p>
        </w:tc>
        <w:tc>
          <w:tcPr>
            <w:tcW w:w="43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8"/>
              </w:rPr>
              <w:t>60’000 x 40% x 18.278 =</w:t>
            </w:r>
          </w:p>
        </w:tc>
        <w:tc>
          <w:tcPr>
            <w:tcW w:w="4300" w:type="dxa"/>
            <w:vAlign w:val="bottom"/>
            <w:shd w:val="clear" w:color="auto" w:fill="CCEEFF"/>
          </w:tcPr>
          <w:p>
            <w:pPr>
              <w:spacing w:after="0"/>
              <w:rPr>
                <w:sz w:val="18"/>
                <w:szCs w:val="18"/>
                <w:color w:val="auto"/>
              </w:rPr>
            </w:pPr>
          </w:p>
        </w:tc>
        <w:tc>
          <w:tcPr>
            <w:tcW w:w="2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438’672</w:t>
            </w:r>
          </w:p>
        </w:tc>
      </w:tr>
      <w:tr>
        <w:trPr>
          <w:trHeight w:val="216"/>
        </w:trPr>
        <w:tc>
          <w:tcPr>
            <w:tcW w:w="1980" w:type="dxa"/>
            <w:vAlign w:val="bottom"/>
          </w:tcPr>
          <w:p>
            <w:pPr>
              <w:spacing w:after="0"/>
              <w:rPr>
                <w:sz w:val="20"/>
                <w:szCs w:val="20"/>
                <w:color w:val="auto"/>
              </w:rPr>
            </w:pPr>
            <w:r>
              <w:rPr>
                <w:rFonts w:ascii="Arial" w:cs="Arial" w:eastAsia="Arial" w:hAnsi="Arial"/>
                <w:sz w:val="18"/>
                <w:szCs w:val="18"/>
                <w:b w:val="1"/>
                <w:bCs w:val="1"/>
                <w:color w:val="auto"/>
              </w:rPr>
              <w:t>Annual pension :</w:t>
            </w:r>
          </w:p>
        </w:tc>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60’000 x 60% =</w:t>
            </w:r>
          </w:p>
        </w:tc>
        <w:tc>
          <w:tcPr>
            <w:tcW w:w="4300" w:type="dxa"/>
            <w:vAlign w:val="bottom"/>
            <w:shd w:val="clear" w:color="auto" w:fill="CCEEFF"/>
          </w:tcPr>
          <w:p>
            <w:pPr>
              <w:spacing w:after="0"/>
              <w:rPr>
                <w:sz w:val="18"/>
                <w:szCs w:val="18"/>
                <w:color w:val="auto"/>
              </w:rPr>
            </w:pPr>
          </w:p>
        </w:tc>
        <w:tc>
          <w:tcPr>
            <w:tcW w:w="2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36’000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Mortality table LPP2015 (P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Technical interest rate: 3.0 % p.a.</w:t>
      </w:r>
    </w:p>
    <w:p>
      <w:pPr>
        <w:sectPr>
          <w:pgSz w:w="11900" w:h="16838" w:orient="portrait"/>
          <w:cols w:equalWidth="0" w:num="1">
            <w:col w:w="10160"/>
          </w:cols>
          <w:pgMar w:left="1320" w:top="270" w:right="419" w:bottom="1440" w:gutter="0" w:footer="0" w:header="0"/>
          <w:type w:val="continuous"/>
        </w:sectPr>
      </w:pPr>
    </w:p>
    <w:bookmarkStart w:id="125" w:name="page126"/>
    <w:bookmarkEnd w:id="125"/>
    <w:p>
      <w:pPr>
        <w:jc w:val="center"/>
        <w:ind w:righ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3 - In force as of 1 January 2017</w:t>
      </w:r>
    </w:p>
    <w:p>
      <w:pPr>
        <w:spacing w:after="0" w:line="225"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FACTORS TO REDUCE THE BASE PENSION TO FINANCE THE</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TEMPORARY COMPLEMENTARY PENSION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gridSpan w:val="2"/>
          </w:tcPr>
          <w:p>
            <w:pPr>
              <w:jc w:val="center"/>
              <w:ind w:right="1520"/>
              <w:spacing w:after="0"/>
              <w:rPr>
                <w:sz w:val="20"/>
                <w:szCs w:val="20"/>
                <w:color w:val="auto"/>
              </w:rPr>
            </w:pPr>
            <w:r>
              <w:rPr>
                <w:rFonts w:ascii="Arial" w:cs="Arial" w:eastAsia="Arial" w:hAnsi="Arial"/>
                <w:sz w:val="14"/>
                <w:szCs w:val="14"/>
                <w:color w:val="auto"/>
              </w:rPr>
              <w:t>AGE</w:t>
            </w:r>
          </w:p>
        </w:tc>
        <w:tc>
          <w:tcPr>
            <w:tcW w:w="2760" w:type="dxa"/>
            <w:vAlign w:val="bottom"/>
            <w:gridSpan w:val="2"/>
          </w:tcPr>
          <w:p>
            <w:pPr>
              <w:jc w:val="center"/>
              <w:ind w:right="240"/>
              <w:spacing w:after="0"/>
              <w:rPr>
                <w:sz w:val="20"/>
                <w:szCs w:val="20"/>
                <w:color w:val="auto"/>
              </w:rPr>
            </w:pPr>
            <w:r>
              <w:rPr>
                <w:rFonts w:ascii="Arial" w:cs="Arial" w:eastAsia="Arial" w:hAnsi="Arial"/>
                <w:sz w:val="14"/>
                <w:szCs w:val="14"/>
                <w:color w:val="auto"/>
              </w:rPr>
              <w:t>MEN</w:t>
            </w:r>
          </w:p>
        </w:tc>
        <w:tc>
          <w:tcPr>
            <w:tcW w:w="2740" w:type="dxa"/>
            <w:vAlign w:val="bottom"/>
            <w:gridSpan w:val="2"/>
          </w:tcPr>
          <w:p>
            <w:pPr>
              <w:jc w:val="center"/>
              <w:ind w:right="240"/>
              <w:spacing w:after="0"/>
              <w:rPr>
                <w:sz w:val="20"/>
                <w:szCs w:val="20"/>
                <w:color w:val="auto"/>
              </w:rPr>
            </w:pPr>
            <w:r>
              <w:rPr>
                <w:rFonts w:ascii="Arial" w:cs="Arial" w:eastAsia="Arial" w:hAnsi="Arial"/>
                <w:sz w:val="14"/>
                <w:szCs w:val="14"/>
                <w:color w:val="auto"/>
              </w:rPr>
              <w:t>AGE</w:t>
            </w:r>
          </w:p>
        </w:tc>
        <w:tc>
          <w:tcPr>
            <w:tcW w:w="2420" w:type="dxa"/>
            <w:vAlign w:val="bottom"/>
            <w:gridSpan w:val="2"/>
          </w:tcPr>
          <w:p>
            <w:pPr>
              <w:ind w:left="920"/>
              <w:spacing w:after="0"/>
              <w:rPr>
                <w:sz w:val="20"/>
                <w:szCs w:val="20"/>
                <w:color w:val="auto"/>
              </w:rPr>
            </w:pPr>
            <w:r>
              <w:rPr>
                <w:rFonts w:ascii="Arial" w:cs="Arial" w:eastAsia="Arial" w:hAnsi="Arial"/>
                <w:sz w:val="14"/>
                <w:szCs w:val="14"/>
                <w:color w:val="auto"/>
              </w:rPr>
              <w:t>WOMEN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58</w:t>
            </w:r>
          </w:p>
        </w:tc>
        <w:tc>
          <w:tcPr>
            <w:tcW w:w="1520" w:type="dxa"/>
            <w:vAlign w:val="bottom"/>
          </w:tcPr>
          <w:p>
            <w:pPr>
              <w:spacing w:after="0"/>
              <w:rPr>
                <w:sz w:val="15"/>
                <w:szCs w:val="15"/>
                <w:color w:val="auto"/>
              </w:rPr>
            </w:pPr>
          </w:p>
        </w:tc>
        <w:tc>
          <w:tcPr>
            <w:tcW w:w="25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0.470</w:t>
            </w:r>
          </w:p>
        </w:tc>
        <w:tc>
          <w:tcPr>
            <w:tcW w:w="220" w:type="dxa"/>
            <w:vAlign w:val="bottom"/>
          </w:tcPr>
          <w:p>
            <w:pPr>
              <w:spacing w:after="0"/>
              <w:rPr>
                <w:sz w:val="15"/>
                <w:szCs w:val="15"/>
                <w:color w:val="auto"/>
              </w:rPr>
            </w:pPr>
          </w:p>
        </w:tc>
        <w:tc>
          <w:tcPr>
            <w:tcW w:w="25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5"/>
                <w:szCs w:val="15"/>
                <w:color w:val="auto"/>
              </w:rPr>
            </w:pPr>
          </w:p>
        </w:tc>
        <w:tc>
          <w:tcPr>
            <w:tcW w:w="1520" w:type="dxa"/>
            <w:vAlign w:val="bottom"/>
            <w:tcBorders>
              <w:top w:val="single" w:sz="8" w:color="auto"/>
            </w:tcBorders>
          </w:tcPr>
          <w:p>
            <w:pPr>
              <w:jc w:val="right"/>
              <w:ind w:right="31"/>
              <w:spacing w:after="0" w:line="176" w:lineRule="exact"/>
              <w:rPr>
                <w:sz w:val="20"/>
                <w:szCs w:val="20"/>
                <w:color w:val="auto"/>
              </w:rPr>
            </w:pPr>
            <w:r>
              <w:rPr>
                <w:rFonts w:ascii="Arial" w:cs="Arial" w:eastAsia="Arial" w:hAnsi="Arial"/>
                <w:sz w:val="18"/>
                <w:szCs w:val="18"/>
                <w:color w:val="auto"/>
              </w:rPr>
              <w:t>0.401</w:t>
            </w: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59</w:t>
            </w:r>
          </w:p>
        </w:tc>
        <w:tc>
          <w:tcPr>
            <w:tcW w:w="15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0.396</w:t>
            </w:r>
          </w:p>
        </w:tc>
        <w:tc>
          <w:tcPr>
            <w:tcW w:w="2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0.329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60</w:t>
            </w:r>
          </w:p>
        </w:tc>
        <w:tc>
          <w:tcPr>
            <w:tcW w:w="15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0.324</w:t>
            </w:r>
          </w:p>
        </w:tc>
        <w:tc>
          <w:tcPr>
            <w:tcW w:w="2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0.258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61</w:t>
            </w:r>
          </w:p>
        </w:tc>
        <w:tc>
          <w:tcPr>
            <w:tcW w:w="15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0.254</w:t>
            </w:r>
          </w:p>
        </w:tc>
        <w:tc>
          <w:tcPr>
            <w:tcW w:w="2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0.191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62</w:t>
            </w:r>
          </w:p>
        </w:tc>
        <w:tc>
          <w:tcPr>
            <w:tcW w:w="15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0.187</w:t>
            </w:r>
          </w:p>
        </w:tc>
        <w:tc>
          <w:tcPr>
            <w:tcW w:w="2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0.125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63</w:t>
            </w:r>
          </w:p>
        </w:tc>
        <w:tc>
          <w:tcPr>
            <w:tcW w:w="15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0.123</w:t>
            </w:r>
          </w:p>
        </w:tc>
        <w:tc>
          <w:tcPr>
            <w:tcW w:w="2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0.061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64</w:t>
            </w:r>
          </w:p>
        </w:tc>
        <w:tc>
          <w:tcPr>
            <w:tcW w:w="15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0.060</w:t>
            </w:r>
          </w:p>
        </w:tc>
        <w:tc>
          <w:tcPr>
            <w:tcW w:w="2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2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65</w:t>
            </w:r>
          </w:p>
        </w:tc>
        <w:tc>
          <w:tcPr>
            <w:tcW w:w="152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0.000</w:t>
            </w:r>
          </w:p>
        </w:tc>
        <w:tc>
          <w:tcPr>
            <w:tcW w:w="2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2240" w:type="dxa"/>
            <w:vAlign w:val="bottom"/>
            <w:gridSpan w:val="4"/>
          </w:tcPr>
          <w:p>
            <w:pPr>
              <w:spacing w:after="0"/>
              <w:rPr>
                <w:sz w:val="20"/>
                <w:szCs w:val="20"/>
                <w:color w:val="auto"/>
              </w:rPr>
            </w:pPr>
            <w:r>
              <w:rPr>
                <w:rFonts w:ascii="Arial" w:cs="Arial" w:eastAsia="Arial" w:hAnsi="Arial"/>
                <w:sz w:val="18"/>
                <w:szCs w:val="18"/>
                <w:b w:val="1"/>
                <w:bCs w:val="1"/>
                <w:color w:val="auto"/>
              </w:rPr>
              <w:t>EXAMPLE :</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80" w:type="dxa"/>
            <w:vAlign w:val="bottom"/>
            <w:gridSpan w:val="5"/>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Man retiring at the age of 62 years &amp; 2 months :</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Years of AVS contributions with the employer :</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 years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Maximum monthly AVS pension for 44 years of contributions :</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00" w:type="dxa"/>
            <w:vAlign w:val="bottom"/>
            <w:gridSpan w:val="6"/>
          </w:tcPr>
          <w:p>
            <w:pPr>
              <w:spacing w:after="0"/>
              <w:rPr>
                <w:sz w:val="20"/>
                <w:szCs w:val="20"/>
                <w:color w:val="auto"/>
              </w:rPr>
            </w:pPr>
            <w:r>
              <w:rPr>
                <w:rFonts w:ascii="Arial" w:cs="Arial" w:eastAsia="Arial" w:hAnsi="Arial"/>
                <w:sz w:val="18"/>
                <w:szCs w:val="18"/>
                <w:b w:val="1"/>
                <w:bCs w:val="1"/>
                <w:color w:val="auto"/>
              </w:rPr>
              <w:t>Monthly temporary complementary pension until age 65 :</w:t>
            </w: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2’350 x 32 / 44 =</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00" w:type="dxa"/>
            <w:vAlign w:val="bottom"/>
            <w:gridSpan w:val="6"/>
          </w:tcPr>
          <w:p>
            <w:pPr>
              <w:spacing w:after="0"/>
              <w:rPr>
                <w:sz w:val="20"/>
                <w:szCs w:val="20"/>
                <w:color w:val="auto"/>
              </w:rPr>
            </w:pPr>
            <w:r>
              <w:rPr>
                <w:rFonts w:ascii="Arial" w:cs="Arial" w:eastAsia="Arial" w:hAnsi="Arial"/>
                <w:sz w:val="18"/>
                <w:szCs w:val="18"/>
                <w:b w:val="1"/>
                <w:bCs w:val="1"/>
                <w:color w:val="auto"/>
                <w:w w:val="92"/>
              </w:rPr>
              <w:t>Deduction from the monthly base pension as of age 65 for life :</w:t>
            </w: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1’709 x 0.176 =</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Mortality table LPP2015 (P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Technical interest rate : 3.0 % p.a.</w:t>
      </w:r>
    </w:p>
    <w:p>
      <w:pPr>
        <w:sectPr>
          <w:pgSz w:w="11900" w:h="16838" w:orient="portrait"/>
          <w:cols w:equalWidth="0" w:num="1">
            <w:col w:w="10160"/>
          </w:cols>
          <w:pgMar w:left="1320" w:top="270" w:right="4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40" w:type="dxa"/>
            <w:vAlign w:val="bottom"/>
          </w:tcPr>
          <w:p>
            <w:pPr>
              <w:jc w:val="center"/>
              <w:ind w:left="1410"/>
              <w:spacing w:after="0"/>
              <w:rPr>
                <w:sz w:val="20"/>
                <w:szCs w:val="20"/>
                <w:color w:val="auto"/>
              </w:rPr>
            </w:pPr>
            <w:r>
              <w:rPr>
                <w:rFonts w:ascii="Arial" w:cs="Arial" w:eastAsia="Arial" w:hAnsi="Arial"/>
                <w:sz w:val="18"/>
                <w:szCs w:val="18"/>
                <w:b w:val="1"/>
                <w:bCs w:val="1"/>
                <w:color w:val="auto"/>
                <w:w w:val="94"/>
              </w:rPr>
              <w:t>ATTACHMENT 5 - In force as of 1 January 2017</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jc w:val="center"/>
              <w:ind w:left="1390"/>
              <w:spacing w:after="0"/>
              <w:rPr>
                <w:sz w:val="20"/>
                <w:szCs w:val="20"/>
                <w:color w:val="auto"/>
              </w:rPr>
            </w:pPr>
            <w:r>
              <w:rPr>
                <w:rFonts w:ascii="Arial" w:cs="Arial" w:eastAsia="Arial" w:hAnsi="Arial"/>
                <w:sz w:val="18"/>
                <w:szCs w:val="18"/>
                <w:b w:val="1"/>
                <w:bCs w:val="1"/>
                <w:color w:val="auto"/>
              </w:rPr>
              <w:t>EXAMPLE FOR THE PREFINANCING OF EARLY RETIREMENT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EXAMPLE:</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Married man of :</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 years old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Accrued participation credit :</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Maximum participation credit until age 65 :</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Request for the prefinancing of an early retirement at age :</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age 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Final Three-Year Pension</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Bearing Pay :</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Retirement pension projected at age 65 :</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1.8% x 120’000 x 45 =</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97’200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Actuarial reduction at age 58 :</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(65-58) x 4% =</w:t>
            </w:r>
          </w:p>
        </w:tc>
        <w:tc>
          <w:tcPr>
            <w:tcW w:w="1500" w:type="dxa"/>
            <w:vAlign w:val="bottom"/>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Retirement pension projected at age 58 :</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1.8% x 120’000 x 38 x (1-28%) =</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Maximum retirement pension that could be financed :</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97’200 - 59’098 =</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38’102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Factor according to attachment 2 for a married man of age 58 :</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Capital requested at age 58 :</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38’102 x 19.911</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758’649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Maximum amount for the prefinancing at age 40 :</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758’649 x (1+3.0%) ^ (-(58-40)) =</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445’627</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This is for an illustration purpose only. The actual retirement pension will depend on the actual interest rate credited on the voluntary contributions.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Mortality table LPP2015 (P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Technical interest rate: 3.0 % p.a.</w:t>
      </w:r>
    </w:p>
    <w:p>
      <w:pPr>
        <w:sectPr>
          <w:pgSz w:w="11900" w:h="16838" w:orient="portrait"/>
          <w:cols w:equalWidth="0" w:num="1">
            <w:col w:w="9580"/>
          </w:cols>
          <w:pgMar w:left="1320" w:top="270" w:right="99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2600" w:type="dxa"/>
            <w:vAlign w:val="bottom"/>
          </w:tcPr>
          <w:p>
            <w:pPr>
              <w:ind w:left="1680"/>
              <w:spacing w:after="0"/>
              <w:rPr>
                <w:sz w:val="20"/>
                <w:szCs w:val="20"/>
                <w:color w:val="auto"/>
              </w:rPr>
            </w:pPr>
            <w:r>
              <w:rPr>
                <w:rFonts w:ascii="Arial" w:cs="Arial" w:eastAsia="Arial" w:hAnsi="Arial"/>
                <w:sz w:val="18"/>
                <w:szCs w:val="18"/>
                <w:b w:val="1"/>
                <w:bCs w:val="1"/>
                <w:color w:val="auto"/>
                <w:w w:val="89"/>
              </w:rPr>
              <w:t>Exhibit 21.1</w:t>
            </w:r>
          </w:p>
        </w:tc>
      </w:tr>
      <w:tr>
        <w:trPr>
          <w:trHeight w:val="648"/>
        </w:trPr>
        <w:tc>
          <w:tcPr>
            <w:tcW w:w="8420" w:type="dxa"/>
            <w:vAlign w:val="bottom"/>
          </w:tcPr>
          <w:p>
            <w:pPr>
              <w:ind w:left="5020"/>
              <w:spacing w:after="0"/>
              <w:rPr>
                <w:sz w:val="20"/>
                <w:szCs w:val="20"/>
                <w:color w:val="auto"/>
              </w:rPr>
            </w:pPr>
            <w:r>
              <w:rPr>
                <w:rFonts w:ascii="Arial" w:cs="Arial" w:eastAsia="Arial" w:hAnsi="Arial"/>
                <w:sz w:val="18"/>
                <w:szCs w:val="18"/>
                <w:b w:val="1"/>
                <w:bCs w:val="1"/>
                <w:color w:val="auto"/>
              </w:rPr>
              <w:t>Corteva, Inc.</w:t>
            </w:r>
          </w:p>
        </w:tc>
        <w:tc>
          <w:tcPr>
            <w:tcW w:w="2600" w:type="dxa"/>
            <w:vAlign w:val="bottom"/>
          </w:tcPr>
          <w:p>
            <w:pPr>
              <w:spacing w:after="0"/>
              <w:rPr>
                <w:sz w:val="24"/>
                <w:szCs w:val="24"/>
                <w:color w:val="auto"/>
              </w:rPr>
            </w:pPr>
          </w:p>
        </w:tc>
      </w:tr>
      <w:tr>
        <w:trPr>
          <w:trHeight w:val="432"/>
        </w:trPr>
        <w:tc>
          <w:tcPr>
            <w:tcW w:w="8420" w:type="dxa"/>
            <w:vAlign w:val="bottom"/>
          </w:tcPr>
          <w:p>
            <w:pPr>
              <w:ind w:left="3900"/>
              <w:spacing w:after="0"/>
              <w:rPr>
                <w:sz w:val="20"/>
                <w:szCs w:val="20"/>
                <w:color w:val="auto"/>
              </w:rPr>
            </w:pPr>
            <w:r>
              <w:rPr>
                <w:rFonts w:ascii="Arial" w:cs="Arial" w:eastAsia="Arial" w:hAnsi="Arial"/>
                <w:sz w:val="18"/>
                <w:szCs w:val="18"/>
                <w:b w:val="1"/>
                <w:bCs w:val="1"/>
                <w:color w:val="auto"/>
              </w:rPr>
              <w:t>SUBSIDIARIES OF THE REGISTRANT</w:t>
            </w:r>
          </w:p>
        </w:tc>
        <w:tc>
          <w:tcPr>
            <w:tcW w:w="2600" w:type="dxa"/>
            <w:vAlign w:val="bottom"/>
          </w:tcPr>
          <w:p>
            <w:pPr>
              <w:spacing w:after="0"/>
              <w:rPr>
                <w:sz w:val="24"/>
                <w:szCs w:val="24"/>
                <w:color w:val="auto"/>
              </w:rPr>
            </w:pPr>
          </w:p>
        </w:tc>
      </w:tr>
      <w:tr>
        <w:trPr>
          <w:trHeight w:val="432"/>
        </w:trPr>
        <w:tc>
          <w:tcPr>
            <w:tcW w:w="8420" w:type="dxa"/>
            <w:vAlign w:val="bottom"/>
          </w:tcPr>
          <w:p>
            <w:pPr>
              <w:spacing w:after="0"/>
              <w:rPr>
                <w:sz w:val="20"/>
                <w:szCs w:val="20"/>
                <w:color w:val="auto"/>
              </w:rPr>
            </w:pPr>
            <w:r>
              <w:rPr>
                <w:rFonts w:ascii="Arial" w:cs="Arial" w:eastAsia="Arial" w:hAnsi="Arial"/>
                <w:sz w:val="18"/>
                <w:szCs w:val="18"/>
                <w:color w:val="auto"/>
              </w:rPr>
              <w:t>The following is a list of subsidiaries of Corteva, Inc. as of the separation from DowDuPont Inc.</w:t>
            </w:r>
          </w:p>
        </w:tc>
        <w:tc>
          <w:tcPr>
            <w:tcW w:w="2600" w:type="dxa"/>
            <w:vAlign w:val="bottom"/>
          </w:tcPr>
          <w:p>
            <w:pPr>
              <w:spacing w:after="0"/>
              <w:rPr>
                <w:sz w:val="24"/>
                <w:szCs w:val="24"/>
                <w:color w:val="auto"/>
              </w:rPr>
            </w:pPr>
          </w:p>
        </w:tc>
      </w:tr>
      <w:tr>
        <w:trPr>
          <w:trHeight w:val="369"/>
        </w:trPr>
        <w:tc>
          <w:tcPr>
            <w:tcW w:w="8420" w:type="dxa"/>
            <w:vAlign w:val="bottom"/>
          </w:tcPr>
          <w:p>
            <w:pPr>
              <w:spacing w:after="0"/>
              <w:rPr>
                <w:sz w:val="24"/>
                <w:szCs w:val="24"/>
                <w:color w:val="auto"/>
              </w:rPr>
            </w:pPr>
          </w:p>
        </w:tc>
        <w:tc>
          <w:tcPr>
            <w:tcW w:w="2600" w:type="dxa"/>
            <w:vAlign w:val="bottom"/>
          </w:tcPr>
          <w:p>
            <w:pPr>
              <w:ind w:left="1300"/>
              <w:spacing w:after="0"/>
              <w:rPr>
                <w:sz w:val="20"/>
                <w:szCs w:val="20"/>
                <w:color w:val="auto"/>
              </w:rPr>
            </w:pPr>
            <w:r>
              <w:rPr>
                <w:rFonts w:ascii="Arial" w:cs="Arial" w:eastAsia="Arial" w:hAnsi="Arial"/>
                <w:sz w:val="14"/>
                <w:szCs w:val="14"/>
                <w:b w:val="1"/>
                <w:bCs w:val="1"/>
                <w:color w:val="auto"/>
              </w:rPr>
              <w:t>Organized Under</w:t>
            </w:r>
          </w:p>
        </w:tc>
      </w:tr>
      <w:tr>
        <w:trPr>
          <w:trHeight w:val="170"/>
        </w:trPr>
        <w:tc>
          <w:tcPr>
            <w:tcW w:w="842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600" w:type="dxa"/>
            <w:vAlign w:val="bottom"/>
          </w:tcPr>
          <w:p>
            <w:pPr>
              <w:ind w:left="1300"/>
              <w:spacing w:after="0"/>
              <w:rPr>
                <w:sz w:val="20"/>
                <w:szCs w:val="20"/>
                <w:color w:val="auto"/>
              </w:rPr>
            </w:pPr>
            <w:r>
              <w:rPr>
                <w:rFonts w:ascii="Arial" w:cs="Arial" w:eastAsia="Arial" w:hAnsi="Arial"/>
                <w:sz w:val="14"/>
                <w:szCs w:val="14"/>
                <w:b w:val="1"/>
                <w:bCs w:val="1"/>
                <w:color w:val="auto"/>
              </w:rPr>
              <w:t>Laws Of</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3044873 Nova Scotia Company</w:t>
            </w:r>
          </w:p>
        </w:tc>
        <w:tc>
          <w:tcPr>
            <w:tcW w:w="2600" w:type="dxa"/>
            <w:vAlign w:val="bottom"/>
          </w:tcPr>
          <w:p>
            <w:pPr>
              <w:ind w:left="1300"/>
              <w:spacing w:after="0"/>
              <w:rPr>
                <w:sz w:val="20"/>
                <w:szCs w:val="20"/>
                <w:color w:val="auto"/>
              </w:rPr>
            </w:pPr>
            <w:r>
              <w:rPr>
                <w:rFonts w:ascii="Arial" w:cs="Arial" w:eastAsia="Arial" w:hAnsi="Arial"/>
                <w:sz w:val="18"/>
                <w:szCs w:val="18"/>
                <w:color w:val="auto"/>
              </w:rPr>
              <w:t>Canada</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3319858 Nova Scotia Company</w:t>
            </w:r>
          </w:p>
        </w:tc>
        <w:tc>
          <w:tcPr>
            <w:tcW w:w="2600" w:type="dxa"/>
            <w:vAlign w:val="bottom"/>
          </w:tcPr>
          <w:p>
            <w:pPr>
              <w:ind w:left="1300"/>
              <w:spacing w:after="0"/>
              <w:rPr>
                <w:sz w:val="20"/>
                <w:szCs w:val="20"/>
                <w:color w:val="auto"/>
              </w:rPr>
            </w:pPr>
            <w:r>
              <w:rPr>
                <w:rFonts w:ascii="Arial" w:cs="Arial" w:eastAsia="Arial" w:hAnsi="Arial"/>
                <w:sz w:val="18"/>
                <w:szCs w:val="18"/>
                <w:color w:val="auto"/>
              </w:rPr>
              <w:t>Canada</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China, Inc.</w:t>
            </w:r>
          </w:p>
        </w:tc>
        <w:tc>
          <w:tcPr>
            <w:tcW w:w="260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EMEA Cooperatief U.A.</w:t>
            </w:r>
          </w:p>
        </w:tc>
        <w:tc>
          <w:tcPr>
            <w:tcW w:w="2600" w:type="dxa"/>
            <w:vAlign w:val="bottom"/>
          </w:tcPr>
          <w:p>
            <w:pPr>
              <w:ind w:left="1300"/>
              <w:spacing w:after="0"/>
              <w:rPr>
                <w:sz w:val="20"/>
                <w:szCs w:val="20"/>
                <w:color w:val="auto"/>
              </w:rPr>
            </w:pPr>
            <w:r>
              <w:rPr>
                <w:rFonts w:ascii="Arial" w:cs="Arial" w:eastAsia="Arial" w:hAnsi="Arial"/>
                <w:sz w:val="18"/>
                <w:szCs w:val="18"/>
                <w:color w:val="auto"/>
                <w:w w:val="96"/>
              </w:rPr>
              <w:t>The Netherlands</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EMEA Holding 1 BV</w:t>
            </w:r>
          </w:p>
        </w:tc>
        <w:tc>
          <w:tcPr>
            <w:tcW w:w="2600" w:type="dxa"/>
            <w:vAlign w:val="bottom"/>
          </w:tcPr>
          <w:p>
            <w:pPr>
              <w:ind w:left="1300"/>
              <w:spacing w:after="0"/>
              <w:rPr>
                <w:sz w:val="20"/>
                <w:szCs w:val="20"/>
                <w:color w:val="auto"/>
              </w:rPr>
            </w:pPr>
            <w:r>
              <w:rPr>
                <w:rFonts w:ascii="Arial" w:cs="Arial" w:eastAsia="Arial" w:hAnsi="Arial"/>
                <w:sz w:val="18"/>
                <w:szCs w:val="18"/>
                <w:color w:val="auto"/>
                <w:w w:val="96"/>
              </w:rPr>
              <w:t>The Netherlands</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EMEA Holding 2 BV</w:t>
            </w:r>
          </w:p>
        </w:tc>
        <w:tc>
          <w:tcPr>
            <w:tcW w:w="2600" w:type="dxa"/>
            <w:vAlign w:val="bottom"/>
          </w:tcPr>
          <w:p>
            <w:pPr>
              <w:ind w:left="1300"/>
              <w:spacing w:after="0"/>
              <w:rPr>
                <w:sz w:val="20"/>
                <w:szCs w:val="20"/>
                <w:color w:val="auto"/>
              </w:rPr>
            </w:pPr>
            <w:r>
              <w:rPr>
                <w:rFonts w:ascii="Arial" w:cs="Arial" w:eastAsia="Arial" w:hAnsi="Arial"/>
                <w:sz w:val="18"/>
                <w:szCs w:val="18"/>
                <w:color w:val="auto"/>
                <w:w w:val="96"/>
              </w:rPr>
              <w:t>The Netherlands</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EMEA Holding 3 BV</w:t>
            </w:r>
          </w:p>
        </w:tc>
        <w:tc>
          <w:tcPr>
            <w:tcW w:w="2600" w:type="dxa"/>
            <w:vAlign w:val="bottom"/>
          </w:tcPr>
          <w:p>
            <w:pPr>
              <w:ind w:left="1300"/>
              <w:spacing w:after="0"/>
              <w:rPr>
                <w:sz w:val="20"/>
                <w:szCs w:val="20"/>
                <w:color w:val="auto"/>
              </w:rPr>
            </w:pPr>
            <w:r>
              <w:rPr>
                <w:rFonts w:ascii="Arial" w:cs="Arial" w:eastAsia="Arial" w:hAnsi="Arial"/>
                <w:sz w:val="18"/>
                <w:szCs w:val="18"/>
                <w:color w:val="auto"/>
                <w:w w:val="96"/>
              </w:rPr>
              <w:t>The Netherlands</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EMEA Holding 4 BV.</w:t>
            </w:r>
          </w:p>
        </w:tc>
        <w:tc>
          <w:tcPr>
            <w:tcW w:w="2600" w:type="dxa"/>
            <w:vAlign w:val="bottom"/>
          </w:tcPr>
          <w:p>
            <w:pPr>
              <w:ind w:left="1300"/>
              <w:spacing w:after="0"/>
              <w:rPr>
                <w:sz w:val="20"/>
                <w:szCs w:val="20"/>
                <w:color w:val="auto"/>
              </w:rPr>
            </w:pPr>
            <w:r>
              <w:rPr>
                <w:rFonts w:ascii="Arial" w:cs="Arial" w:eastAsia="Arial" w:hAnsi="Arial"/>
                <w:sz w:val="18"/>
                <w:szCs w:val="18"/>
                <w:color w:val="auto"/>
                <w:w w:val="96"/>
              </w:rPr>
              <w:t>The Netherlands</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EMEA Holding 6 BV (f/k/a SP EMEA Holding 5 BV)</w:t>
            </w:r>
          </w:p>
        </w:tc>
        <w:tc>
          <w:tcPr>
            <w:tcW w:w="2600" w:type="dxa"/>
            <w:vAlign w:val="bottom"/>
          </w:tcPr>
          <w:p>
            <w:pPr>
              <w:ind w:left="1300"/>
              <w:spacing w:after="0"/>
              <w:rPr>
                <w:sz w:val="20"/>
                <w:szCs w:val="20"/>
                <w:color w:val="auto"/>
              </w:rPr>
            </w:pPr>
            <w:r>
              <w:rPr>
                <w:rFonts w:ascii="Arial" w:cs="Arial" w:eastAsia="Arial" w:hAnsi="Arial"/>
                <w:sz w:val="18"/>
                <w:szCs w:val="18"/>
                <w:color w:val="auto"/>
                <w:w w:val="96"/>
              </w:rPr>
              <w:t>The Netherlands</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EMEA Holding B.V.</w:t>
            </w:r>
          </w:p>
        </w:tc>
        <w:tc>
          <w:tcPr>
            <w:tcW w:w="2600" w:type="dxa"/>
            <w:vAlign w:val="bottom"/>
          </w:tcPr>
          <w:p>
            <w:pPr>
              <w:ind w:left="1300"/>
              <w:spacing w:after="0"/>
              <w:rPr>
                <w:sz w:val="20"/>
                <w:szCs w:val="20"/>
                <w:color w:val="auto"/>
              </w:rPr>
            </w:pPr>
            <w:r>
              <w:rPr>
                <w:rFonts w:ascii="Arial" w:cs="Arial" w:eastAsia="Arial" w:hAnsi="Arial"/>
                <w:sz w:val="18"/>
                <w:szCs w:val="18"/>
                <w:color w:val="auto"/>
                <w:w w:val="96"/>
              </w:rPr>
              <w:t>The Netherlands</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Holdco Mexico, S. DE R.L. DE C.V.</w:t>
            </w:r>
          </w:p>
        </w:tc>
        <w:tc>
          <w:tcPr>
            <w:tcW w:w="2600" w:type="dxa"/>
            <w:vAlign w:val="bottom"/>
          </w:tcPr>
          <w:p>
            <w:pPr>
              <w:ind w:left="1300"/>
              <w:spacing w:after="0"/>
              <w:rPr>
                <w:sz w:val="20"/>
                <w:szCs w:val="20"/>
                <w:color w:val="auto"/>
              </w:rPr>
            </w:pPr>
            <w:r>
              <w:rPr>
                <w:rFonts w:ascii="Arial" w:cs="Arial" w:eastAsia="Arial" w:hAnsi="Arial"/>
                <w:sz w:val="18"/>
                <w:szCs w:val="18"/>
                <w:color w:val="auto"/>
              </w:rPr>
              <w:t>Mexico</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Mexico, LLC</w:t>
            </w:r>
          </w:p>
        </w:tc>
        <w:tc>
          <w:tcPr>
            <w:tcW w:w="260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MX 2, Inc.</w:t>
            </w:r>
          </w:p>
        </w:tc>
        <w:tc>
          <w:tcPr>
            <w:tcW w:w="260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 Orion Holding B.V.</w:t>
            </w:r>
          </w:p>
        </w:tc>
        <w:tc>
          <w:tcPr>
            <w:tcW w:w="2600" w:type="dxa"/>
            <w:vAlign w:val="bottom"/>
          </w:tcPr>
          <w:p>
            <w:pPr>
              <w:ind w:left="1300"/>
              <w:spacing w:after="0"/>
              <w:rPr>
                <w:sz w:val="20"/>
                <w:szCs w:val="20"/>
                <w:color w:val="auto"/>
              </w:rPr>
            </w:pPr>
            <w:r>
              <w:rPr>
                <w:rFonts w:ascii="Arial" w:cs="Arial" w:eastAsia="Arial" w:hAnsi="Arial"/>
                <w:sz w:val="18"/>
                <w:szCs w:val="18"/>
                <w:color w:val="auto"/>
                <w:w w:val="96"/>
              </w:rPr>
              <w:t>The Netherlands</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Agar Cross Paraguaya S.A.</w:t>
            </w:r>
          </w:p>
        </w:tc>
        <w:tc>
          <w:tcPr>
            <w:tcW w:w="2600" w:type="dxa"/>
            <w:vAlign w:val="bottom"/>
          </w:tcPr>
          <w:p>
            <w:pPr>
              <w:ind w:left="1300"/>
              <w:spacing w:after="0"/>
              <w:rPr>
                <w:sz w:val="20"/>
                <w:szCs w:val="20"/>
                <w:color w:val="auto"/>
              </w:rPr>
            </w:pPr>
            <w:r>
              <w:rPr>
                <w:rFonts w:ascii="Arial" w:cs="Arial" w:eastAsia="Arial" w:hAnsi="Arial"/>
                <w:sz w:val="18"/>
                <w:szCs w:val="18"/>
                <w:color w:val="auto"/>
              </w:rPr>
              <w:t>Paraguay</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Agrigenetics Molokai LLC</w:t>
            </w:r>
          </w:p>
        </w:tc>
        <w:tc>
          <w:tcPr>
            <w:tcW w:w="2600" w:type="dxa"/>
            <w:vAlign w:val="bottom"/>
          </w:tcPr>
          <w:p>
            <w:pPr>
              <w:ind w:left="1300"/>
              <w:spacing w:after="0"/>
              <w:rPr>
                <w:sz w:val="20"/>
                <w:szCs w:val="20"/>
                <w:color w:val="auto"/>
              </w:rPr>
            </w:pPr>
            <w:r>
              <w:rPr>
                <w:rFonts w:ascii="Arial" w:cs="Arial" w:eastAsia="Arial" w:hAnsi="Arial"/>
                <w:sz w:val="18"/>
                <w:szCs w:val="18"/>
                <w:color w:val="auto"/>
              </w:rPr>
              <w:t>Hawaii</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Agrigenetics, Inc.d/b/a Mycogen Seeds</w:t>
            </w:r>
          </w:p>
        </w:tc>
        <w:tc>
          <w:tcPr>
            <w:tcW w:w="260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Agroservicios de Mexico DDM, S de R.L. de C.V.</w:t>
            </w:r>
          </w:p>
        </w:tc>
        <w:tc>
          <w:tcPr>
            <w:tcW w:w="2600" w:type="dxa"/>
            <w:vAlign w:val="bottom"/>
          </w:tcPr>
          <w:p>
            <w:pPr>
              <w:ind w:left="1300"/>
              <w:spacing w:after="0"/>
              <w:rPr>
                <w:sz w:val="20"/>
                <w:szCs w:val="20"/>
                <w:color w:val="auto"/>
              </w:rPr>
            </w:pPr>
            <w:r>
              <w:rPr>
                <w:rFonts w:ascii="Arial" w:cs="Arial" w:eastAsia="Arial" w:hAnsi="Arial"/>
                <w:sz w:val="18"/>
                <w:szCs w:val="18"/>
                <w:color w:val="auto"/>
              </w:rPr>
              <w:t>Mexico</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Agrovet S.A.</w:t>
            </w:r>
          </w:p>
        </w:tc>
        <w:tc>
          <w:tcPr>
            <w:tcW w:w="2600" w:type="dxa"/>
            <w:vAlign w:val="bottom"/>
          </w:tcPr>
          <w:p>
            <w:pPr>
              <w:ind w:left="1300"/>
              <w:spacing w:after="0"/>
              <w:rPr>
                <w:sz w:val="20"/>
                <w:szCs w:val="20"/>
                <w:color w:val="auto"/>
              </w:rPr>
            </w:pPr>
            <w:r>
              <w:rPr>
                <w:rFonts w:ascii="Arial" w:cs="Arial" w:eastAsia="Arial" w:hAnsi="Arial"/>
                <w:sz w:val="18"/>
                <w:szCs w:val="18"/>
                <w:color w:val="auto"/>
              </w:rPr>
              <w:t>Guatemala</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AgSurf Corporation</w:t>
            </w:r>
          </w:p>
        </w:tc>
        <w:tc>
          <w:tcPr>
            <w:tcW w:w="260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AgVenture, Inc.</w:t>
            </w:r>
          </w:p>
        </w:tc>
        <w:tc>
          <w:tcPr>
            <w:tcW w:w="2600" w:type="dxa"/>
            <w:vAlign w:val="bottom"/>
          </w:tcPr>
          <w:p>
            <w:pPr>
              <w:ind w:left="1300"/>
              <w:spacing w:after="0"/>
              <w:rPr>
                <w:sz w:val="20"/>
                <w:szCs w:val="20"/>
                <w:color w:val="auto"/>
              </w:rPr>
            </w:pPr>
            <w:r>
              <w:rPr>
                <w:rFonts w:ascii="Arial" w:cs="Arial" w:eastAsia="Arial" w:hAnsi="Arial"/>
                <w:sz w:val="18"/>
                <w:szCs w:val="18"/>
                <w:color w:val="auto"/>
              </w:rPr>
              <w:t>Indiana</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Alforex Seeds LLC</w:t>
            </w:r>
          </w:p>
        </w:tc>
        <w:tc>
          <w:tcPr>
            <w:tcW w:w="260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Ambito DAS S.A.</w:t>
            </w:r>
          </w:p>
        </w:tc>
        <w:tc>
          <w:tcPr>
            <w:tcW w:w="2600" w:type="dxa"/>
            <w:vAlign w:val="bottom"/>
          </w:tcPr>
          <w:p>
            <w:pPr>
              <w:ind w:left="1300"/>
              <w:spacing w:after="0"/>
              <w:rPr>
                <w:sz w:val="20"/>
                <w:szCs w:val="20"/>
                <w:color w:val="auto"/>
              </w:rPr>
            </w:pPr>
            <w:r>
              <w:rPr>
                <w:rFonts w:ascii="Arial" w:cs="Arial" w:eastAsia="Arial" w:hAnsi="Arial"/>
                <w:sz w:val="18"/>
                <w:szCs w:val="18"/>
                <w:color w:val="auto"/>
              </w:rPr>
              <w:t>Argentina</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Brodbeck Seeds LLC</w:t>
            </w:r>
          </w:p>
        </w:tc>
        <w:tc>
          <w:tcPr>
            <w:tcW w:w="260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Cal/West Seeds S.R.L.</w:t>
            </w:r>
          </w:p>
        </w:tc>
        <w:tc>
          <w:tcPr>
            <w:tcW w:w="2600" w:type="dxa"/>
            <w:vAlign w:val="bottom"/>
          </w:tcPr>
          <w:p>
            <w:pPr>
              <w:ind w:left="1300"/>
              <w:spacing w:after="0"/>
              <w:rPr>
                <w:sz w:val="20"/>
                <w:szCs w:val="20"/>
                <w:color w:val="auto"/>
              </w:rPr>
            </w:pPr>
            <w:r>
              <w:rPr>
                <w:rFonts w:ascii="Arial" w:cs="Arial" w:eastAsia="Arial" w:hAnsi="Arial"/>
                <w:sz w:val="18"/>
                <w:szCs w:val="18"/>
                <w:color w:val="auto"/>
              </w:rPr>
              <w:t>Argentina</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Centen AG LLC</w:t>
            </w:r>
          </w:p>
        </w:tc>
        <w:tc>
          <w:tcPr>
            <w:tcW w:w="260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ChacoDAS S.A.</w:t>
            </w:r>
          </w:p>
        </w:tc>
        <w:tc>
          <w:tcPr>
            <w:tcW w:w="2600" w:type="dxa"/>
            <w:vAlign w:val="bottom"/>
          </w:tcPr>
          <w:p>
            <w:pPr>
              <w:ind w:left="1300"/>
              <w:spacing w:after="0"/>
              <w:rPr>
                <w:sz w:val="20"/>
                <w:szCs w:val="20"/>
                <w:color w:val="auto"/>
              </w:rPr>
            </w:pPr>
            <w:r>
              <w:rPr>
                <w:rFonts w:ascii="Arial" w:cs="Arial" w:eastAsia="Arial" w:hAnsi="Arial"/>
                <w:sz w:val="18"/>
                <w:szCs w:val="18"/>
                <w:color w:val="auto"/>
              </w:rPr>
              <w:t>Argentina</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Christiana Insur Llc</w:t>
            </w:r>
          </w:p>
        </w:tc>
        <w:tc>
          <w:tcPr>
            <w:tcW w:w="2600" w:type="dxa"/>
            <w:vAlign w:val="bottom"/>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Coodetec Desenvolviment Produção e Comercializaçã Agrícola Ltda.</w:t>
            </w:r>
          </w:p>
        </w:tc>
        <w:tc>
          <w:tcPr>
            <w:tcW w:w="2600" w:type="dxa"/>
            <w:vAlign w:val="bottom"/>
          </w:tcPr>
          <w:p>
            <w:pPr>
              <w:ind w:left="1300"/>
              <w:spacing w:after="0"/>
              <w:rPr>
                <w:sz w:val="20"/>
                <w:szCs w:val="20"/>
                <w:color w:val="auto"/>
              </w:rPr>
            </w:pPr>
            <w:r>
              <w:rPr>
                <w:rFonts w:ascii="Arial" w:cs="Arial" w:eastAsia="Arial" w:hAnsi="Arial"/>
                <w:sz w:val="18"/>
                <w:szCs w:val="18"/>
                <w:color w:val="auto"/>
              </w:rPr>
              <w:t>Brazil</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Corteva Finance Company B.V.</w:t>
            </w:r>
          </w:p>
        </w:tc>
        <w:tc>
          <w:tcPr>
            <w:tcW w:w="2600" w:type="dxa"/>
            <w:vAlign w:val="bottom"/>
          </w:tcPr>
          <w:p>
            <w:pPr>
              <w:ind w:left="1300"/>
              <w:spacing w:after="0"/>
              <w:rPr>
                <w:sz w:val="20"/>
                <w:szCs w:val="20"/>
                <w:color w:val="auto"/>
              </w:rPr>
            </w:pPr>
            <w:r>
              <w:rPr>
                <w:rFonts w:ascii="Arial" w:cs="Arial" w:eastAsia="Arial" w:hAnsi="Arial"/>
                <w:sz w:val="18"/>
                <w:szCs w:val="18"/>
                <w:color w:val="auto"/>
                <w:w w:val="96"/>
              </w:rPr>
              <w:t>The Netherlands</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Cruz del Sur Duwest, S.A.</w:t>
            </w:r>
          </w:p>
        </w:tc>
        <w:tc>
          <w:tcPr>
            <w:tcW w:w="2600" w:type="dxa"/>
            <w:vAlign w:val="bottom"/>
          </w:tcPr>
          <w:p>
            <w:pPr>
              <w:ind w:left="1300"/>
              <w:spacing w:after="0"/>
              <w:rPr>
                <w:sz w:val="20"/>
                <w:szCs w:val="20"/>
                <w:color w:val="auto"/>
              </w:rPr>
            </w:pPr>
            <w:r>
              <w:rPr>
                <w:rFonts w:ascii="Arial" w:cs="Arial" w:eastAsia="Arial" w:hAnsi="Arial"/>
                <w:sz w:val="18"/>
                <w:szCs w:val="18"/>
                <w:color w:val="auto"/>
              </w:rPr>
              <w:t>Panama</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DairyLand Seed Co., Inc.</w:t>
            </w:r>
          </w:p>
        </w:tc>
        <w:tc>
          <w:tcPr>
            <w:tcW w:w="2600" w:type="dxa"/>
            <w:vAlign w:val="bottom"/>
          </w:tcPr>
          <w:p>
            <w:pPr>
              <w:ind w:left="1300"/>
              <w:spacing w:after="0"/>
              <w:rPr>
                <w:sz w:val="20"/>
                <w:szCs w:val="20"/>
                <w:color w:val="auto"/>
              </w:rPr>
            </w:pPr>
            <w:r>
              <w:rPr>
                <w:rFonts w:ascii="Arial" w:cs="Arial" w:eastAsia="Arial" w:hAnsi="Arial"/>
                <w:sz w:val="18"/>
                <w:szCs w:val="18"/>
                <w:color w:val="auto"/>
              </w:rPr>
              <w:t>Wisconsin</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DAS Agricultural Investment Holding Company Ltd</w:t>
            </w:r>
          </w:p>
        </w:tc>
        <w:tc>
          <w:tcPr>
            <w:tcW w:w="2600" w:type="dxa"/>
            <w:vAlign w:val="bottom"/>
          </w:tcPr>
          <w:p>
            <w:pPr>
              <w:ind w:left="1300"/>
              <w:spacing w:after="0"/>
              <w:rPr>
                <w:sz w:val="20"/>
                <w:szCs w:val="20"/>
                <w:color w:val="auto"/>
              </w:rPr>
            </w:pPr>
            <w:r>
              <w:rPr>
                <w:rFonts w:ascii="Arial" w:cs="Arial" w:eastAsia="Arial" w:hAnsi="Arial"/>
                <w:sz w:val="18"/>
                <w:szCs w:val="18"/>
                <w:color w:val="auto"/>
              </w:rPr>
              <w:t>Mauritius</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DasAgro Uruguay S.A.</w:t>
            </w:r>
          </w:p>
        </w:tc>
        <w:tc>
          <w:tcPr>
            <w:tcW w:w="2600" w:type="dxa"/>
            <w:vAlign w:val="bottom"/>
          </w:tcPr>
          <w:p>
            <w:pPr>
              <w:ind w:left="1300"/>
              <w:spacing w:after="0"/>
              <w:rPr>
                <w:sz w:val="20"/>
                <w:szCs w:val="20"/>
                <w:color w:val="auto"/>
              </w:rPr>
            </w:pPr>
            <w:r>
              <w:rPr>
                <w:rFonts w:ascii="Arial" w:cs="Arial" w:eastAsia="Arial" w:hAnsi="Arial"/>
                <w:sz w:val="18"/>
                <w:szCs w:val="18"/>
                <w:color w:val="auto"/>
              </w:rPr>
              <w:t>Uruguay</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Daser Agro S.A.</w:t>
            </w:r>
          </w:p>
        </w:tc>
        <w:tc>
          <w:tcPr>
            <w:tcW w:w="2600" w:type="dxa"/>
            <w:vAlign w:val="bottom"/>
          </w:tcPr>
          <w:p>
            <w:pPr>
              <w:ind w:left="1300"/>
              <w:spacing w:after="0"/>
              <w:rPr>
                <w:sz w:val="20"/>
                <w:szCs w:val="20"/>
                <w:color w:val="auto"/>
              </w:rPr>
            </w:pPr>
            <w:r>
              <w:rPr>
                <w:rFonts w:ascii="Arial" w:cs="Arial" w:eastAsia="Arial" w:hAnsi="Arial"/>
                <w:sz w:val="18"/>
                <w:szCs w:val="18"/>
                <w:color w:val="auto"/>
              </w:rPr>
              <w:t>Argentina</w:t>
            </w:r>
          </w:p>
        </w:tc>
      </w:tr>
    </w:tbl>
    <w:p>
      <w:pPr>
        <w:sectPr>
          <w:pgSz w:w="11900" w:h="16838" w:orient="portrait"/>
          <w:cols w:equalWidth="0" w:num="1">
            <w:col w:w="11020"/>
          </w:cols>
          <w:pgMar w:left="440" w:top="121" w:right="4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Dcm Marketing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DDP Agro Morocco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DDP Agro Netherlands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DDP Agro Switzerland Holding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DDP Agro US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Kenya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Nigeria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Switzerland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US DCOMCO,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Desab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Dikanka Nasinnia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Doeblers Pennsylvania Hybrids,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(China)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Dow AgroSciences (China) Company Limited Beijing Branch Office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Dow AgroSciences (China) Company Limited Shanghai Branch Office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(Jiangsu) Co.,Ltd.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(NZ)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(Thailand)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Agricultural Products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Argentina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Asia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Australia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B.V. (Belgium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B.V. (Philippines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Bolivia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Chile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China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China Ltd. - Beijing Rep.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Costa Rica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Danmark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de Colombia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de Mexico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Distribution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Export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Export S.A.S. – Egypt Rep.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Export S.A.S. Bulgarian Representive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Export S.A.S. Greece Branch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Bolivia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Bulgaria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143" w:lineRule="exact"/>
        <w:rPr>
          <w:sz w:val="20"/>
          <w:szCs w:val="20"/>
          <w:color w:val="auto"/>
        </w:rPr>
      </w:pPr>
    </w:p>
    <w:p>
      <w:pPr>
        <w:sectPr>
          <w:pgSz w:w="11900" w:h="16838" w:orient="portrait"/>
          <w:cols w:equalWidth="0" w:num="2">
            <w:col w:w="9000" w:space="720"/>
            <w:col w:w="1180"/>
          </w:cols>
          <w:pgMar w:left="440" w:top="274" w:right="559" w:bottom="1440" w:gutter="0" w:footer="0" w:header="0"/>
        </w:sectPr>
      </w:pPr>
    </w:p>
    <w:p>
      <w:pPr>
        <w:jc w:val="center"/>
        <w:ind w:right="-1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00"/>
          </w:cols>
          <w:pgMar w:left="440" w:top="274" w:right="55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Dow AgroSciences Export S.A.S. Romanian Representive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Guatemala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Hungary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Hungary Kft. Branch Office Szeged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Hungary Kft. Branch Office Szolnok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Iberica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India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Industrial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International Ltd.(Korean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Japan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Lithuania UAB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OOO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Pacific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Paraguay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Polska Sp.z.o.o.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s.r.o. Slovakian Representation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Southern Africa (Proprietary)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Sverige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Switzerland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Switzerland S.A. Croatia Representative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Taiwan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Technology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Ukraine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Vertriebsgesells chaft m.b.H.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Dow AgroSciences Vertriebsgesells chaft m.b.H. Russian Representation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Dow AgroSciences Vertriebsgesells chaft m.b.H. Serbian Representation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Dow AgroSciences Vertriebsgesells chaft m.b.H. Ukraine Representation Office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Export SAS Ivory Coast Representative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 Venezuela,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 AgroSciences Finland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DPM Netherlands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Ducoragro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 Bulgaria Eood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 Cap Mgmt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 Kazakhstan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Romania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Paraguay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Croatia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Ivory Coast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Bulgaria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Kazakhstan</w:t>
      </w:r>
    </w:p>
    <w:p>
      <w:pPr>
        <w:spacing w:after="0" w:line="143" w:lineRule="exact"/>
        <w:rPr>
          <w:sz w:val="20"/>
          <w:szCs w:val="20"/>
          <w:color w:val="auto"/>
        </w:rPr>
      </w:pPr>
    </w:p>
    <w:p>
      <w:pPr>
        <w:sectPr>
          <w:pgSz w:w="11900" w:h="16838" w:orient="portrait"/>
          <w:cols w:equalWidth="0" w:num="2">
            <w:col w:w="9000" w:space="720"/>
            <w:col w:w="1200"/>
          </w:cols>
          <w:pgMar w:left="440" w:top="274" w:right="539" w:bottom="1440" w:gutter="0" w:footer="0" w:header="0"/>
        </w:sectPr>
      </w:pPr>
    </w:p>
    <w:p>
      <w:pPr>
        <w:jc w:val="center"/>
        <w:ind w:right="-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20"/>
          </w:cols>
          <w:pgMar w:left="440" w:top="274" w:right="5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Dup Srb Doo Beograd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(Cambodia)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(Myanmar)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(New Zealand)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(South America),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(Taiwan) Agriscience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(Thailand)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AGR Services Sàrl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Argentina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Asturias,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Bangladesh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Belgian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Belgium North America Finance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Chemical and Energy Operations,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Chile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Company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Conid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Contern (Luxembourg)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CZ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Danmark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de Colombia,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de Ecuador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De Nemours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de Nemours Groupe SAS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DUPONT DE NEMOURS HOLDING LLC (DUPONT DE NEMOURS HOLDING SARL)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DuPont de Nemours Investments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de Nemours Italiana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de Nemours South Africa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de Peru S.A.C.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Deutschland Real Estate Partner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do Brasil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Eastern Europe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Energy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Far East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Far East,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Feedstocks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Global Operations,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Hellas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Holdco Spain III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HOLDING NEDERLAND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Ibérica,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India LIMITED,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Serbia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Cambodia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Myanmar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Bangladesh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3" w:lineRule="exact"/>
        <w:rPr>
          <w:sz w:val="20"/>
          <w:szCs w:val="20"/>
          <w:color w:val="auto"/>
        </w:rPr>
      </w:pPr>
    </w:p>
    <w:p>
      <w:pPr>
        <w:sectPr>
          <w:pgSz w:w="11900" w:h="16838" w:orient="portrait"/>
          <w:cols w:equalWidth="0" w:num="2">
            <w:col w:w="9000" w:space="720"/>
            <w:col w:w="1180"/>
          </w:cols>
          <w:pgMar w:left="440" w:top="274" w:right="559" w:bottom="1440" w:gutter="0" w:footer="0" w:header="0"/>
        </w:sectPr>
      </w:pPr>
    </w:p>
    <w:p>
      <w:pPr>
        <w:jc w:val="center"/>
        <w:ind w:right="-1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00"/>
          </w:cols>
          <w:pgMar w:left="440" w:top="274" w:right="55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DuPont International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International Operations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Magyarorszag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MEXICANA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North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Operations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Operations Worldwide,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OPERATIONS,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Orient Operations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Overseas Operations,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Phi Nigeria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Pioneer Egypt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Pioneer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Poland Sp 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Portugal Unipessoal LDA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DuPont Production Agriscience (Malaysia) SDN. BHD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DuPont Production Agriscience Deutschland GmbH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DuPont Production Agriscience Kabushiki Kaisha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Quimica de Venezuela,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Romania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Science and Technologies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Solutions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South Africa HOLDCO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Specialty Products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SVERIGE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Textiles &amp; Interiors Delaware,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Turkey Endustri Urunleri Limited Sirketi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Ukraine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DuPont Vietnam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Duwest Recubrimientos Costa 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Duwest,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I. du Pont de Nemours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I. DuPont Services Center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 DuPont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Eyal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Farms Technology ,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Granular,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Meadows,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Griffin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Hickory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Hickory Securities,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Netherlands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3" w:lineRule="exact"/>
        <w:rPr>
          <w:sz w:val="20"/>
          <w:szCs w:val="20"/>
          <w:color w:val="auto"/>
        </w:rPr>
      </w:pPr>
    </w:p>
    <w:p>
      <w:pPr>
        <w:sectPr>
          <w:pgSz w:w="11900" w:h="16838" w:orient="portrait"/>
          <w:cols w:equalWidth="0" w:num="2">
            <w:col w:w="9000" w:space="720"/>
            <w:col w:w="1180"/>
          </w:cols>
          <w:pgMar w:left="440" w:top="274" w:right="559" w:bottom="1440" w:gutter="0" w:footer="0" w:header="0"/>
        </w:sectPr>
      </w:pPr>
    </w:p>
    <w:p>
      <w:pPr>
        <w:jc w:val="center"/>
        <w:ind w:right="-1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00"/>
          </w:cols>
          <w:pgMar w:left="440" w:top="274" w:right="55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Hoegemeyer Hybrids,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 Mtl &amp; Chem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MISR Pioneer Seeds Company S.A.E.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Mycogen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Mycogen Plant Science,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Mycogen Seeds-Puerto Rico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NuTech Seed, LLC (SMLLC of PHI)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Orion Mexico,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DuPont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Industrial Holdings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International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Research Farms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Seed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Seed Holdings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Seed Inc. -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Seed Kenya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Seed Lda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Seed Lesotho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Seed Malawi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Seed Swaziland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Pannar Seed Tanzania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PD Glycol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Materials Danmark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Materials Hungary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Pfister Seeds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 Financial Services Canada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 Financial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 Mexico,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 Seeds Pvt.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PHI Servicios S de R.L. de C.V. f/k/a PHI Servicios S.A. de C.V.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Phytogen Seed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Agro Servicios Chile Ltda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Pioneer Argentina, S.R.L. (formerly Pioneer Argentina, S.A.)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Pioneer Blé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China Business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Génétique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HB Production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Agro Servicios Spain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Australia,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Canada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Europe,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Nebraska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Mozambique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Lesotho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Swaziland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Tanzania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143" w:lineRule="exact"/>
        <w:rPr>
          <w:sz w:val="20"/>
          <w:szCs w:val="20"/>
          <w:color w:val="auto"/>
        </w:rPr>
      </w:pPr>
    </w:p>
    <w:p>
      <w:pPr>
        <w:sectPr>
          <w:pgSz w:w="11900" w:h="16838" w:orient="portrait"/>
          <w:cols w:equalWidth="0" w:num="2">
            <w:col w:w="9000" w:space="720"/>
            <w:col w:w="1200"/>
          </w:cols>
          <w:pgMar w:left="440" w:top="274" w:right="539" w:bottom="1440" w:gutter="0" w:footer="0" w:header="0"/>
        </w:sectPr>
      </w:pPr>
    </w:p>
    <w:p>
      <w:pPr>
        <w:jc w:val="center"/>
        <w:ind w:right="-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20"/>
          </w:cols>
          <w:pgMar w:left="440" w:top="274" w:right="5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Pioneer Hi-Bred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Italia Servizi Agronomici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Italia Sementi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Kenya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Puerto Rico,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R.S.A.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Rus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Seed Agro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Seeds Ethiopia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Spain,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SRB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(Switzerland)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(Thailand)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Holding Spain,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International Production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Magyarorszag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Northern Europe Sales Division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Northern Europe Service Division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Philippines,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Production and Service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Research R.S.A. (Proprietary)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Romania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Sementes de Portugal, S.A.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Pioneer Hi-Bred Services GmbH (formerly known as Pioneer Saaten GmbH)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Slovensko, Spol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Mexico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Mexico Operations,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 (Branch in 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 (Branch in Egypt)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 (Branch in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 (Branch in 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(Hong Kong)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(Hong Kong) Holdings No 1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(Hong Kong) Holdings No 2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Investors,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Research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Ethiopia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Turks and Caicos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143" w:lineRule="exact"/>
        <w:rPr>
          <w:sz w:val="20"/>
          <w:szCs w:val="20"/>
          <w:color w:val="auto"/>
        </w:rPr>
      </w:pPr>
    </w:p>
    <w:p>
      <w:pPr>
        <w:sectPr>
          <w:pgSz w:w="11900" w:h="16838" w:orient="portrait"/>
          <w:cols w:equalWidth="0" w:num="2">
            <w:col w:w="9000" w:space="720"/>
            <w:col w:w="1240"/>
          </w:cols>
          <w:pgMar w:left="440" w:top="274" w:right="499" w:bottom="1440" w:gutter="0" w:footer="0" w:header="0"/>
        </w:sect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60"/>
          </w:cols>
          <w:pgMar w:left="440" w:top="274" w:right="49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Pioneer Pakistan Seed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Seed Holding Nederland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Seed Holding Participations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Seeds,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Semena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Semena Bulgaria EOOD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Semences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Service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Sjeme D.o.o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Tohumculuk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Tohumculuk Disribution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Pioneer Turks &amp; Caicos,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Pitt-Consol Chemical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Prairie Brand Seeds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(Australia)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Belgium BVBA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Canada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Diamond,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Korea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Netherlands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UK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Dow AgroSciences Commerce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Dow AgroSciences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DuPont Agricultural Products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Renwick Duwest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Renwick Duwest PR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Rindes y Cultivos DAS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Seed Consultants,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Semillas Pioneer Chile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Semillas Pioneer de Venezuela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Sociedad Comercial Agar Cross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 International Holding 3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Sptg Gds Prop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Stasi Nasinnia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SUMIDAS JV 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Suministros Agropecuarios de El Salvador S.A. de C.V.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Taxon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Teiling PioneerSeed Research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Terral Seed,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Terramar JV S.A.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Advantage Corp. (d/b/a PHI Marketing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Pakistan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Bulgaria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Croatia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Turks and Caicos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Bolivia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143" w:lineRule="exact"/>
        <w:rPr>
          <w:sz w:val="20"/>
          <w:szCs w:val="20"/>
          <w:color w:val="auto"/>
        </w:rPr>
      </w:pPr>
    </w:p>
    <w:p>
      <w:pPr>
        <w:sectPr>
          <w:pgSz w:w="11900" w:h="16838" w:orient="portrait"/>
          <w:cols w:equalWidth="0" w:num="2">
            <w:col w:w="9000" w:space="720"/>
            <w:col w:w="1240"/>
          </w:cols>
          <w:pgMar w:left="440" w:top="274" w:right="499" w:bottom="1440" w:gutter="0" w:footer="0" w:header="0"/>
        </w:sect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60"/>
          </w:cols>
          <w:pgMar w:left="440" w:top="274" w:right="49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Representative Office of Dow AgroSciences B.V. in Ho Chi Minh City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Representative Office of Du Pont Far East Inc. In Ho Chi Minh City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Union Metallic Cartridge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Ubajay DAS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Village Court,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Westrade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Westrade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Vietnam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143" w:lineRule="exact"/>
        <w:rPr>
          <w:sz w:val="20"/>
          <w:szCs w:val="20"/>
          <w:color w:val="auto"/>
        </w:rPr>
      </w:pPr>
    </w:p>
    <w:p>
      <w:pPr>
        <w:sectPr>
          <w:pgSz w:w="11900" w:h="16838" w:orient="portrait"/>
          <w:cols w:equalWidth="0" w:num="2">
            <w:col w:w="9100" w:space="720"/>
            <w:col w:w="1160"/>
          </w:cols>
          <w:pgMar w:left="440" w:top="274" w:right="479" w:bottom="1440" w:gutter="0" w:footer="0" w:header="0"/>
        </w:sect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80"/>
          </w:cols>
          <w:pgMar w:left="440" w:top="274" w:right="47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172085</wp:posOffset>
            </wp:positionV>
            <wp:extent cx="3198495" cy="5746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319849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Dear DowDuPont Stockholder:</w:t>
      </w:r>
    </w:p>
    <w:p>
      <w:pPr>
        <w:spacing w:after="0" w:line="223" w:lineRule="exact"/>
        <w:rPr>
          <w:sz w:val="20"/>
          <w:szCs w:val="20"/>
          <w:color w:val="auto"/>
        </w:rPr>
      </w:pPr>
    </w:p>
    <w:p>
      <w:pPr>
        <w:jc w:val="both"/>
        <w:ind w:left="200" w:right="700" w:firstLine="881"/>
        <w:spacing w:after="0" w:line="285" w:lineRule="auto"/>
        <w:rPr>
          <w:sz w:val="20"/>
          <w:szCs w:val="20"/>
          <w:color w:val="auto"/>
        </w:rPr>
      </w:pPr>
      <w:r>
        <w:rPr>
          <w:rFonts w:ascii="Arial" w:cs="Arial" w:eastAsia="Arial" w:hAnsi="Arial"/>
          <w:sz w:val="16"/>
          <w:szCs w:val="16"/>
          <w:color w:val="auto"/>
        </w:rPr>
        <w:t>We are pleased to deliver to you this information statement to inform you that on May 6, 2019, the board of directors of DowDuPont Inc. (“DowDuPont”) approved the distribution of all the then issued and outstanding shares of common stock of Corteva, Inc. (“Corteva”), a wholly owned subsidiary of DowDuPont, to DowDuPont stockholders. At the time of the distribution, Corteva will hold DowDuPont’s agriculture business.</w:t>
      </w:r>
    </w:p>
    <w:p>
      <w:pPr>
        <w:spacing w:after="0" w:line="168" w:lineRule="exact"/>
        <w:rPr>
          <w:sz w:val="20"/>
          <w:szCs w:val="20"/>
          <w:color w:val="auto"/>
        </w:rPr>
      </w:pPr>
    </w:p>
    <w:p>
      <w:pPr>
        <w:ind w:left="200" w:right="40" w:firstLine="881"/>
        <w:spacing w:after="0" w:line="271" w:lineRule="auto"/>
        <w:rPr>
          <w:sz w:val="20"/>
          <w:szCs w:val="20"/>
          <w:color w:val="auto"/>
        </w:rPr>
      </w:pPr>
      <w:r>
        <w:rPr>
          <w:rFonts w:ascii="Arial" w:cs="Arial" w:eastAsia="Arial" w:hAnsi="Arial"/>
          <w:sz w:val="16"/>
          <w:szCs w:val="16"/>
          <w:color w:val="auto"/>
        </w:rPr>
        <w:t>As previously announced, DowDuPont intends to separate into three independent, publicly traded companies—one for each of its agriculture, materials science and specialty products businesses. The distribution to DowDuPont stockholders of all the shares of common stock of Corteva is expected to be one of two distributions to effectuate this separation plan. The other distribution, which was completed on April 1, 2019, involved Dow Inc. (“Dow”), the DowDuPont subsidiary that, at the time of its distribution, held the assets and liabilities associated with DowDuPont’s materials science business. It is expected that after the distribution of Corteva, DowDuPont will be renamed “DuPont de Nemours, Inc.” (“New DuPont”). Once renamed, New DuPont is expected to change its symbol to “DD,” and the DowDuPont name and DWDP symbol are expected to be retired. Until such time, DowDuPont will continue to trade on the New York Stock Exchange (the “NYSE”) under the symbol “DWDP.”</w:t>
      </w:r>
    </w:p>
    <w:p>
      <w:pPr>
        <w:spacing w:after="0" w:line="180" w:lineRule="exact"/>
        <w:rPr>
          <w:sz w:val="20"/>
          <w:szCs w:val="20"/>
          <w:color w:val="auto"/>
        </w:rPr>
      </w:pPr>
    </w:p>
    <w:p>
      <w:pPr>
        <w:ind w:left="200" w:firstLine="881"/>
        <w:spacing w:after="0" w:line="261" w:lineRule="auto"/>
        <w:rPr>
          <w:sz w:val="20"/>
          <w:szCs w:val="20"/>
          <w:color w:val="auto"/>
        </w:rPr>
      </w:pPr>
      <w:r>
        <w:rPr>
          <w:rFonts w:ascii="Arial" w:cs="Arial" w:eastAsia="Arial" w:hAnsi="Arial"/>
          <w:sz w:val="17"/>
          <w:szCs w:val="17"/>
          <w:color w:val="auto"/>
        </w:rPr>
        <w:t>The distribution of Corteva common stock will occur on June 1, 2019 by way of a pro rata dividend to DowDuPont stockholders. Each DowDuPont stockholder will be entitled to receive one share of Corteva common stock for every three shares of DowDuPont common stock held by such stockholder at the close of business on May 24, 2019, the record date of the distribution.</w:t>
      </w:r>
    </w:p>
    <w:p>
      <w:pPr>
        <w:spacing w:after="0" w:line="186" w:lineRule="exact"/>
        <w:rPr>
          <w:sz w:val="20"/>
          <w:szCs w:val="20"/>
          <w:color w:val="auto"/>
        </w:rPr>
      </w:pPr>
    </w:p>
    <w:p>
      <w:pPr>
        <w:ind w:left="200" w:firstLine="881"/>
        <w:spacing w:after="0" w:line="297" w:lineRule="auto"/>
        <w:rPr>
          <w:sz w:val="20"/>
          <w:szCs w:val="20"/>
          <w:color w:val="auto"/>
        </w:rPr>
      </w:pPr>
      <w:r>
        <w:rPr>
          <w:rFonts w:ascii="Arial" w:cs="Arial" w:eastAsia="Arial" w:hAnsi="Arial"/>
          <w:sz w:val="15"/>
          <w:szCs w:val="15"/>
          <w:color w:val="auto"/>
        </w:rPr>
        <w:t>Immediately following the distribution of Corteva, DowDuPont stockholders as of the record date for the distribution will own 100% of the Corteva common stock being distributed and Corteva will become a publicly traded company. Immediately following the distribution of Corteva, New DuPont will continue to hold DowDuPont’s specialty products business. The DowDuPont board of directors believes that creating three focused companies is the best way to drive value for all of DowDuPont’s stakeholders. They also believe that the separation of the agriculture business from DowDuPont will better position both companies to capitalize on significant growth opportunities and focus their resources on their respective businesses and strategic priorities.</w:t>
      </w:r>
    </w:p>
    <w:p>
      <w:pPr>
        <w:spacing w:after="0" w:line="162" w:lineRule="exact"/>
        <w:rPr>
          <w:sz w:val="20"/>
          <w:szCs w:val="20"/>
          <w:color w:val="auto"/>
        </w:rPr>
      </w:pPr>
    </w:p>
    <w:p>
      <w:pPr>
        <w:ind w:left="200" w:right="180" w:firstLine="881"/>
        <w:spacing w:after="0" w:line="261" w:lineRule="auto"/>
        <w:rPr>
          <w:sz w:val="20"/>
          <w:szCs w:val="20"/>
          <w:color w:val="auto"/>
        </w:rPr>
      </w:pPr>
      <w:r>
        <w:rPr>
          <w:rFonts w:ascii="Arial" w:cs="Arial" w:eastAsia="Arial" w:hAnsi="Arial"/>
          <w:sz w:val="17"/>
          <w:szCs w:val="17"/>
          <w:color w:val="auto"/>
        </w:rPr>
        <w:t>We expect the distribution of Corteva common stock to be tax-free for U.S. federal income tax purposes, except for any cash received in lieu of fractional shares. You should consult your own tax advisor as to the particular tax consequences of the distribution of Corteva common stock to you, including potential tax consequences under state, local and non-U.S. tax laws.</w:t>
      </w:r>
    </w:p>
    <w:p>
      <w:pPr>
        <w:spacing w:after="0" w:line="186" w:lineRule="exact"/>
        <w:rPr>
          <w:sz w:val="20"/>
          <w:szCs w:val="20"/>
          <w:color w:val="auto"/>
        </w:rPr>
      </w:pPr>
    </w:p>
    <w:p>
      <w:pPr>
        <w:ind w:left="200" w:right="140" w:firstLine="881"/>
        <w:spacing w:after="0" w:line="274" w:lineRule="auto"/>
        <w:rPr>
          <w:sz w:val="20"/>
          <w:szCs w:val="20"/>
          <w:color w:val="auto"/>
        </w:rPr>
      </w:pPr>
      <w:r>
        <w:rPr>
          <w:rFonts w:ascii="Arial" w:cs="Arial" w:eastAsia="Arial" w:hAnsi="Arial"/>
          <w:sz w:val="17"/>
          <w:szCs w:val="17"/>
          <w:color w:val="auto"/>
        </w:rPr>
        <w:t>Stockholder approval of the distribution is not required. You are not required to take any action to receive your Corteva common stock and you do not need to pay any consideration or surrender or exchange your DowDuPont shares to receive your Corteva common stock.</w:t>
      </w:r>
    </w:p>
    <w:p>
      <w:pPr>
        <w:spacing w:after="0" w:line="175" w:lineRule="exact"/>
        <w:rPr>
          <w:sz w:val="20"/>
          <w:szCs w:val="20"/>
          <w:color w:val="auto"/>
        </w:rPr>
      </w:pPr>
    </w:p>
    <w:p>
      <w:pPr>
        <w:ind w:left="200" w:right="40" w:firstLine="881"/>
        <w:spacing w:after="0" w:line="274" w:lineRule="auto"/>
        <w:rPr>
          <w:sz w:val="20"/>
          <w:szCs w:val="20"/>
          <w:color w:val="auto"/>
        </w:rPr>
      </w:pPr>
      <w:r>
        <w:rPr>
          <w:rFonts w:ascii="Arial" w:cs="Arial" w:eastAsia="Arial" w:hAnsi="Arial"/>
          <w:sz w:val="17"/>
          <w:szCs w:val="17"/>
          <w:color w:val="auto"/>
        </w:rPr>
        <w:t>Immediately following the distribution, you will own shares in both New DuPont and Corteva. Corteva’s common stock will be listed on the NYSE under the symbol “CTVA.”</w:t>
      </w:r>
    </w:p>
    <w:p>
      <w:pPr>
        <w:spacing w:after="0" w:line="175" w:lineRule="exact"/>
        <w:rPr>
          <w:sz w:val="20"/>
          <w:szCs w:val="20"/>
          <w:color w:val="auto"/>
        </w:rPr>
      </w:pPr>
    </w:p>
    <w:p>
      <w:pPr>
        <w:ind w:left="200" w:right="200" w:firstLine="881"/>
        <w:spacing w:after="0" w:line="261" w:lineRule="auto"/>
        <w:rPr>
          <w:sz w:val="20"/>
          <w:szCs w:val="20"/>
          <w:color w:val="auto"/>
        </w:rPr>
      </w:pPr>
      <w:r>
        <w:rPr>
          <w:rFonts w:ascii="Arial" w:cs="Arial" w:eastAsia="Arial" w:hAnsi="Arial"/>
          <w:sz w:val="17"/>
          <w:szCs w:val="17"/>
          <w:color w:val="auto"/>
        </w:rPr>
        <w:t>The enclosed information statement is being made available to all DowDuPont stockholders who held shares of DowDuPont common stock as of the record date for the distribution of Corteva common stock. This statement describes the distribution in detail and contains important information about DowDuPont, Corteva and the distribution. We urge you to read the information statement carefully.</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want to thank you for your continued support of DowDuPont, and we look forward to your support of Corteva in the future.</w:t>
      </w:r>
    </w:p>
    <w:p>
      <w:pPr>
        <w:spacing w:after="0" w:line="25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5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-120650</wp:posOffset>
            </wp:positionV>
            <wp:extent cx="24612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DowDuPont Inc.</w:t>
      </w:r>
    </w:p>
    <w:p>
      <w:pPr>
        <w:sectPr>
          <w:pgSz w:w="11900" w:h="16838" w:orient="portrait"/>
          <w:cols w:equalWidth="0" w:num="1">
            <w:col w:w="11220"/>
          </w:cols>
          <w:pgMar w:left="240" w:top="122"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Corteva Shareholder:</w:t>
      </w:r>
    </w:p>
    <w:p>
      <w:pPr>
        <w:spacing w:after="0" w:line="22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Corteva combines the DuPont Pioneer, Dow AgroSciences and DuPont Crop Protection businesses to create a pure-play agriculture company. We are recognized by farmers as a leader in the seed and crop protection markets globally. Our seed platform develops and supplies high quality germplasm combined with advanced traits to produce higher yields for farmers around the world. Our crop protection platform supplies products to protect crop yields against weeds, insects and disease, enabling farmers to achieve optimal results. The combination of these leading platforms creates one of the broadest portfolios of agriculture solutions in the industry, fueling farmer productivity in more than 140 countries and generating pro forma annual sales of $14.3 billion for the year ended December 31, 2018. Our strategy is to provide farmers with the right mix of innovative seeds, crop protection and digital solutions to maximize their yields and improve their profitability, while strengthening customer relationships and ensuring an abundant food supply for a growing global population. We also have the opportunity, through our merger, to drive synergy benefits totaling nearly $1.7 billion, including approximately $1.2 billion in cost synergies and $500 million in growth synergies. Our synergy project, along with our ongoing productivity efforts, are aimed at achieving a best-in-class cost structure versus our peers, as well as a sharper focus on the customer.</w:t>
      </w:r>
    </w:p>
    <w:p>
      <w:pPr>
        <w:spacing w:after="0" w:line="16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expect to create shareholder value by continuing to advance our science-based innovation focused on delivering a wide range of improved products and services to our customers. Through our merger of the Historical DuPont and Historical Dow innovations pipelines, we have created one of the broadest and most productive new product pipelines in the agriculture industry. We intend to leverage our rich heritage of over 275 combined years of scientific achievement to advance our robust innovation pipeline and continue to shape the future of responsible agriculture. We intend to launch 21 new products, balanced between seeds and crop protection, between 2017 and 2021, including the U.S. launch of Enlist E3</w:t>
      </w:r>
      <w:r>
        <w:rPr>
          <w:rFonts w:ascii="Arial" w:cs="Arial" w:eastAsia="Arial" w:hAnsi="Arial"/>
          <w:sz w:val="13"/>
          <w:szCs w:val="13"/>
          <w:color w:val="auto"/>
        </w:rPr>
        <w:t>™</w:t>
      </w:r>
      <w:r>
        <w:rPr>
          <w:rFonts w:ascii="Arial" w:cs="Arial" w:eastAsia="Arial" w:hAnsi="Arial"/>
          <w:sz w:val="16"/>
          <w:szCs w:val="16"/>
          <w:color w:val="auto"/>
        </w:rPr>
        <w:t xml:space="preserve"> soybeans for 2019 planting and Qrome</w:t>
      </w:r>
      <w:r>
        <w:rPr>
          <w:rFonts w:ascii="Arial" w:cs="Arial" w:eastAsia="Arial" w:hAnsi="Arial"/>
          <w:sz w:val="13"/>
          <w:szCs w:val="13"/>
          <w:color w:val="auto"/>
        </w:rPr>
        <w:t>®</w:t>
      </w:r>
      <w:r>
        <w:rPr>
          <w:rFonts w:ascii="Arial" w:cs="Arial" w:eastAsia="Arial" w:hAnsi="Arial"/>
          <w:sz w:val="16"/>
          <w:szCs w:val="16"/>
          <w:color w:val="auto"/>
        </w:rPr>
        <w:t xml:space="preserve"> corn products. New products are crucial to solving farmers’ productivity challenges amid a growing global population while addressing natural resistance, regulatory changes, safety requirements and competitive dynamics. Our investment in technology-based and solution-based product offerings allow us to meet farmers’ evolving needs while ensuring that our investments generate sufficient returns. Meanwhile, through our unique routes to market, we continue to work face-to-face with farmers around the world to deeply understand their needs.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Corteva common stock will be listed on the NYSE under the symbol “CTVA”.</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believe Corteva will be a unique company in the agriculture industry, with a global footprint, broad product offerings, a lean cost structure and an advantaged route to market that provides unmatched customer access. We strive to make an impact for our customers, while focusing on five priorities for shareholder value creation: (1) instill a strong culture, (2) drive disciplined capital resource allocation, (3) develop innovative solutions,</w:t>
      </w:r>
    </w:p>
    <w:p>
      <w:pPr>
        <w:ind w:left="200" w:right="140" w:firstLine="4"/>
        <w:spacing w:after="0" w:line="277" w:lineRule="auto"/>
        <w:tabs>
          <w:tab w:leader="none" w:pos="45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attain best-in-class cost structure and (5) deliver above market growth. We invite you to learn more about Corteva by reviewing the enclosed information statement. We hope it conveys our excitement and allows you to understand our plans to stand and spin Corteva successfully this year. We look forward to our future as an independent, publicly traded company and to your support as a shareholder of Corteva common stock.</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James C. Collins, Jr.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80"/>
          </w:cols>
          <w:pgMar w:left="24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Preliminary and Subject to Completion, dated May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172085</wp:posOffset>
            </wp:positionV>
            <wp:extent cx="3876040" cy="7632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387604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STATEMENT</w:t>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Corteva, Inc.</w:t>
      </w: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 Par Value $0.01 Per Share</w:t>
      </w:r>
    </w:p>
    <w:p>
      <w:pPr>
        <w:spacing w:after="0" w:line="234"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This information statement is being furnished to the holders of common stock of DowDuPont Inc. (“DowDuPont”) in connection with the distribution of shares of common stock of Corteva, Inc. (“Corteva”). Corteva is a wholly owned subsidiary of DowDuPont that, at the time of the distribution, will hold DowDuPont’s agriculture business. DowDuPont will distribute all the outstanding shares of Corteva common stock on a pro rata basis to its common stockholders.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Corteva is organized as a corporation under the laws of the State of Delaware.</w:t>
      </w:r>
    </w:p>
    <w:p>
      <w:pPr>
        <w:spacing w:after="0" w:line="225" w:lineRule="exact"/>
        <w:rPr>
          <w:sz w:val="20"/>
          <w:szCs w:val="20"/>
          <w:color w:val="auto"/>
        </w:rPr>
      </w:pPr>
    </w:p>
    <w:p>
      <w:pPr>
        <w:ind w:left="200" w:right="280"/>
        <w:spacing w:after="0" w:line="272" w:lineRule="auto"/>
        <w:rPr>
          <w:sz w:val="20"/>
          <w:szCs w:val="20"/>
          <w:color w:val="auto"/>
        </w:rPr>
      </w:pPr>
      <w:r>
        <w:rPr>
          <w:rFonts w:ascii="Arial" w:cs="Arial" w:eastAsia="Arial" w:hAnsi="Arial"/>
          <w:sz w:val="17"/>
          <w:szCs w:val="17"/>
          <w:color w:val="auto"/>
        </w:rPr>
        <w:t>For every three shares of DowDuPont common stock held of record by you as of the close of business on May 24, 2019, the record date for the distribution, you will receive one share of Corteva common stock. No fractional shares of Corteva common stock will be issued. Instead, you will receive cash in lieu of any fractional shares. As discussed under “The Distribution—Trading Between the Record Date and Distribution Date,” if you sell your DowDuPont common stock in the “regular-way” market after the record date and before the separation and distribution, you will also be selling your right to receive shares of Corteva common stock in connection with the separation and distribution. We expect the shares of Corteva common stock to be distributed by DowDuPont to you on June 1, 2019. We refer to the date of distribution of Corteva common stock as the “distribution date.” After the distribution, we will be an independent, publicly traded company.</w:t>
      </w:r>
    </w:p>
    <w:p>
      <w:pPr>
        <w:spacing w:after="0" w:line="174" w:lineRule="exact"/>
        <w:rPr>
          <w:sz w:val="20"/>
          <w:szCs w:val="20"/>
          <w:color w:val="auto"/>
        </w:rPr>
      </w:pPr>
    </w:p>
    <w:p>
      <w:pPr>
        <w:ind w:left="200" w:right="100"/>
        <w:spacing w:after="0" w:line="289" w:lineRule="auto"/>
        <w:rPr>
          <w:sz w:val="20"/>
          <w:szCs w:val="20"/>
          <w:color w:val="auto"/>
        </w:rPr>
      </w:pPr>
      <w:r>
        <w:rPr>
          <w:rFonts w:ascii="Arial" w:cs="Arial" w:eastAsia="Arial" w:hAnsi="Arial"/>
          <w:sz w:val="17"/>
          <w:szCs w:val="17"/>
          <w:b w:val="1"/>
          <w:bCs w:val="1"/>
          <w:color w:val="auto"/>
        </w:rPr>
        <w:t xml:space="preserve">No vote of DowDuPont stockholders is required to effect the distribution. Therefore, you are not being asked for a proxy to vote on the separation or the distribution, and you are requested not to send us a proxy. </w:t>
      </w:r>
      <w:r>
        <w:rPr>
          <w:rFonts w:ascii="Arial" w:cs="Arial" w:eastAsia="Arial" w:hAnsi="Arial"/>
          <w:sz w:val="17"/>
          <w:szCs w:val="17"/>
          <w:color w:val="auto"/>
        </w:rPr>
        <w:t>You do not need to pay any consideration, exchange or surrender your</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shares of DowDuPont common stock or take any other action to receive your shares of Corteva common stock.</w:t>
      </w:r>
    </w:p>
    <w:p>
      <w:pPr>
        <w:spacing w:after="0" w:line="162"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The distribution is intended to be tax-free to DowDuPont stockholders for United States federal income tax purposes, except for cash received in lieu of fractional shares. The distribution is subject to the satisfaction or waiver by DowDuPont of certain conditions, including the receipt of an opinion of Skadden, Arps, Slate, Meagher &amp; Flom LLP (“Skadden”) confirming that the distribution and certain transactions entered into in connection with the distribution generally will be tax-free to DowDuPont and its shareholders for U.S. federal income tax purposes, except for cash received in lieu of fractional shares. Cash received in lieu of any fractional shares of DowDuPont common stock will generally be taxable to you.</w:t>
      </w:r>
    </w:p>
    <w:p>
      <w:pPr>
        <w:spacing w:after="0" w:line="158"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DowDuPont currently owns all the outstanding shares of Corteva. Accordingly, there is no current trading market for Corteva common stock, although we expect that a limited market, commonly known as a “when-issued” trading market, will develop as early as the trading day prior to the record date for the distribution, and we expect “regular-way” trading of Corteva common stock to begin on the distribution date (or, if the distribution date is not a trading day, the first trading day after the distribution date). Corteva’s common stock will be listed on the New York Stock Exchange (the “NYSE”) under the symbol “CTVA.”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0" w:right="240"/>
        <w:spacing w:after="0" w:line="256" w:lineRule="auto"/>
        <w:rPr>
          <w:rFonts w:ascii="Arial" w:cs="Arial" w:eastAsia="Arial" w:hAnsi="Arial"/>
          <w:sz w:val="22"/>
          <w:szCs w:val="22"/>
          <w:b w:val="1"/>
          <w:bCs w:val="1"/>
          <w:color w:val="0000EE"/>
        </w:rPr>
      </w:pPr>
      <w:hyperlink w:anchor="page170">
        <w:r>
          <w:rPr>
            <w:rFonts w:ascii="Arial" w:cs="Arial" w:eastAsia="Arial" w:hAnsi="Arial"/>
            <w:sz w:val="22"/>
            <w:szCs w:val="22"/>
            <w:b w:val="1"/>
            <w:bCs w:val="1"/>
            <w:color w:val="auto"/>
          </w:rPr>
          <w:t>In reviewing this information statement, you should carefully consider the matters described under the caption “</w:t>
        </w:r>
        <w:r>
          <w:rPr>
            <w:rFonts w:ascii="Arial" w:cs="Arial" w:eastAsia="Arial" w:hAnsi="Arial"/>
            <w:sz w:val="22"/>
            <w:szCs w:val="22"/>
            <w:b w:val="1"/>
            <w:bCs w:val="1"/>
            <w:u w:val="single" w:color="auto"/>
            <w:color w:val="0000EE"/>
          </w:rPr>
          <w:t>Risk</w:t>
        </w:r>
      </w:hyperlink>
      <w:r>
        <w:rPr>
          <w:rFonts w:ascii="Arial" w:cs="Arial" w:eastAsia="Arial" w:hAnsi="Arial"/>
          <w:sz w:val="22"/>
          <w:szCs w:val="22"/>
          <w:b w:val="1"/>
          <w:bCs w:val="1"/>
          <w:color w:val="auto"/>
        </w:rPr>
        <w:t xml:space="preserve"> </w:t>
      </w:r>
      <w:hyperlink w:anchor="page170">
        <w:r>
          <w:rPr>
            <w:rFonts w:ascii="Arial" w:cs="Arial" w:eastAsia="Arial" w:hAnsi="Arial"/>
            <w:sz w:val="22"/>
            <w:szCs w:val="22"/>
            <w:b w:val="1"/>
            <w:bCs w:val="1"/>
            <w:u w:val="single" w:color="auto"/>
            <w:color w:val="0000EE"/>
          </w:rPr>
          <w:t>Factors</w:t>
        </w:r>
        <w:r>
          <w:rPr>
            <w:rFonts w:ascii="Arial" w:cs="Arial" w:eastAsia="Arial" w:hAnsi="Arial"/>
            <w:sz w:val="22"/>
            <w:szCs w:val="22"/>
            <w:b w:val="1"/>
            <w:bCs w:val="1"/>
            <w:color w:val="000000"/>
          </w:rPr>
          <w:t>” beginning on page 30.</w:t>
        </w:r>
      </w:hyperlink>
    </w:p>
    <w:p>
      <w:pPr>
        <w:spacing w:after="0" w:line="172" w:lineRule="exact"/>
        <w:rPr>
          <w:sz w:val="20"/>
          <w:szCs w:val="20"/>
          <w:color w:val="auto"/>
        </w:rPr>
      </w:pPr>
    </w:p>
    <w:p>
      <w:pPr>
        <w:ind w:left="200" w:right="220"/>
        <w:spacing w:after="0" w:line="313"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of these securities or determined if this information statement is truthful or complete. Any representation to the contrary is a criminal offense.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information statement does not constitute an offer to sell or the solicitation of an offer to buy any securities.</w:t>
      </w:r>
    </w:p>
    <w:p>
      <w:pPr>
        <w:spacing w:after="0" w:line="225" w:lineRule="exact"/>
        <w:rPr>
          <w:sz w:val="20"/>
          <w:szCs w:val="20"/>
          <w:color w:val="auto"/>
        </w:rPr>
      </w:pPr>
    </w:p>
    <w:p>
      <w:pPr>
        <w:jc w:val="center"/>
        <w:ind w:right="-199"/>
        <w:spacing w:after="0"/>
        <w:tabs>
          <w:tab w:leader="none" w:pos="200" w:val="left"/>
        </w:tabs>
        <w:rPr>
          <w:sz w:val="20"/>
          <w:szCs w:val="20"/>
          <w:color w:val="auto"/>
        </w:rPr>
      </w:pPr>
      <w:r>
        <w:rPr>
          <w:rFonts w:ascii="Arial" w:cs="Arial" w:eastAsia="Arial" w:hAnsi="Arial"/>
          <w:sz w:val="18"/>
          <w:szCs w:val="18"/>
          <w:b w:val="1"/>
          <w:bCs w:val="1"/>
          <w:color w:val="auto"/>
        </w:rPr>
        <w:t>The date of this information statement is May</w:t>
      </w:r>
      <w:r>
        <w:rPr>
          <w:sz w:val="20"/>
          <w:szCs w:val="20"/>
          <w:color w:val="auto"/>
        </w:rPr>
        <w:tab/>
      </w:r>
      <w:r>
        <w:rPr>
          <w:rFonts w:ascii="Arial" w:cs="Arial" w:eastAsia="Arial" w:hAnsi="Arial"/>
          <w:sz w:val="15"/>
          <w:szCs w:val="15"/>
          <w:b w:val="1"/>
          <w:bCs w:val="1"/>
          <w:color w:val="auto"/>
        </w:rPr>
        <w:t>, 2019</w:t>
      </w:r>
    </w:p>
    <w:p>
      <w:pPr>
        <w:spacing w:after="0" w:line="225" w:lineRule="exact"/>
        <w:rPr>
          <w:sz w:val="20"/>
          <w:szCs w:val="20"/>
          <w:color w:val="auto"/>
        </w:rPr>
      </w:pPr>
    </w:p>
    <w:p>
      <w:pPr>
        <w:jc w:val="center"/>
        <w:ind w:left="440" w:right="100"/>
        <w:spacing w:after="0" w:line="282" w:lineRule="auto"/>
        <w:rPr>
          <w:sz w:val="20"/>
          <w:szCs w:val="20"/>
          <w:color w:val="auto"/>
        </w:rPr>
      </w:pPr>
      <w:r>
        <w:rPr>
          <w:rFonts w:ascii="Arial" w:cs="Arial" w:eastAsia="Arial" w:hAnsi="Arial"/>
          <w:sz w:val="18"/>
          <w:szCs w:val="18"/>
          <w:b w:val="1"/>
          <w:bCs w:val="1"/>
          <w:color w:val="auto"/>
        </w:rPr>
        <w:t>Notice of Internet Availability with instructions for how to access this information statement is first being mailed to DowDuPont stockholders on or about May   , 2019.</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8540" w:type="dxa"/>
            <w:vAlign w:val="bottom"/>
            <w:tcBorders>
              <w:bottom w:val="single" w:sz="8" w:color="0000EE"/>
            </w:tcBorders>
            <w:gridSpan w:val="24"/>
          </w:tcPr>
          <w:p>
            <w:pPr>
              <w:spacing w:after="0" w:line="190" w:lineRule="exact"/>
              <w:rPr>
                <w:rFonts w:ascii="Arial" w:cs="Arial" w:eastAsia="Arial" w:hAnsi="Arial"/>
                <w:sz w:val="18"/>
                <w:szCs w:val="18"/>
                <w:color w:val="0000EE"/>
                <w:w w:val="96"/>
              </w:rPr>
            </w:pPr>
            <w:hyperlink w:anchor="page143">
              <w:r>
                <w:rPr>
                  <w:rFonts w:ascii="Arial" w:cs="Arial" w:eastAsia="Arial" w:hAnsi="Arial"/>
                  <w:sz w:val="18"/>
                  <w:szCs w:val="18"/>
                  <w:color w:val="0000EE"/>
                  <w:w w:val="96"/>
                </w:rPr>
                <w:t>MERGER, INTENDED SEPARATIONS, REORGANIZATION AND FINANCIAL STATEMENT PRESENTATION</w:t>
              </w:r>
            </w:hyperlink>
          </w:p>
        </w:tc>
        <w:tc>
          <w:tcPr>
            <w:tcW w:w="380" w:type="dxa"/>
            <w:vAlign w:val="bottom"/>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8920" w:type="dxa"/>
            <w:vAlign w:val="bottom"/>
            <w:gridSpan w:val="2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INFORMATION STATEMENT SUMMARY</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gridSpan w:val="2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SUMMARY OF THE SEPARATION AND DISTRIBUTION</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28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57">
              <w:r>
                <w:rPr>
                  <w:rFonts w:ascii="Arial" w:cs="Arial" w:eastAsia="Arial" w:hAnsi="Arial"/>
                  <w:sz w:val="18"/>
                  <w:szCs w:val="18"/>
                  <w:color w:val="0000EE"/>
                  <w:w w:val="96"/>
                </w:rPr>
                <w:t>QUESTIONS AND ANSWERS ABOUT THE SEPARATION AND DISTRIBUTION</w:t>
              </w:r>
            </w:hyperlink>
          </w:p>
        </w:tc>
        <w:tc>
          <w:tcPr>
            <w:tcW w:w="264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70">
              <w:r>
                <w:rPr>
                  <w:rFonts w:ascii="Arial" w:cs="Arial" w:eastAsia="Arial" w:hAnsi="Arial"/>
                  <w:sz w:val="18"/>
                  <w:szCs w:val="18"/>
                  <w:color w:val="0000EE"/>
                  <w:w w:val="93"/>
                </w:rPr>
                <w:t>RISK FACTORS</w:t>
              </w:r>
            </w:hyperlink>
          </w:p>
        </w:tc>
        <w:tc>
          <w:tcPr>
            <w:tcW w:w="7660" w:type="dxa"/>
            <w:vAlign w:val="bottom"/>
            <w:gridSpan w:val="2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920" w:type="dxa"/>
            <w:vAlign w:val="bottom"/>
            <w:gridSpan w:val="25"/>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CAUTIONARY STATEMENT CONCERNING FORWARD-LOOKING STATEMENTS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193">
              <w:r>
                <w:rPr>
                  <w:rFonts w:ascii="Arial" w:cs="Arial" w:eastAsia="Arial" w:hAnsi="Arial"/>
                  <w:sz w:val="18"/>
                  <w:szCs w:val="18"/>
                  <w:color w:val="0000EE"/>
                  <w:w w:val="97"/>
                </w:rPr>
                <w:t>THE DISTRIBUTION</w:t>
              </w:r>
            </w:hyperlink>
          </w:p>
        </w:tc>
        <w:tc>
          <w:tcPr>
            <w:tcW w:w="4800" w:type="dxa"/>
            <w:vAlign w:val="bottom"/>
            <w:tcBorders>
              <w:top w:val="single" w:sz="8" w:color="0000EE"/>
            </w:tcBorders>
            <w:gridSpan w:val="12"/>
          </w:tcPr>
          <w:p>
            <w:pPr>
              <w:spacing w:after="0"/>
              <w:rPr>
                <w:sz w:val="17"/>
                <w:szCs w:val="17"/>
                <w:color w:val="auto"/>
              </w:rPr>
            </w:pPr>
          </w:p>
        </w:tc>
        <w:tc>
          <w:tcPr>
            <w:tcW w:w="246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201">
              <w:r>
                <w:rPr>
                  <w:rFonts w:ascii="Arial" w:cs="Arial" w:eastAsia="Arial" w:hAnsi="Arial"/>
                  <w:sz w:val="18"/>
                  <w:szCs w:val="18"/>
                  <w:color w:val="0000EE"/>
                  <w:w w:val="99"/>
                </w:rPr>
                <w:t>DIVIDEND POLICY</w:t>
              </w:r>
            </w:hyperlink>
          </w:p>
        </w:tc>
        <w:tc>
          <w:tcPr>
            <w:tcW w:w="7340" w:type="dxa"/>
            <w:vAlign w:val="bottom"/>
            <w:gridSpan w:val="2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8"/>
              </w:rPr>
            </w:pPr>
            <w:hyperlink w:anchor="page202">
              <w:r>
                <w:rPr>
                  <w:rFonts w:ascii="Arial" w:cs="Arial" w:eastAsia="Arial" w:hAnsi="Arial"/>
                  <w:sz w:val="18"/>
                  <w:szCs w:val="18"/>
                  <w:color w:val="0000EE"/>
                  <w:w w:val="98"/>
                </w:rPr>
                <w:t>CAPITALIZATION</w:t>
              </w:r>
            </w:hyperlink>
          </w:p>
        </w:tc>
        <w:tc>
          <w:tcPr>
            <w:tcW w:w="7460" w:type="dxa"/>
            <w:vAlign w:val="bottom"/>
            <w:gridSpan w:val="2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8920" w:type="dxa"/>
            <w:vAlign w:val="bottom"/>
            <w:gridSpan w:val="25"/>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UNAUDITED PRO FORMA COMBINED FINANCIAL STATEMENTS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211">
              <w:r>
                <w:rPr>
                  <w:rFonts w:ascii="Arial" w:cs="Arial" w:eastAsia="Arial" w:hAnsi="Arial"/>
                  <w:sz w:val="18"/>
                  <w:szCs w:val="18"/>
                  <w:color w:val="0000EE"/>
                  <w:w w:val="96"/>
                </w:rPr>
                <w:t>NOTES TO THE UNAUDITED PRO FORMA COMBINED FINANCIAL STATEMENTS</w:t>
              </w:r>
            </w:hyperlink>
          </w:p>
        </w:tc>
        <w:tc>
          <w:tcPr>
            <w:tcW w:w="2280" w:type="dxa"/>
            <w:vAlign w:val="bottom"/>
            <w:gridSpan w:val="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8920" w:type="dxa"/>
            <w:vAlign w:val="bottom"/>
            <w:gridSpan w:val="25"/>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SUPPLEMENTAL MANAGEMENT’S DISCUSSION AND ANALYSIS OF PRO FORMA SEGMENT RESULTS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44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7"/>
              </w:rPr>
            </w:pPr>
            <w:hyperlink w:anchor="page234">
              <w:r>
                <w:rPr>
                  <w:rFonts w:ascii="Arial" w:cs="Arial" w:eastAsia="Arial" w:hAnsi="Arial"/>
                  <w:sz w:val="18"/>
                  <w:szCs w:val="18"/>
                  <w:color w:val="0000EE"/>
                  <w:w w:val="97"/>
                </w:rPr>
                <w:t>SUPPLEMENTAL LIQUIDITY &amp; CAPITAL RESOURCES</w:t>
              </w:r>
            </w:hyperlink>
          </w:p>
        </w:tc>
        <w:tc>
          <w:tcPr>
            <w:tcW w:w="3940" w:type="dxa"/>
            <w:vAlign w:val="bottom"/>
            <w:tcBorders>
              <w:top w:val="single" w:sz="8" w:color="0000EE"/>
            </w:tcBorders>
            <w:gridSpan w:val="10"/>
          </w:tcPr>
          <w:p>
            <w:pPr>
              <w:spacing w:after="0"/>
              <w:rPr>
                <w:sz w:val="17"/>
                <w:szCs w:val="17"/>
                <w:color w:val="auto"/>
              </w:rPr>
            </w:pPr>
          </w:p>
        </w:tc>
        <w:tc>
          <w:tcPr>
            <w:tcW w:w="52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96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235">
              <w:r>
                <w:rPr>
                  <w:rFonts w:ascii="Arial" w:cs="Arial" w:eastAsia="Arial" w:hAnsi="Arial"/>
                  <w:sz w:val="18"/>
                  <w:szCs w:val="18"/>
                  <w:color w:val="0000EE"/>
                  <w:w w:val="97"/>
                </w:rPr>
                <w:t>SELECTED HISTORICAL CONSOLIDATED FINANCIAL DATA</w:t>
              </w:r>
            </w:hyperlink>
          </w:p>
        </w:tc>
        <w:tc>
          <w:tcPr>
            <w:tcW w:w="396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892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w:anchor="page237">
              <w:r>
                <w:rPr>
                  <w:rFonts w:ascii="Arial" w:cs="Arial" w:eastAsia="Arial" w:hAnsi="Arial"/>
                  <w:sz w:val="18"/>
                  <w:szCs w:val="18"/>
                  <w:color w:val="0000EE"/>
                  <w:w w:val="97"/>
                </w:rPr>
                <w:t>MANAGEMENT’S DISCUSSION AND ANALYSIS OF FINANCIAL CONDITION AND RESULTS OF OPERATIONS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69">
              <w:r>
                <w:rPr>
                  <w:rFonts w:ascii="Arial" w:cs="Arial" w:eastAsia="Arial" w:hAnsi="Arial"/>
                  <w:sz w:val="18"/>
                  <w:szCs w:val="18"/>
                  <w:color w:val="0000EE"/>
                  <w:w w:val="92"/>
                </w:rPr>
                <w:t>BUSINESS</w:t>
              </w:r>
            </w:hyperlink>
          </w:p>
        </w:tc>
        <w:tc>
          <w:tcPr>
            <w:tcW w:w="8060" w:type="dxa"/>
            <w:vAlign w:val="bottom"/>
            <w:gridSpan w:val="2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8920" w:type="dxa"/>
            <w:vAlign w:val="bottom"/>
            <w:gridSpan w:val="25"/>
          </w:tcPr>
          <w:p>
            <w:pPr>
              <w:spacing w:after="0" w:line="196" w:lineRule="exact"/>
              <w:rPr>
                <w:rFonts w:ascii="Arial" w:cs="Arial" w:eastAsia="Arial" w:hAnsi="Arial"/>
                <w:sz w:val="18"/>
                <w:szCs w:val="18"/>
                <w:color w:val="0000EE"/>
              </w:rPr>
            </w:pPr>
            <w:hyperlink w:anchor="page289">
              <w:r>
                <w:rPr>
                  <w:rFonts w:ascii="Arial" w:cs="Arial" w:eastAsia="Arial" w:hAnsi="Arial"/>
                  <w:sz w:val="18"/>
                  <w:szCs w:val="18"/>
                  <w:color w:val="0000EE"/>
                </w:rPr>
                <w:t>MANAGEMENT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20"/>
        </w:trPr>
        <w:tc>
          <w:tcPr>
            <w:tcW w:w="1300" w:type="dxa"/>
            <w:vAlign w:val="bottom"/>
            <w:gridSpan w:val="3"/>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86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299">
              <w:r>
                <w:rPr>
                  <w:rFonts w:ascii="Arial" w:cs="Arial" w:eastAsia="Arial" w:hAnsi="Arial"/>
                  <w:sz w:val="18"/>
                  <w:szCs w:val="18"/>
                  <w:color w:val="0000EE"/>
                  <w:w w:val="96"/>
                </w:rPr>
                <w:t>COMPENSATION DISCUSSION AND ANALYSIS</w:t>
              </w:r>
            </w:hyperlink>
          </w:p>
        </w:tc>
        <w:tc>
          <w:tcPr>
            <w:tcW w:w="5060" w:type="dxa"/>
            <w:vAlign w:val="bottom"/>
            <w:gridSpan w:val="1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8920" w:type="dxa"/>
            <w:vAlign w:val="bottom"/>
            <w:gridSpan w:val="25"/>
          </w:tcPr>
          <w:p>
            <w:pPr>
              <w:spacing w:after="0" w:line="196" w:lineRule="exact"/>
              <w:rPr>
                <w:rFonts w:ascii="Arial" w:cs="Arial" w:eastAsia="Arial" w:hAnsi="Arial"/>
                <w:sz w:val="18"/>
                <w:szCs w:val="18"/>
                <w:color w:val="0000EE"/>
              </w:rPr>
            </w:pPr>
            <w:hyperlink w:anchor="page313">
              <w:r>
                <w:rPr>
                  <w:rFonts w:ascii="Arial" w:cs="Arial" w:eastAsia="Arial" w:hAnsi="Arial"/>
                  <w:sz w:val="18"/>
                  <w:szCs w:val="18"/>
                  <w:color w:val="0000EE"/>
                </w:rPr>
                <w:t>EXECUTIVE COMPENSATION</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20"/>
        </w:trPr>
        <w:tc>
          <w:tcPr>
            <w:tcW w:w="2440" w:type="dxa"/>
            <w:vAlign w:val="bottom"/>
            <w:gridSpan w:val="7"/>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gridSpan w:val="25"/>
          </w:tcPr>
          <w:p>
            <w:pPr>
              <w:spacing w:after="0" w:line="196" w:lineRule="exact"/>
              <w:rPr>
                <w:rFonts w:ascii="Arial" w:cs="Arial" w:eastAsia="Arial" w:hAnsi="Arial"/>
                <w:sz w:val="18"/>
                <w:szCs w:val="18"/>
                <w:color w:val="0000EE"/>
              </w:rPr>
            </w:pPr>
            <w:hyperlink w:anchor="page323">
              <w:r>
                <w:rPr>
                  <w:rFonts w:ascii="Arial" w:cs="Arial" w:eastAsia="Arial" w:hAnsi="Arial"/>
                  <w:sz w:val="18"/>
                  <w:szCs w:val="18"/>
                  <w:color w:val="0000EE"/>
                </w:rPr>
                <w:t>CERTAIN RELATIONSHIPS AND RELATED PERSON TRANSACTIONS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r>
      <w:tr>
        <w:trPr>
          <w:trHeight w:val="20"/>
        </w:trPr>
        <w:tc>
          <w:tcPr>
            <w:tcW w:w="3300" w:type="dxa"/>
            <w:vAlign w:val="bottom"/>
            <w:gridSpan w:val="9"/>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325">
              <w:r>
                <w:rPr>
                  <w:rFonts w:ascii="Arial" w:cs="Arial" w:eastAsia="Arial" w:hAnsi="Arial"/>
                  <w:sz w:val="18"/>
                  <w:szCs w:val="18"/>
                  <w:color w:val="0000EE"/>
                  <w:w w:val="96"/>
                </w:rPr>
                <w:t>SECURITY OWNERSHIP OF CERTAIN BENEFICIAL OWNERS AND MANAGEMENT</w:t>
              </w:r>
            </w:hyperlink>
          </w:p>
        </w:tc>
        <w:tc>
          <w:tcPr>
            <w:tcW w:w="218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r>
      <w:tr>
        <w:trPr>
          <w:trHeight w:val="196"/>
        </w:trPr>
        <w:tc>
          <w:tcPr>
            <w:tcW w:w="8920" w:type="dxa"/>
            <w:vAlign w:val="bottom"/>
            <w:gridSpan w:val="25"/>
          </w:tcPr>
          <w:p>
            <w:pPr>
              <w:spacing w:after="0" w:line="196" w:lineRule="exact"/>
              <w:rPr>
                <w:rFonts w:ascii="Arial" w:cs="Arial" w:eastAsia="Arial" w:hAnsi="Arial"/>
                <w:sz w:val="18"/>
                <w:szCs w:val="18"/>
                <w:color w:val="0000EE"/>
              </w:rPr>
            </w:pPr>
            <w:hyperlink w:anchor="page327">
              <w:r>
                <w:rPr>
                  <w:rFonts w:ascii="Arial" w:cs="Arial" w:eastAsia="Arial" w:hAnsi="Arial"/>
                  <w:sz w:val="18"/>
                  <w:szCs w:val="18"/>
                  <w:color w:val="0000EE"/>
                </w:rPr>
                <w:t>OUR RELATIONSHIP WITH NEW DUPONT AND DOW FOLLOWING THE DISTRIBUTION</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196"/>
        </w:trPr>
        <w:tc>
          <w:tcPr>
            <w:tcW w:w="71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MATERIAL U.S. FEDERAL INCOME TAX CONSEQUENCES OF THE DISTRIBUTION</w:t>
              </w:r>
            </w:hyperlink>
          </w:p>
        </w:tc>
        <w:tc>
          <w:tcPr>
            <w:tcW w:w="176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205</w:t>
            </w:r>
          </w:p>
        </w:tc>
      </w:tr>
      <w:tr>
        <w:trPr>
          <w:trHeight w:val="196"/>
        </w:trPr>
        <w:tc>
          <w:tcPr>
            <w:tcW w:w="6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48">
              <w:r>
                <w:rPr>
                  <w:rFonts w:ascii="Arial" w:cs="Arial" w:eastAsia="Arial" w:hAnsi="Arial"/>
                  <w:sz w:val="18"/>
                  <w:szCs w:val="18"/>
                  <w:color w:val="0000EE"/>
                </w:rPr>
                <w:t>DESCRIPTION OF MATERIAL INDEBTEDNESS</w:t>
              </w:r>
            </w:hyperlink>
          </w:p>
        </w:tc>
        <w:tc>
          <w:tcPr>
            <w:tcW w:w="220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209</w:t>
            </w:r>
          </w:p>
        </w:tc>
      </w:tr>
      <w:tr>
        <w:trPr>
          <w:trHeight w:val="196"/>
        </w:trPr>
        <w:tc>
          <w:tcPr>
            <w:tcW w:w="3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349">
              <w:r>
                <w:rPr>
                  <w:rFonts w:ascii="Arial" w:cs="Arial" w:eastAsia="Arial" w:hAnsi="Arial"/>
                  <w:sz w:val="18"/>
                  <w:szCs w:val="18"/>
                  <w:color w:val="0000EE"/>
                  <w:w w:val="95"/>
                </w:rPr>
                <w:t>DESCRIPTION OF OUR CAPITAL STOCK</w:t>
              </w:r>
            </w:hyperlink>
          </w:p>
        </w:tc>
        <w:tc>
          <w:tcPr>
            <w:tcW w:w="480" w:type="dxa"/>
            <w:vAlign w:val="bottom"/>
            <w:tcBorders>
              <w:top w:val="single" w:sz="8" w:color="0000EE"/>
            </w:tcBorders>
          </w:tcPr>
          <w:p>
            <w:pPr>
              <w:spacing w:after="0"/>
              <w:rPr>
                <w:sz w:val="17"/>
                <w:szCs w:val="17"/>
                <w:color w:val="auto"/>
              </w:rPr>
            </w:pPr>
          </w:p>
        </w:tc>
        <w:tc>
          <w:tcPr>
            <w:tcW w:w="5140" w:type="dxa"/>
            <w:vAlign w:val="bottom"/>
            <w:gridSpan w:val="1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209</w:t>
            </w:r>
          </w:p>
        </w:tc>
      </w:tr>
      <w:tr>
        <w:trPr>
          <w:trHeight w:val="196"/>
        </w:trPr>
        <w:tc>
          <w:tcPr>
            <w:tcW w:w="382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354">
              <w:r>
                <w:rPr>
                  <w:rFonts w:ascii="Arial" w:cs="Arial" w:eastAsia="Arial" w:hAnsi="Arial"/>
                  <w:sz w:val="18"/>
                  <w:szCs w:val="18"/>
                  <w:color w:val="0000EE"/>
                  <w:w w:val="97"/>
                </w:rPr>
                <w:t>WHERE YOU CAN FIND MORE INFORMATION</w:t>
              </w:r>
            </w:hyperlink>
          </w:p>
        </w:tc>
        <w:tc>
          <w:tcPr>
            <w:tcW w:w="5100" w:type="dxa"/>
            <w:vAlign w:val="bottom"/>
            <w:gridSpan w:val="1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214</w:t>
            </w:r>
          </w:p>
        </w:tc>
      </w:tr>
    </w:tbl>
    <w:p>
      <w:pPr>
        <w:sectPr>
          <w:pgSz w:w="11900" w:h="16838" w:orient="portrait"/>
          <w:cols w:equalWidth="0" w:num="1">
            <w:col w:w="11180"/>
          </w:cols>
          <w:pgMar w:left="24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i w:val="1"/>
          <w:iCs w:val="1"/>
          <w:color w:val="auto"/>
        </w:rPr>
        <w:t>The following is a summary of material information discussed in this information statement. This summary may not contain all the details concerning the separation and distribution or other information that may be important to you. To better understand the separation, distribution and our business and financial position, you should carefully review this entire information statement.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Unless otherwise indicated or the context otherwise requires, references in this information statement to:</w:t>
      </w:r>
    </w:p>
    <w:p>
      <w:pPr>
        <w:spacing w:after="0" w:line="131" w:lineRule="exact"/>
        <w:rPr>
          <w:sz w:val="20"/>
          <w:szCs w:val="20"/>
          <w:color w:val="auto"/>
        </w:rPr>
      </w:pPr>
    </w:p>
    <w:p>
      <w:pPr>
        <w:ind w:left="1060" w:right="460" w:hanging="316"/>
        <w:spacing w:after="0" w:line="277" w:lineRule="auto"/>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“Business Realignment” has the meaning set forth in the section titled “Merger, Intended Separations, Reorganization and Financial Statement Presentation;”</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“distribution” refers to the transaction in which DowDuPont will distribute to its stockholders all of the then issued and outstanding shares of Corteva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“distribution date” refers to the date of the distribution, which is expected to be on June 1, 2019;</w:t>
      </w:r>
    </w:p>
    <w:p>
      <w:pPr>
        <w:spacing w:after="0" w:line="130"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“Corteva,” “we,” “us,” “our” and “the company” refer to Corteva Parent and its consolidated subsidiaries (including EID) after giving effect to the Internal Reorganization and Business Realignment, resulting in Corteva Parent holding the agriculture business of DowDuPont;</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“Corteva common stock” refers to the shares of common stock, par value $0.01 per share, of Corteva Parent;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“Corteva Parent” refers to Corteva, Inc., the newly formed holding company for DowDuPont’s agriculture business;</w:t>
      </w:r>
    </w:p>
    <w:p>
      <w:pPr>
        <w:spacing w:after="0" w:line="130" w:lineRule="exact"/>
        <w:rPr>
          <w:rFonts w:ascii="Arial" w:cs="Arial" w:eastAsia="Arial" w:hAnsi="Arial"/>
          <w:sz w:val="18"/>
          <w:szCs w:val="18"/>
          <w:color w:val="auto"/>
        </w:rPr>
      </w:pPr>
    </w:p>
    <w:p>
      <w:pPr>
        <w:ind w:left="1060" w:right="360" w:hanging="316"/>
        <w:spacing w:after="0" w:line="308" w:lineRule="auto"/>
        <w:tabs>
          <w:tab w:leader="none" w:pos="1060"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t>“Dow” refers to Dow Parent and its consolidated subsidiaries (including TDCC) after giving effect to the Internal Reorganization and Business Realignment, resulting in Dow Parent holding the materials science business of DowDuPont;</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“Dow AgroSciences” refers to the agriculture business of Historical Dow;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“Dow Parent” refers to Dow Inc., the newly formed holding company for DowDuPont’s materials science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t>“DowDuPont” refers to DowDuPont Inc., a Delaware corporation, and its consolidated subsidiaries, prior to the distribution of Corteva;</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“DowDuPont stockholders” refers to holders of record of the common stock of DowDuPont in their capacity as such;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“EID” refers to E. I. du Pont de Nemours and Company, exclusive of its subsidiaries;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“Historical Dow” refers to TDCC and its consolidated subsidiaries prior to the Business Realignment;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“Historical DuPont” refers to EID and its consolidated subsidiaries prior to the Business Realignment;</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“Internal Reorganization” has the meaning set forth in the section titled “Merger, Intended Separations, Reorganization and Financial Statement Presentation;”</w:t>
      </w:r>
    </w:p>
    <w:p>
      <w:pPr>
        <w:spacing w:after="0" w:line="75" w:lineRule="exact"/>
        <w:rPr>
          <w:rFonts w:ascii="Arial" w:cs="Arial" w:eastAsia="Arial" w:hAnsi="Arial"/>
          <w:sz w:val="18"/>
          <w:szCs w:val="18"/>
          <w:color w:val="auto"/>
        </w:rPr>
      </w:pPr>
    </w:p>
    <w:p>
      <w:pPr>
        <w:ind w:left="1060" w:right="180" w:hanging="316"/>
        <w:spacing w:after="0" w:line="308" w:lineRule="auto"/>
        <w:tabs>
          <w:tab w:leader="none" w:pos="1060"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t>“New DuPont” refers to DowDuPont and its consolidated subsidiaries, following the distribution of Corteva, at which time New DuPont will hold the specialty products business of DowDuPont and is expected to be renamed “DuPont de Nemours, Inc.;”</w:t>
      </w:r>
    </w:p>
    <w:p>
      <w:pPr>
        <w:spacing w:after="0" w:line="51" w:lineRule="exact"/>
        <w:rPr>
          <w:rFonts w:ascii="Arial" w:cs="Arial" w:eastAsia="Arial" w:hAnsi="Arial"/>
          <w:sz w:val="17"/>
          <w:szCs w:val="17"/>
          <w:color w:val="auto"/>
        </w:rPr>
      </w:pPr>
    </w:p>
    <w:p>
      <w:pPr>
        <w:ind w:left="1060" w:right="740" w:hanging="316"/>
        <w:spacing w:after="0" w:line="277" w:lineRule="auto"/>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“record date” refers to the close of business on May 24, 2019, the date set by the DowDuPont board of directors to determine the DowDuPont stockholders eligible to receive the distribution of Corteva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“separation” refers to the transaction in which Corteva will be separated from DowDuPont;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“TDCC” refers to The Dow Chemical Company, exclusive of its subsidiaries.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240" w:top="459" w:right="5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93" w:lineRule="auto"/>
        <w:rPr>
          <w:sz w:val="20"/>
          <w:szCs w:val="20"/>
          <w:color w:val="auto"/>
        </w:rPr>
      </w:pPr>
      <w:r>
        <w:rPr>
          <w:rFonts w:ascii="Arial" w:cs="Arial" w:eastAsia="Arial" w:hAnsi="Arial"/>
          <w:sz w:val="16"/>
          <w:szCs w:val="16"/>
          <w:i w:val="1"/>
          <w:iCs w:val="1"/>
          <w:color w:val="auto"/>
        </w:rPr>
        <w:t>Unless otherwise indicated or the context otherwise requires, this information statement describes Corteva as if the Internal Reorganization and Business Realignment have been completed and as if Corteva held the agriculture business of DowDuPont during all periods described. As a result, references in this information statement to Corteva’s historical assets, liabilities, products, businesses or activities are generally references to the applicable assets, liabilities, products, business or activities of Historical DuPont and Historical Dow on a pro forma basis as if the Internal Reorganization and Business Realignment had already occurred and Corteva was a standalone company holding DowDuPont’s agriculture business. See the section entitled “Merger, Intended Separations, Reorganization and Financial Statement Presentation” for further information.</w:t>
      </w:r>
    </w:p>
    <w:p>
      <w:pPr>
        <w:spacing w:after="0" w:line="165"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i w:val="1"/>
          <w:iCs w:val="1"/>
          <w:color w:val="auto"/>
        </w:rPr>
        <w:t>You should carefully read this entire information statement, which forms a part of the registration statement on Form 10 (the “Form 10”), as well as the financial information contained in Historical DuPont’s annual financial statements, and the audited annual combined financial statements of Dow AgroSciences, which are incorporated by reference herein and filed as Exhibits 99.2 and 99.3, respectively, to the Form 10 of which this information statement forms a part. Some of the statements in this information statement constitute forward-looking statements. See the section entitled “Cautionary Statement Concerning Forward-Looking Statements.”</w:t>
      </w:r>
    </w:p>
    <w:p>
      <w:pPr>
        <w:spacing w:after="0" w:line="18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i w:val="1"/>
          <w:iCs w:val="1"/>
          <w:color w:val="auto"/>
        </w:rPr>
        <w:t>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except in the normal course of our public disclosure obligations.</w:t>
      </w:r>
    </w:p>
    <w:p>
      <w:pPr>
        <w:spacing w:after="0" w:line="18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i w:val="1"/>
          <w:iCs w:val="1"/>
          <w:color w:val="auto"/>
        </w:rPr>
        <w:t xml:space="preserve">Trademarks indicated by use of the symbols </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or ™ are trademarks of Historical DuPont, Pioneer, Dow AgroSciences or their affiliated companies or respective owners.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MERGER, INTENDED SEPARATIONS, REORGANIZATION AND FINANCIAL STATEMENT PRESENTATION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DowDuPont is a Delaware corporation that was formed on December 9, 2015, for the purpose of effecting the all-stock merger of equals transaction between Historical DuPont and Historical Dow. On August 31, 2017, Historical DuPont and Historical Dow each merged with wholly owned subsidiaries of DowDuPont and, as a result, became subsidiaries of DowDuPont (the “Merger”). Upon completion of the Merger, each share of EID Preferred Stock—$4.50 Series and EID Preferred Stock—$3.50 Series (collectively, the “EID Preferred Stock”) issued and outstanding immediately prior to 11:59 pm Eastern Time on August 31, 2017 (the “Effective Time of the Merger”) remained issued and outstanding and was unaffected by the Merger.</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Intended Separations</w:t>
      </w:r>
    </w:p>
    <w:p>
      <w:pPr>
        <w:spacing w:after="0" w:line="12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Prior to the Merger, Historical DuPont and Historical Dow were each publicly traded companies that were listed on the NYSE, with Historical DuPont operating a global business that included agriculture, electronics and communications, industrial biosciences, nutrition and health, performance materials and protection solutions segments, and Historical Dow operating a global business that included agricultural sciences, consumer solutions, infrastructure solutions, performance materials and chemicals and performance plastics segments. In connection with the signing of the agreement and plan of merger for the Merger (the “merger agreement”), Historical DuPont and Historical Dow announced their intention to pursue, subject to the approval of the DowDuPont board of directors and any required regulatory approvals, the separation of the combined company, DowDuPont, into three independent publicly traded companies—one for each of the combined company’s agriculture, materials science and specialty products businesses.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Internal Reorganization</w:t>
      </w:r>
    </w:p>
    <w:p>
      <w:pPr>
        <w:spacing w:after="0" w:line="12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In furtherance of DowDuPont’s planned separation into three independent, publicly traded companies, prior to, but in connection with, the separation and distribution, Historical DuPont and Historical Dow have completed a series of internal reorganization transactions to align their respective businesses into three subgroups: agriculture, materials science and specialty products. DowDuPont also formed two wholly owned subsidiaries: Corteva Parent, to serve as a holding company for its agriculture business, and Dow Parent, to serve as a holding company for its materials science business. Following the distribution of Dow, DowDuPont, as the remaining company, continues to hold the agriculture and specialty products businesses. DowDuPont is expected to complete the distribution of Corteva, resulting in DowDuPont holding the specialty products business of DowDuPont and being renamed “DuPont de Nemours, Inc.”</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series of reorganization transactions, which we refer to as the “Internal Reorganization,” involves:</w:t>
      </w:r>
    </w:p>
    <w:p>
      <w:pPr>
        <w:spacing w:after="0" w:line="131" w:lineRule="exact"/>
        <w:rPr>
          <w:sz w:val="20"/>
          <w:szCs w:val="20"/>
          <w:color w:val="auto"/>
        </w:rPr>
      </w:pPr>
    </w:p>
    <w:p>
      <w:pPr>
        <w:ind w:left="1060" w:right="40" w:hanging="316"/>
        <w:spacing w:after="0" w:line="255" w:lineRule="auto"/>
        <w:tabs>
          <w:tab w:leader="none" w:pos="10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transfer or conveyance by Historical DuPont of its assets and liabilities that are (i) aligned with DowDuPont’s agriculture business to legal entities that remain with us following the Business Realignment, (ii) aligned with DowDuPont’s specialty products business (including Historical DuPont’s specialty products business) to legal entities that will be subsidiaries of New DuPont following the Business Realignment and (iii) aligned with DowDuPont’s materials science business (including Historical DuPont’s ethylene and ethylene copolymers business (other than its ethylene acrylic elastomers business)) to legal entities that became subsidiaries of Dow following the Business Realignment (and prior to the distribution of Dow); and</w:t>
      </w:r>
    </w:p>
    <w:p>
      <w:pPr>
        <w:spacing w:after="0" w:line="98" w:lineRule="exact"/>
        <w:rPr>
          <w:rFonts w:ascii="Arial" w:cs="Arial" w:eastAsia="Arial" w:hAnsi="Arial"/>
          <w:sz w:val="18"/>
          <w:szCs w:val="18"/>
          <w:color w:val="auto"/>
        </w:rPr>
      </w:pPr>
    </w:p>
    <w:p>
      <w:pPr>
        <w:ind w:left="1060" w:right="60" w:hanging="316"/>
        <w:spacing w:after="0" w:line="259" w:lineRule="auto"/>
        <w:tabs>
          <w:tab w:leader="none" w:pos="10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transfer or conveyance by Historical Dow of its assets and liabilities that are (i) aligned with DowDuPont’s agriculture business (including Historical Dow’s agriculture business) to legal entities that remained subsidiaries of DowDuPont at the time of the distribution of Dow and will become our subsidiaries prior to our expected distribution, (ii) aligned with DowDuPont’s specialty products business (including those portions of Historical Dow’s business that are aligned with the specialty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342" w:lineRule="auto"/>
        <w:rPr>
          <w:sz w:val="20"/>
          <w:szCs w:val="20"/>
          <w:color w:val="auto"/>
        </w:rPr>
      </w:pPr>
      <w:r>
        <w:rPr>
          <w:rFonts w:ascii="Arial" w:cs="Arial" w:eastAsia="Arial" w:hAnsi="Arial"/>
          <w:sz w:val="16"/>
          <w:szCs w:val="16"/>
          <w:color w:val="auto"/>
        </w:rPr>
        <w:t>products business) to legal entities that will remain subsidiaries of New DuPont at the time of our expected distribution and (iii) aligned with DowDuPont’s materials science business to legal entities that remained subsidiaries of Dow in connection with the distribution of Dow.</w:t>
      </w:r>
    </w:p>
    <w:p>
      <w:pPr>
        <w:spacing w:after="0" w:line="124"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Following the Internal Reorganization, Historical DuPont and Historical Dow transferred and conveyed among us, Dow and legal entities that will be subsidiaries of New DuPont all of the equity interests of the applicable subsidiaries such that, in addition to any assets and liabilities allocated to us, Dow and New DuPont pursuant to the separation agreement, we hold the assets and liabilities related to DowDuPont’s agriculture business, Dow holds the assets and liabilities related to DowDuPont’s materials science business and the legal entities that will comprise New DuPont hold the assets and liabilities related to DowDuPont’s specialty products business (other than certain transactions to be completed by DowDuPont and us prior to the distribution to make the applicable members of Historical Dow and Historical DuPont aligned with the agriculture business our subsidiaries (and to make those aligned with the specialty products business the subsidiaries of DowDuPont but not us)). These transfers and conveyances, which we refer to in this information statement as the “Business Realignment,” include:</w:t>
      </w:r>
    </w:p>
    <w:p>
      <w:pPr>
        <w:spacing w:after="0" w:line="84" w:lineRule="exact"/>
        <w:rPr>
          <w:sz w:val="20"/>
          <w:szCs w:val="20"/>
          <w:color w:val="auto"/>
        </w:rPr>
      </w:pPr>
    </w:p>
    <w:p>
      <w:pPr>
        <w:ind w:left="1060" w:right="440" w:hanging="316"/>
        <w:spacing w:after="0" w:line="264" w:lineRule="auto"/>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transfer or conveyance of Historical DuPont’s interests in the capital stock of, or any other equity interests in, the entities that are subsidiaries of Dow or are to be subsidiaries of New DuPont to Dow or the legal entities that will comprise New DuPont, as applicable (which, with respect to Dow, was completed prior to the distribution of Dow);</w:t>
      </w:r>
    </w:p>
    <w:p>
      <w:pPr>
        <w:spacing w:after="0" w:line="86"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transfer or conveyance of Historical Dow’s interests in the capital stock of, or any other equity interests in, the entities that are to be subsidiaries of us or New DuPont to us or the legal entities that will comprise New DuPont, as applicable (which, with respect to members of Historical Dow, was implemented prior to the distribution of Dow by making such entities subsidiaries of DowDuPont (and not Dow), but which remain to be made our subsidiaries); and</w:t>
      </w:r>
    </w:p>
    <w:p>
      <w:pPr>
        <w:spacing w:after="0" w:line="92" w:lineRule="exact"/>
        <w:rPr>
          <w:rFonts w:ascii="Arial" w:cs="Arial" w:eastAsia="Arial" w:hAnsi="Arial"/>
          <w:sz w:val="18"/>
          <w:szCs w:val="18"/>
          <w:color w:val="auto"/>
        </w:rPr>
      </w:pPr>
    </w:p>
    <w:p>
      <w:pPr>
        <w:jc w:val="both"/>
        <w:ind w:left="1060" w:right="220" w:hanging="316"/>
        <w:spacing w:after="0" w:line="264" w:lineRule="auto"/>
        <w:tabs>
          <w:tab w:leader="none" w:pos="1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certain transfers and conveyances of Historical DuPont’s or DowDuPont’s interests in the capital stock of, or any other equity interests in, the entities that are to be subsidiaries of us or New DuPont to us or the legal entities that will comprise New DuPont, as applicable, which may occur after the Business Realignment but prior to our expected distribution.</w:t>
      </w:r>
    </w:p>
    <w:p>
      <w:pPr>
        <w:spacing w:after="0" w:line="181"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As a result of the Internal Reorganization and Business Realignment, at the time of the separation and distribution, Corteva Parent will hold all the outstanding common stock of EID. EID will continue to be a subsidiary of Corteva Parent and will remain a reporting issuer with the U.S. Securities and Exchange Commission (the “SEC”). The EID Preferred Stock will be unaffected by the separation and distribution.</w:t>
      </w:r>
    </w:p>
    <w:p>
      <w:pPr>
        <w:spacing w:after="0" w:line="166" w:lineRule="exact"/>
        <w:rPr>
          <w:sz w:val="20"/>
          <w:szCs w:val="20"/>
          <w:color w:val="auto"/>
        </w:rPr>
      </w:pPr>
    </w:p>
    <w:p>
      <w:pPr>
        <w:jc w:val="both"/>
        <w:ind w:left="200" w:right="80"/>
        <w:spacing w:after="0" w:line="312" w:lineRule="auto"/>
        <w:rPr>
          <w:sz w:val="20"/>
          <w:szCs w:val="20"/>
          <w:color w:val="auto"/>
        </w:rPr>
      </w:pPr>
      <w:r>
        <w:rPr>
          <w:rFonts w:ascii="Arial" w:cs="Arial" w:eastAsia="Arial" w:hAnsi="Arial"/>
          <w:sz w:val="16"/>
          <w:szCs w:val="16"/>
          <w:color w:val="auto"/>
        </w:rPr>
        <w:t>The diagrams below depict DowDuPont’s organizational structure after the Merger, DowDuPont’s anticipated organizational structure after the Internal Reorganization and Business Realignment and Corteva’s anticipated organizational structure following its distribution. These diagrams are provided for illustrative purposes only and do not purport to represent all legal entities within the organizational structure of DowDuPont or Corteva, as applicable.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DowDuPont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172085</wp:posOffset>
            </wp:positionV>
            <wp:extent cx="3129915" cy="14408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312991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DowDuPont Post-Internal Reorganization and Business Realignment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171450</wp:posOffset>
            </wp:positionV>
            <wp:extent cx="3387725" cy="22212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338772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Corteva Post-Distribution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172085</wp:posOffset>
            </wp:positionV>
            <wp:extent cx="1475105" cy="17754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147510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 further information, see the section entitled “Our Relationship with New DuPont and Dow Following the Distribution—Separation Agreement.”</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 Presentation</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This information statement generally describes Corteva as if the Internal Reorganization and Business Realignment have already been completed and Corteva holds the agriculture business of DowDuPont that it will hold at the time of the distribution. Accordingly, this information statement includes an unaudited pro forma consolidated balance sheet for Corteva as well as unaudited pro forma consolidated statements of income for Corteva, which present our financial position and results of operations to give pro forma effect to the Merger, the Internal Reorganization, the Business Realignment, the distribution of all the common stock of Corteva, and the other transactions described under “Unaudited Pro Forma Combined Financial Statements.” The unaudited pro forma combined financial statements are presented for illustrative purposes only and should not be viewed as an indication of current or future results of operations, financial position or cash flows as if Corteva had been a separate, standalone company holding DowDuPont’s agriculture business during the periods presented.</w:t>
      </w:r>
    </w:p>
    <w:p>
      <w:pPr>
        <w:spacing w:after="0" w:line="17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This information statement also includes certain historical consolidated financial information related to, and discusses the results of operations, financial condition and business of, Historical DuPont. For example, the historical financial statements incorporated by reference herein reflect Historical DuPont’s business as it has been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conducted prior to the Internal Reorganization and Business Realignment. These financial statements therefore reflect the business of Historical DuPont, which includes those portions of Historical DuPont’s business that form part of DowDuPont’s materials science business that were transferred to Dow and those portions of Historical DuPont’s business that form part of DowDuPont’s specialty products business that will ultimately remain with New DuPont. The financial statements also do not reflect the portions of Historical Dow’s business related to DowDuPont’s agriculture business that will be transferred to us. As such, Historical DuPont’s financial information and results are not representative of the financial results that we would have achieved as a separate, publicly traded company holding DowDuPont’s agriculture business nor indicative of the results we expect for any future period. Information in this information statement that does not reflect Corteva as it will be comprised at the time of the separation and distribution is generally identified by reference to “Historical DuPont.” For further information, see the sections entitled “Selected Historical Consolidated Financial Data” and “Management’s Discussion and Analysis of Financial Condition and Results of Operations.”</w:t>
      </w:r>
    </w:p>
    <w:p>
      <w:pPr>
        <w:spacing w:after="0" w:line="182"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Corteva Parent is a wholly owned subsidiary of DowDuPont that was formed on March 16, 2018 to serve as a holding company for Corteva. Corteva Parent has engaged in no business operations to date and has no assets or liabilities of any kind, other than those incident to its formation.</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INFORMATION STATEMENT SUMMARY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Distributing Company</w:t>
      </w:r>
    </w:p>
    <w:p>
      <w:pPr>
        <w:spacing w:after="0" w:line="121"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auto"/>
        </w:rPr>
        <w:t>DowDuPont is a holding company comprised of Historical DuPont and Historical Dow. DowDuPont conducts its operations worldwide through the following eight segments: Agriculture; Performance Materials &amp; Coatings; Industrial Intermediates &amp; Infrastructure; Packaging &amp; Specialty Plastics; Electronics &amp; Imaging; Nutrition &amp; Biosciences; Transportation &amp; Advanced Polymers; and Safety &amp; Construction. DowDuPont has approximately 98,000 employees.</w:t>
      </w:r>
    </w:p>
    <w:p>
      <w:pPr>
        <w:spacing w:after="0" w:line="187" w:lineRule="exact"/>
        <w:rPr>
          <w:sz w:val="20"/>
          <w:szCs w:val="20"/>
          <w:color w:val="auto"/>
        </w:rPr>
      </w:pPr>
    </w:p>
    <w:p>
      <w:pPr>
        <w:ind w:left="380"/>
        <w:spacing w:after="0" w:line="286" w:lineRule="auto"/>
        <w:rPr>
          <w:sz w:val="20"/>
          <w:szCs w:val="20"/>
          <w:color w:val="auto"/>
        </w:rPr>
      </w:pPr>
      <w:r>
        <w:rPr>
          <w:rFonts w:ascii="Arial" w:cs="Arial" w:eastAsia="Arial" w:hAnsi="Arial"/>
          <w:sz w:val="17"/>
          <w:szCs w:val="17"/>
          <w:color w:val="auto"/>
        </w:rPr>
        <w:t>In connection with the signing of the merger agreement, Historical DuPont and Historical Dow announced their intention, subject to the approval of the DowDuPont board of directors and any required regulatory approvals, to separate DowDuPont into three independent, publicly traded companies—one for each of the combined company’s agriculture, materials science and specialty products businesses.</w:t>
      </w:r>
    </w:p>
    <w:p>
      <w:pPr>
        <w:spacing w:after="0" w:line="166" w:lineRule="exact"/>
        <w:rPr>
          <w:sz w:val="20"/>
          <w:szCs w:val="20"/>
          <w:color w:val="auto"/>
        </w:rPr>
      </w:pPr>
    </w:p>
    <w:p>
      <w:pPr>
        <w:ind w:left="380" w:right="120"/>
        <w:spacing w:after="0" w:line="255" w:lineRule="auto"/>
        <w:rPr>
          <w:sz w:val="20"/>
          <w:szCs w:val="20"/>
          <w:color w:val="auto"/>
        </w:rPr>
      </w:pPr>
      <w:r>
        <w:rPr>
          <w:rFonts w:ascii="Arial" w:cs="Arial" w:eastAsia="Arial" w:hAnsi="Arial"/>
          <w:sz w:val="18"/>
          <w:szCs w:val="18"/>
          <w:color w:val="auto"/>
        </w:rPr>
        <w:t>The distribution of Dow, which at the time of its distribution on April 1, 2019 held DowDuPont’s materials science business, is the first of the two distributions to effectuate DowDuPont’s plan to separate into three strong, independent, publicly traded companies. The remaining company is expected to complete, subject to the approval of its board of directors, the distribution of Corteva, which will hold the assets and liabilities associated with DowDuPont’s agriculture business, resulting in New DuPont holding the specialty products business of DowDuPont. The separation of Corteva is expected to be completed on June 1, 2019 through the distribution to DowDuPont stockholders of all issued and outstanding shares of Corteva common stock.</w:t>
      </w:r>
    </w:p>
    <w:p>
      <w:pPr>
        <w:spacing w:after="0" w:line="193" w:lineRule="exact"/>
        <w:rPr>
          <w:sz w:val="20"/>
          <w:szCs w:val="20"/>
          <w:color w:val="auto"/>
        </w:rPr>
      </w:pPr>
    </w:p>
    <w:p>
      <w:pPr>
        <w:ind w:left="380" w:right="300"/>
        <w:spacing w:after="0" w:line="264" w:lineRule="auto"/>
        <w:rPr>
          <w:sz w:val="20"/>
          <w:szCs w:val="20"/>
          <w:color w:val="auto"/>
        </w:rPr>
      </w:pPr>
      <w:r>
        <w:rPr>
          <w:rFonts w:ascii="Arial" w:cs="Arial" w:eastAsia="Arial" w:hAnsi="Arial"/>
          <w:sz w:val="18"/>
          <w:szCs w:val="18"/>
          <w:color w:val="auto"/>
        </w:rPr>
        <w:t>The DowDuPont board of directors believes that the completion of these separations will result in three independent, publicly traded companies that will lead their respective industries through productive, science-based innovation to meet the needs of customers and help solve global challenges, and is the best available opportunity to unlock the value of DowDuPont’s businesses.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80"/>
        <w:spacing w:after="0" w:line="285" w:lineRule="auto"/>
        <w:rPr>
          <w:sz w:val="20"/>
          <w:szCs w:val="20"/>
          <w:color w:val="auto"/>
        </w:rPr>
      </w:pPr>
      <w:r>
        <w:rPr>
          <w:rFonts w:ascii="Arial" w:cs="Arial" w:eastAsia="Arial" w:hAnsi="Arial"/>
          <w:sz w:val="16"/>
          <w:szCs w:val="16"/>
          <w:color w:val="auto"/>
        </w:rPr>
        <w:t>Corteva combines the DuPont Pioneer, Dow AgroSciences and DuPont Crop Protection businesses to create a stronger global provider of agricultural products. We are recognized by farmers as a leader in the seed and crop protection markets globally. Our seed platform develops and supplies high quality germplasm combined with advanced traits to produce higher yields for farmers around the world. Our crop protection platform supplies products to protect crop yields against weeds, insects and disease enabling farmers to achieve optimal results. The combination of these leading platforms creates one of the broadest portfolios of agriculture solutions in the industry, fueling farmer productivity in more than</w:t>
      </w:r>
    </w:p>
    <w:p>
      <w:pPr>
        <w:spacing w:after="0" w:line="2" w:lineRule="exact"/>
        <w:rPr>
          <w:sz w:val="20"/>
          <w:szCs w:val="20"/>
          <w:color w:val="auto"/>
        </w:rPr>
      </w:pPr>
    </w:p>
    <w:p>
      <w:pPr>
        <w:ind w:left="380" w:right="20"/>
        <w:spacing w:after="0" w:line="292" w:lineRule="auto"/>
        <w:rPr>
          <w:sz w:val="20"/>
          <w:szCs w:val="20"/>
          <w:color w:val="auto"/>
        </w:rPr>
      </w:pPr>
      <w:r>
        <w:rPr>
          <w:rFonts w:ascii="Arial" w:cs="Arial" w:eastAsia="Arial" w:hAnsi="Arial"/>
          <w:sz w:val="16"/>
          <w:szCs w:val="16"/>
          <w:color w:val="auto"/>
        </w:rPr>
        <w:t>140 countries and generating pro forma annual sales of $14.3 billion for the year ended December 31, 2018. Our strategy is to provide farmers with the right mix of seeds, crop protection and digital solutions to maximize their yields and improve their profitability, while strengthening customer relationships and ensuring an abundant food supply for a growing global population. We have the opportunity to enhance our returns by completing the delivery of nearly $1.7 billion from merger-related synergies, including approximately $1.2 billion in cost synergies and $500 million in growth synergies. Our goal is to achieve a best-in-class cost structure, versus our peers, creating a lean organization more focused on the customer.</w:t>
      </w:r>
    </w:p>
    <w:p>
      <w:pPr>
        <w:spacing w:after="0" w:line="163" w:lineRule="exact"/>
        <w:rPr>
          <w:sz w:val="20"/>
          <w:szCs w:val="20"/>
          <w:color w:val="auto"/>
        </w:rPr>
      </w:pPr>
    </w:p>
    <w:p>
      <w:pPr>
        <w:ind w:left="380" w:right="120"/>
        <w:spacing w:after="0" w:line="279" w:lineRule="auto"/>
        <w:rPr>
          <w:sz w:val="20"/>
          <w:szCs w:val="20"/>
          <w:color w:val="auto"/>
        </w:rPr>
      </w:pPr>
      <w:r>
        <w:rPr>
          <w:rFonts w:ascii="Arial" w:cs="Arial" w:eastAsia="Arial" w:hAnsi="Arial"/>
          <w:sz w:val="17"/>
          <w:szCs w:val="17"/>
          <w:color w:val="auto"/>
        </w:rPr>
        <w:t>We will operate in two reportable segments: seed and crop protection. Our seed segment is a global leader in developing and supplying advanced germplasm and traits that produce optimum yield for farms around the world. We are a leader in many of our key seed markets, including North America corn and soybeans, Europe corn and sunflower, as well as Brazil, India, South Africa and Argentina corn. We offer trait technologies that improve resistance to weather, disease, insects and weeds, and trait technologies that enhance food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240" w:top="459" w:right="6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49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002145" cy="5749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57" w:lineRule="auto"/>
        <w:rPr>
          <w:sz w:val="20"/>
          <w:szCs w:val="20"/>
          <w:color w:val="auto"/>
        </w:rPr>
      </w:pPr>
      <w:r>
        <w:rPr>
          <w:rFonts w:ascii="Arial" w:cs="Arial" w:eastAsia="Arial" w:hAnsi="Arial"/>
          <w:sz w:val="18"/>
          <w:szCs w:val="18"/>
          <w:color w:val="auto"/>
        </w:rPr>
        <w:t>nutritional characteristics. We also provide digital solutions that assist farmer decision-making with a view to optimize product selection and, ultimately, maximize yield and profitability. We compete in a wide variety of agricultural markets. Our crop protection segment serves the global agricultural input industry with products that protect against weeds, insects and other pests, and disease, and that improve overall crop health both above and below ground via nitrogen management and seed-applied technologies. We are a leader in global herbicides, insecticides, below-ground nitrogen stabilizers and pasture and range management herbicides.</w:t>
      </w:r>
    </w:p>
    <w:p>
      <w:pPr>
        <w:spacing w:after="0" w:line="188" w:lineRule="exact"/>
        <w:rPr>
          <w:sz w:val="20"/>
          <w:szCs w:val="20"/>
          <w:color w:val="auto"/>
        </w:rPr>
      </w:pPr>
    </w:p>
    <w:p>
      <w:pPr>
        <w:ind w:left="380"/>
        <w:spacing w:after="0" w:line="270" w:lineRule="auto"/>
        <w:rPr>
          <w:sz w:val="20"/>
          <w:szCs w:val="20"/>
          <w:color w:val="auto"/>
        </w:rPr>
      </w:pPr>
      <w:r>
        <w:rPr>
          <w:rFonts w:ascii="Arial" w:cs="Arial" w:eastAsia="Arial" w:hAnsi="Arial"/>
          <w:sz w:val="17"/>
          <w:szCs w:val="17"/>
          <w:color w:val="auto"/>
        </w:rPr>
        <w:t>We expect to create shareholder value by continuing to work to achieve a best-in-class cost structure versus our peers (as further explained in the section entitled “Business—Our Company”) while advancing our science-based innovation, which is focused on delivering a wide range of improved products and services to our customers. Through our merger of the Historical DuPont and Historical Dow innovations pipelines, we have created one of the broadest and most productive new product pipelines in the agriculture industry. We intend to leverage our rich heritage of over 275 combined years of scientific achievement to advance our robust innovation pipeline and continue to shape the future of responsible agriculture. We intend to launch 21 new products, balanced between seeds and crop protection, between 2017 and 2021. New products are crucial to solving farmers’ productivity challenges amid a growing global population while addressing natural resistance, regulatory changes, safety requirements and competitive dynamics. Our investments in technology-based and solution-based product offerings allow us to meet farmers’ evolving needs while ensuring that our investments generate sufficient returns. Meanwhile, through our unique routes to market, we continue to work face-to-face with farmers around the world to deeply understand their needs.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the following attributes provide us with a competitive advantage in our industry:</w:t>
      </w:r>
    </w:p>
    <w:p>
      <w:pPr>
        <w:spacing w:after="0" w:line="131" w:lineRule="exact"/>
        <w:rPr>
          <w:sz w:val="20"/>
          <w:szCs w:val="20"/>
          <w:color w:val="auto"/>
        </w:rPr>
      </w:pPr>
    </w:p>
    <w:p>
      <w:pPr>
        <w:jc w:val="both"/>
        <w:ind w:left="1220" w:right="300" w:hanging="307"/>
        <w:spacing w:after="0" w:line="312" w:lineRule="auto"/>
        <w:tabs>
          <w:tab w:leader="none" w:pos="1220" w:val="left"/>
        </w:tabs>
        <w:numPr>
          <w:ilvl w:val="0"/>
          <w:numId w:val="151"/>
        </w:numPr>
        <w:rPr>
          <w:rFonts w:ascii="Arial" w:cs="Arial" w:eastAsia="Arial" w:hAnsi="Arial"/>
          <w:sz w:val="16"/>
          <w:szCs w:val="16"/>
          <w:color w:val="auto"/>
        </w:rPr>
      </w:pPr>
      <w:r>
        <w:rPr>
          <w:rFonts w:ascii="Arial" w:cs="Arial" w:eastAsia="Arial" w:hAnsi="Arial"/>
          <w:sz w:val="16"/>
          <w:szCs w:val="16"/>
          <w:b w:val="1"/>
          <w:bCs w:val="1"/>
          <w:i w:val="1"/>
          <w:iCs w:val="1"/>
          <w:color w:val="auto"/>
        </w:rPr>
        <w:t>Leadership position in key markets</w:t>
      </w:r>
      <w:r>
        <w:rPr>
          <w:rFonts w:ascii="Arial" w:cs="Arial" w:eastAsia="Arial" w:hAnsi="Arial"/>
          <w:sz w:val="16"/>
          <w:szCs w:val="16"/>
          <w:color w:val="auto"/>
        </w:rPr>
        <w:t>. We are a leader in many of our key seed markets, including North America corn and soybeans,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Europe corn and sunflower, as well as Brazil, India, South Africa and Argentina corn. We are also a crop protection market leader in global herbicides, insecticides, biologics, below-the-ground nitrogen stabilizers and pasture and range management herbicides.</w:t>
      </w:r>
    </w:p>
    <w:p>
      <w:pPr>
        <w:spacing w:after="0" w:line="48" w:lineRule="exact"/>
        <w:rPr>
          <w:rFonts w:ascii="Arial" w:cs="Arial" w:eastAsia="Arial" w:hAnsi="Arial"/>
          <w:sz w:val="16"/>
          <w:szCs w:val="16"/>
          <w:color w:val="auto"/>
        </w:rPr>
      </w:pPr>
    </w:p>
    <w:p>
      <w:pPr>
        <w:ind w:left="1220" w:right="40" w:hanging="307"/>
        <w:spacing w:after="0" w:line="261" w:lineRule="auto"/>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b w:val="1"/>
          <w:bCs w:val="1"/>
          <w:i w:val="1"/>
          <w:iCs w:val="1"/>
          <w:color w:val="auto"/>
        </w:rPr>
        <w:t>Strong customer relationships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 trusted partner in the global agriculture and food community, having earned the confidence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who produce as well as those who consume. Our combination of market penetration, strong brand portfolio and robust germplasm allows us to serve as a trusted partner addressing a wide range of farmer needs in all major geographic regions and in many major crops.</w:t>
      </w:r>
    </w:p>
    <w:p>
      <w:pPr>
        <w:spacing w:after="0" w:line="85" w:lineRule="exact"/>
        <w:rPr>
          <w:rFonts w:ascii="Arial" w:cs="Arial" w:eastAsia="Arial" w:hAnsi="Arial"/>
          <w:sz w:val="18"/>
          <w:szCs w:val="18"/>
          <w:color w:val="auto"/>
        </w:rPr>
      </w:pPr>
    </w:p>
    <w:p>
      <w:pPr>
        <w:jc w:val="both"/>
        <w:ind w:left="1220" w:right="200" w:hanging="307"/>
        <w:spacing w:after="0" w:line="281" w:lineRule="auto"/>
        <w:tabs>
          <w:tab w:leader="none" w:pos="1220" w:val="left"/>
        </w:tabs>
        <w:numPr>
          <w:ilvl w:val="0"/>
          <w:numId w:val="151"/>
        </w:numPr>
        <w:rPr>
          <w:rFonts w:ascii="Arial" w:cs="Arial" w:eastAsia="Arial" w:hAnsi="Arial"/>
          <w:sz w:val="17"/>
          <w:szCs w:val="17"/>
          <w:color w:val="auto"/>
        </w:rPr>
      </w:pPr>
      <w:r>
        <w:rPr>
          <w:rFonts w:ascii="Arial" w:cs="Arial" w:eastAsia="Arial" w:hAnsi="Arial"/>
          <w:sz w:val="17"/>
          <w:szCs w:val="17"/>
          <w:b w:val="1"/>
          <w:bCs w:val="1"/>
          <w:i w:val="1"/>
          <w:iCs w:val="1"/>
          <w:color w:val="auto"/>
        </w:rPr>
        <w:t>Holistic solutions for farmers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deliver a complete end-to-end farm management solution with integrated seed and crop protection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offerings that provide farmers with an integrated approach to crop management. Through the combination of Historical DuPont’s and Historical Dow’s complementary seed and crop protection portfolios, we are now able to serve farmers year-round, offering products covering more than 100 crops that give farmers expanded choice and greater value.</w:t>
      </w:r>
    </w:p>
    <w:p>
      <w:pPr>
        <w:spacing w:after="0" w:line="70" w:lineRule="exact"/>
        <w:rPr>
          <w:rFonts w:ascii="Arial" w:cs="Arial" w:eastAsia="Arial" w:hAnsi="Arial"/>
          <w:sz w:val="17"/>
          <w:szCs w:val="17"/>
          <w:color w:val="auto"/>
        </w:rPr>
      </w:pPr>
    </w:p>
    <w:p>
      <w:pPr>
        <w:ind w:left="1220" w:right="260" w:hanging="307"/>
        <w:spacing w:after="0" w:line="266" w:lineRule="auto"/>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b w:val="1"/>
          <w:bCs w:val="1"/>
          <w:i w:val="1"/>
          <w:iCs w:val="1"/>
          <w:color w:val="auto"/>
        </w:rPr>
        <w:t>Enhanced seed and crop protection pipelines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historically invested and will continue to invest significant funds in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development. By integrating the Historical DuPont and Historical Dow pipelines, we have created one of the broadest and most innovative pipelines in the agricultural input industry.</w:t>
      </w:r>
    </w:p>
    <w:p>
      <w:pPr>
        <w:spacing w:after="0" w:line="81" w:lineRule="exact"/>
        <w:rPr>
          <w:rFonts w:ascii="Arial" w:cs="Arial" w:eastAsia="Arial" w:hAnsi="Arial"/>
          <w:sz w:val="18"/>
          <w:szCs w:val="18"/>
          <w:color w:val="auto"/>
        </w:rPr>
      </w:pPr>
    </w:p>
    <w:p>
      <w:pPr>
        <w:jc w:val="both"/>
        <w:ind w:left="1220" w:right="60" w:hanging="307"/>
        <w:spacing w:after="0" w:line="266" w:lineRule="auto"/>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b w:val="1"/>
          <w:bCs w:val="1"/>
          <w:i w:val="1"/>
          <w:iCs w:val="1"/>
          <w:color w:val="auto"/>
        </w:rPr>
        <w:t>Deep industry expertise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strong management team that combines in-depth industry experience and demonstrated leadership.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leadership team represents leaders from both Historical DuPont and Historical Dow as we retained the top talent during the Merger and separation process.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474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00214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80"/>
        <w:spacing w:after="0" w:line="297" w:lineRule="auto"/>
        <w:rPr>
          <w:sz w:val="20"/>
          <w:szCs w:val="20"/>
          <w:color w:val="auto"/>
        </w:rPr>
      </w:pPr>
      <w:r>
        <w:rPr>
          <w:rFonts w:ascii="Arial" w:cs="Arial" w:eastAsia="Arial" w:hAnsi="Arial"/>
          <w:sz w:val="16"/>
          <w:szCs w:val="16"/>
          <w:color w:val="auto"/>
        </w:rPr>
        <w:t>Our strategy is to combine our proven innovation capability with our unmatched customer access to provide farmers with a portfolio of products that enable continued improvements in yield and profitability, while improving environmental sustainability. We plan to leverage the work already done by DuPont Pioneer, Dow AgroSciences and DuPont Crop Protection, while enhancing their existing strategies, operating priorities and business focus through a more streamlined, efficient and focused operating structure. We also continue to believe that by operating as a pure play agriculture business, we can be more sharply focused on the needs of farmers and instill a culture that best supports our strategy.</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drive industry-leading value creation, we will continue to pursue the following five priorities:</w:t>
      </w:r>
    </w:p>
    <w:p>
      <w:pPr>
        <w:spacing w:after="0" w:line="131" w:lineRule="exact"/>
        <w:rPr>
          <w:sz w:val="20"/>
          <w:szCs w:val="20"/>
          <w:color w:val="auto"/>
        </w:rPr>
      </w:pPr>
    </w:p>
    <w:p>
      <w:pPr>
        <w:ind w:left="1220" w:hanging="307"/>
        <w:spacing w:after="0"/>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Instill a strong, performance-based, inclusive, customer-centric culture.</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Drive disciplined capital and resource allocation with a strong focus on return on invested capital.</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Develop innovative solutions that improve farmer productivity and global food security.</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Work to attain a best-in-class cost structure.</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Deliver above-market growth via our robust new product pipeline and best-in-class routes to market.</w:t>
      </w:r>
    </w:p>
    <w:p>
      <w:pPr>
        <w:spacing w:after="0" w:line="225" w:lineRule="exact"/>
        <w:rPr>
          <w:sz w:val="20"/>
          <w:szCs w:val="20"/>
          <w:color w:val="auto"/>
        </w:rPr>
      </w:pPr>
    </w:p>
    <w:p>
      <w:pPr>
        <w:ind w:left="380" w:right="240"/>
        <w:spacing w:after="0" w:line="277" w:lineRule="auto"/>
        <w:rPr>
          <w:sz w:val="20"/>
          <w:szCs w:val="20"/>
          <w:color w:val="auto"/>
        </w:rPr>
      </w:pPr>
      <w:r>
        <w:rPr>
          <w:rFonts w:ascii="Arial" w:cs="Arial" w:eastAsia="Arial" w:hAnsi="Arial"/>
          <w:sz w:val="18"/>
          <w:szCs w:val="18"/>
          <w:color w:val="auto"/>
        </w:rPr>
        <w:t>More broadly, we believe the following key pillars will enable us to create significant value for our customers while delivering strong financial returns to our shareholders:</w:t>
      </w:r>
    </w:p>
    <w:p>
      <w:pPr>
        <w:spacing w:after="0" w:line="76" w:lineRule="exact"/>
        <w:rPr>
          <w:sz w:val="20"/>
          <w:szCs w:val="20"/>
          <w:color w:val="auto"/>
        </w:rPr>
      </w:pPr>
    </w:p>
    <w:p>
      <w:pPr>
        <w:ind w:left="1220" w:right="180" w:hanging="307"/>
        <w:spacing w:after="0" w:line="308" w:lineRule="auto"/>
        <w:tabs>
          <w:tab w:leader="none" w:pos="1220" w:val="left"/>
        </w:tabs>
        <w:numPr>
          <w:ilvl w:val="0"/>
          <w:numId w:val="1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Developing and launching new offerings that address market needs </w:t>
      </w:r>
      <w:r>
        <w:rPr>
          <w:rFonts w:ascii="Arial" w:cs="Arial" w:eastAsia="Arial" w:hAnsi="Arial"/>
          <w:sz w:val="17"/>
          <w:szCs w:val="17"/>
          <w:color w:val="auto"/>
        </w:rPr>
        <w:t>by continuing to leverage our robust pipeline to introduce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seed traits and crop protection formulations that anticipate and meet evolving customer needs</w:t>
      </w:r>
      <w:r>
        <w:rPr>
          <w:rFonts w:ascii="Arial" w:cs="Arial" w:eastAsia="Arial" w:hAnsi="Arial"/>
          <w:sz w:val="17"/>
          <w:szCs w:val="17"/>
          <w:b w:val="1"/>
          <w:bCs w:val="1"/>
          <w:i w:val="1"/>
          <w:iCs w:val="1"/>
          <w:color w:val="auto"/>
        </w:rPr>
        <w:t>.</w:t>
      </w:r>
    </w:p>
    <w:p>
      <w:pPr>
        <w:spacing w:after="0" w:line="51" w:lineRule="exact"/>
        <w:rPr>
          <w:rFonts w:ascii="Arial" w:cs="Arial" w:eastAsia="Arial" w:hAnsi="Arial"/>
          <w:sz w:val="17"/>
          <w:szCs w:val="17"/>
          <w:color w:val="auto"/>
        </w:rPr>
      </w:pPr>
    </w:p>
    <w:p>
      <w:pPr>
        <w:ind w:left="1220" w:right="700" w:hanging="307"/>
        <w:spacing w:after="0" w:line="342" w:lineRule="auto"/>
        <w:tabs>
          <w:tab w:leader="none" w:pos="1220" w:val="left"/>
        </w:tabs>
        <w:numPr>
          <w:ilvl w:val="0"/>
          <w:numId w:val="1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Utilizing our multi-channel and multi-brand capabilities to drive profitable growth </w:t>
      </w:r>
      <w:r>
        <w:rPr>
          <w:rFonts w:ascii="Arial" w:cs="Arial" w:eastAsia="Arial" w:hAnsi="Arial"/>
          <w:sz w:val="16"/>
          <w:szCs w:val="16"/>
          <w:color w:val="auto"/>
        </w:rPr>
        <w:t>by strategically aligning our brands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capabilities across different sales channels and creating a comprehensive multi-channel, multi-brand strategy.</w:t>
      </w:r>
    </w:p>
    <w:p>
      <w:pPr>
        <w:spacing w:after="0" w:line="29" w:lineRule="exact"/>
        <w:rPr>
          <w:rFonts w:ascii="Arial" w:cs="Arial" w:eastAsia="Arial" w:hAnsi="Arial"/>
          <w:sz w:val="16"/>
          <w:szCs w:val="16"/>
          <w:color w:val="auto"/>
        </w:rPr>
      </w:pPr>
    </w:p>
    <w:p>
      <w:pPr>
        <w:ind w:left="1220" w:right="280" w:hanging="307"/>
        <w:spacing w:after="0" w:line="277"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Continuing to develop and maintain close connections with our customers </w:t>
      </w:r>
      <w:r>
        <w:rPr>
          <w:rFonts w:ascii="Arial" w:cs="Arial" w:eastAsia="Arial" w:hAnsi="Arial"/>
          <w:sz w:val="18"/>
          <w:szCs w:val="18"/>
          <w:color w:val="auto"/>
        </w:rPr>
        <w:t>by working closely with farmers throughout the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growing season to ensure all their seed and crop protection needs are anticipated and satisfied.</w:t>
      </w:r>
    </w:p>
    <w:p>
      <w:pPr>
        <w:spacing w:after="0" w:line="75" w:lineRule="exact"/>
        <w:rPr>
          <w:rFonts w:ascii="Arial" w:cs="Arial" w:eastAsia="Arial" w:hAnsi="Arial"/>
          <w:sz w:val="18"/>
          <w:szCs w:val="18"/>
          <w:color w:val="auto"/>
        </w:rPr>
      </w:pPr>
    </w:p>
    <w:p>
      <w:pPr>
        <w:ind w:left="1220" w:right="280" w:hanging="307"/>
        <w:spacing w:after="0" w:line="264"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Focusing on operational excellence </w:t>
      </w:r>
      <w:r>
        <w:rPr>
          <w:rFonts w:ascii="Arial" w:cs="Arial" w:eastAsia="Arial" w:hAnsi="Arial"/>
          <w:sz w:val="18"/>
          <w:szCs w:val="18"/>
          <w:color w:val="auto"/>
        </w:rPr>
        <w:t>by integrating our operations and continuing to drive operating efficiencies, enabling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streamlined, efficient and focused organization while working to achieve a best-in-class cost structure and creating a strong culture based on productivity.</w:t>
      </w:r>
    </w:p>
    <w:p>
      <w:pPr>
        <w:spacing w:after="0" w:line="86" w:lineRule="exact"/>
        <w:rPr>
          <w:rFonts w:ascii="Arial" w:cs="Arial" w:eastAsia="Arial" w:hAnsi="Arial"/>
          <w:sz w:val="18"/>
          <w:szCs w:val="18"/>
          <w:color w:val="auto"/>
        </w:rPr>
      </w:pPr>
    </w:p>
    <w:p>
      <w:pPr>
        <w:ind w:left="1220" w:right="100" w:hanging="307"/>
        <w:spacing w:after="0" w:line="264"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Furthering our commitment to sustainable and responsible agriculture </w:t>
      </w:r>
      <w:r>
        <w:rPr>
          <w:rFonts w:ascii="Arial" w:cs="Arial" w:eastAsia="Arial" w:hAnsi="Arial"/>
          <w:sz w:val="18"/>
          <w:szCs w:val="18"/>
          <w:color w:val="auto"/>
        </w:rPr>
        <w:t>by focusing on integrating sustainability criteria early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discovery and development phases as well as promoting the development of responsible solutions focused on reducing the environmental impact of agriculture over time.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 investment in Corteva common stock is subject to several risks, including the following:</w:t>
      </w:r>
    </w:p>
    <w:p>
      <w:pPr>
        <w:spacing w:after="0" w:line="131" w:lineRule="exact"/>
        <w:rPr>
          <w:sz w:val="20"/>
          <w:szCs w:val="20"/>
          <w:color w:val="auto"/>
        </w:rPr>
      </w:pPr>
    </w:p>
    <w:p>
      <w:pPr>
        <w:ind w:left="1220" w:hanging="307"/>
        <w:spacing w:after="0"/>
        <w:tabs>
          <w:tab w:leader="none" w:pos="12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We participate in an industry that is highly competitive and has undergone consolidation, which could increase competitive pressures.</w:t>
      </w:r>
    </w:p>
    <w:p>
      <w:pPr>
        <w:spacing w:after="0" w:line="153" w:lineRule="exact"/>
        <w:rPr>
          <w:rFonts w:ascii="Arial" w:cs="Arial" w:eastAsia="Arial" w:hAnsi="Arial"/>
          <w:sz w:val="16"/>
          <w:szCs w:val="16"/>
          <w:color w:val="auto"/>
        </w:rPr>
      </w:pPr>
    </w:p>
    <w:p>
      <w:pPr>
        <w:ind w:left="1220" w:hanging="307"/>
        <w:spacing w:after="0"/>
        <w:tabs>
          <w:tab w:leader="none" w:pos="12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successful development and commercialization of our pipeline products will be necessary for our growth.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240" w:top="459" w:right="7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157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002145" cy="6315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380" w:hanging="307"/>
        <w:spacing w:after="0" w:line="277" w:lineRule="auto"/>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may not be able to obtain or maintain the necessary regulatory approvals for some of our products, including our seed and crop protection products, which could restrict our ability to sell those products in some markets.</w:t>
      </w:r>
    </w:p>
    <w:p>
      <w:pPr>
        <w:spacing w:after="0" w:line="75" w:lineRule="exact"/>
        <w:rPr>
          <w:rFonts w:ascii="Arial" w:cs="Arial" w:eastAsia="Arial" w:hAnsi="Arial"/>
          <w:sz w:val="18"/>
          <w:szCs w:val="18"/>
          <w:color w:val="auto"/>
        </w:rPr>
      </w:pPr>
    </w:p>
    <w:p>
      <w:pPr>
        <w:ind w:left="1220" w:right="260" w:hanging="307"/>
        <w:spacing w:after="0" w:line="277" w:lineRule="auto"/>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Enforcing our intellectual property rights, or defending against intellectual property claims asserted by others, could adversely affect our business, results of operations and financial condition.</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Our business may be adversely affected by competition from manufacturers of generic products.</w:t>
      </w:r>
    </w:p>
    <w:p>
      <w:pPr>
        <w:spacing w:after="0" w:line="130" w:lineRule="exact"/>
        <w:rPr>
          <w:rFonts w:ascii="Arial" w:cs="Arial" w:eastAsia="Arial" w:hAnsi="Arial"/>
          <w:sz w:val="18"/>
          <w:szCs w:val="18"/>
          <w:color w:val="auto"/>
        </w:rPr>
      </w:pPr>
    </w:p>
    <w:p>
      <w:pPr>
        <w:ind w:left="1220" w:right="60" w:hanging="307"/>
        <w:spacing w:after="0" w:line="277" w:lineRule="auto"/>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costs of complying with evolving regulatory requirements could negatively impact our business, results of operations and financial condition.</w:t>
      </w:r>
    </w:p>
    <w:p>
      <w:pPr>
        <w:spacing w:after="0" w:line="75" w:lineRule="exact"/>
        <w:rPr>
          <w:rFonts w:ascii="Arial" w:cs="Arial" w:eastAsia="Arial" w:hAnsi="Arial"/>
          <w:sz w:val="18"/>
          <w:szCs w:val="18"/>
          <w:color w:val="auto"/>
        </w:rPr>
      </w:pPr>
    </w:p>
    <w:p>
      <w:pPr>
        <w:ind w:left="1220" w:right="20" w:hanging="307"/>
        <w:spacing w:after="0" w:line="264" w:lineRule="auto"/>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degree of public understanding and acceptance or perceived public acceptance of our biotechnology and other agricultural products and technologies can affect our sales and results of operations by affecting planting approvals, regulatory requirements and customer purchase decisions.</w:t>
      </w:r>
    </w:p>
    <w:p>
      <w:pPr>
        <w:spacing w:after="0" w:line="86" w:lineRule="exact"/>
        <w:rPr>
          <w:rFonts w:ascii="Arial" w:cs="Arial" w:eastAsia="Arial" w:hAnsi="Arial"/>
          <w:sz w:val="18"/>
          <w:szCs w:val="18"/>
          <w:color w:val="auto"/>
        </w:rPr>
      </w:pPr>
    </w:p>
    <w:p>
      <w:pPr>
        <w:ind w:left="1220" w:right="100" w:hanging="307"/>
        <w:spacing w:after="0" w:line="277" w:lineRule="auto"/>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 a result of our current and past operations, as well as the discontinued and divested businesses and operations of Historical DuPont, we could incur significant environmental liabilities.</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Our results of operations could be adversely affected by litigation and other commitments and contingencies.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Changes in agricultural and related policies of governments and international organizations may prove unfavorable.</w:t>
      </w:r>
    </w:p>
    <w:p>
      <w:pPr>
        <w:spacing w:after="0" w:line="225" w:lineRule="exact"/>
        <w:rPr>
          <w:sz w:val="20"/>
          <w:szCs w:val="20"/>
          <w:color w:val="auto"/>
        </w:rPr>
      </w:pPr>
    </w:p>
    <w:p>
      <w:pPr>
        <w:ind w:left="380" w:right="20"/>
        <w:spacing w:after="0" w:line="277" w:lineRule="auto"/>
        <w:rPr>
          <w:sz w:val="20"/>
          <w:szCs w:val="20"/>
          <w:color w:val="auto"/>
        </w:rPr>
      </w:pPr>
      <w:r>
        <w:rPr>
          <w:rFonts w:ascii="Arial" w:cs="Arial" w:eastAsia="Arial" w:hAnsi="Arial"/>
          <w:sz w:val="18"/>
          <w:szCs w:val="18"/>
          <w:color w:val="auto"/>
        </w:rPr>
        <w:t>The above list of risk factors is not exhaustive. Please read the information in the section entitled “Risk Factors” for a more thorough description of these and other risks.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Separation and Distribution</w:t>
      </w:r>
    </w:p>
    <w:p>
      <w:pPr>
        <w:spacing w:after="0" w:line="121" w:lineRule="exact"/>
        <w:rPr>
          <w:sz w:val="20"/>
          <w:szCs w:val="20"/>
          <w:color w:val="auto"/>
        </w:rPr>
      </w:pPr>
    </w:p>
    <w:p>
      <w:pPr>
        <w:ind w:left="380" w:right="20"/>
        <w:spacing w:after="0" w:line="286" w:lineRule="auto"/>
        <w:rPr>
          <w:sz w:val="20"/>
          <w:szCs w:val="20"/>
          <w:color w:val="auto"/>
        </w:rPr>
      </w:pPr>
      <w:r>
        <w:rPr>
          <w:rFonts w:ascii="Arial" w:cs="Arial" w:eastAsia="Arial" w:hAnsi="Arial"/>
          <w:sz w:val="17"/>
          <w:szCs w:val="17"/>
          <w:color w:val="auto"/>
        </w:rPr>
        <w:t>The separation and distribution of Corteva is the second step in DowDuPont’s intended separation of its agriculture, materials science and specialty products divisions into three independent, publicly traded companies. The separation and distribution of Dow, which at the time of its distribution on April 1, 2019 held DowDuPont’s materials science business, preceded the separation and distribution of Corteva.</w:t>
      </w:r>
    </w:p>
    <w:p>
      <w:pPr>
        <w:spacing w:after="0" w:line="166"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On May 6, 2019 the DowDuPont board of directors approved the distribution of all the then issued and outstanding shares of common stock of Corteva Parent, the newly formed holding company for Corteva that at the time of the distribution will hold DowDuPont’s agriculture business, to DowDuPont stockholders on the basis of one share of Corteva common stock for every three shares of DowDuPont common stock held at the close of business on May 24, 2019, the record date for the distribution. As a result of the distribution, we will become an independent, publicly traded company. The distribution is intended to be generally tax-free to DowDuPont stockholders for U.S. federal income tax purposes, except for any cash received in lieu of fractional shares.</w:t>
      </w:r>
    </w:p>
    <w:p>
      <w:pPr>
        <w:spacing w:after="0" w:line="193" w:lineRule="exact"/>
        <w:rPr>
          <w:sz w:val="20"/>
          <w:szCs w:val="20"/>
          <w:color w:val="auto"/>
        </w:rPr>
      </w:pPr>
    </w:p>
    <w:p>
      <w:pPr>
        <w:ind w:left="380" w:right="140"/>
        <w:spacing w:after="0" w:line="264" w:lineRule="auto"/>
        <w:rPr>
          <w:sz w:val="20"/>
          <w:szCs w:val="20"/>
          <w:color w:val="auto"/>
        </w:rPr>
      </w:pPr>
      <w:r>
        <w:rPr>
          <w:rFonts w:ascii="Arial" w:cs="Arial" w:eastAsia="Arial" w:hAnsi="Arial"/>
          <w:sz w:val="18"/>
          <w:szCs w:val="18"/>
          <w:color w:val="auto"/>
        </w:rPr>
        <w:t>The distribution is subject to the satisfaction or waiver of certain conditions. The DowDuPont board of directors has the discretion to abandon the distribution and to alter the terms of the distribution. See the section entitled “The Distribution—Conditions to the Distribution.” As a result, Corteva cannot provide any assurances that the distribution will be completed.</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Internal Reorganization</w:t>
      </w:r>
    </w:p>
    <w:p>
      <w:pPr>
        <w:spacing w:after="0" w:line="117" w:lineRule="exact"/>
        <w:rPr>
          <w:sz w:val="20"/>
          <w:szCs w:val="20"/>
          <w:color w:val="auto"/>
        </w:rPr>
      </w:pPr>
    </w:p>
    <w:p>
      <w:pPr>
        <w:ind w:left="380"/>
        <w:spacing w:after="0" w:line="264" w:lineRule="auto"/>
        <w:rPr>
          <w:sz w:val="20"/>
          <w:szCs w:val="20"/>
          <w:color w:val="auto"/>
        </w:rPr>
      </w:pPr>
      <w:r>
        <w:rPr>
          <w:rFonts w:ascii="Arial" w:cs="Arial" w:eastAsia="Arial" w:hAnsi="Arial"/>
          <w:sz w:val="18"/>
          <w:szCs w:val="18"/>
          <w:color w:val="auto"/>
        </w:rPr>
        <w:t>In advance of the distributions, DowDuPont has completed the Internal Reorganization and will continue to undertake the Business Realignment so that (1) Dow held, prior to the distribution of Dow, directly or indirectly, DowDuPont’s materials science business; (2) we will hold, prior to our expected distribution, directly 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auto"/>
        </w:rPr>
        <w:t>indirectly, DowDuPont’s agriculture business; and (3) the legal entities that will comprise New DuPont will hold, prior to our expected distribution, directly or indirectly, DowDuPont’s specialty products business. See the section entitled “Merger, Intended Separations, Reorganization and Financial Statement Presentation—Internal Reorganization” and “Our Relationship with New DuPont and Dow Following the Distribution— Separation Agreement” for further discussion.</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Corteva’s Relationship with New DuPont and Dow Following the Distribution</w:t>
      </w:r>
    </w:p>
    <w:p>
      <w:pPr>
        <w:spacing w:after="0" w:line="117" w:lineRule="exact"/>
        <w:rPr>
          <w:sz w:val="20"/>
          <w:szCs w:val="20"/>
          <w:color w:val="auto"/>
        </w:rPr>
      </w:pPr>
    </w:p>
    <w:p>
      <w:pPr>
        <w:ind w:left="380"/>
        <w:spacing w:after="0" w:line="285" w:lineRule="auto"/>
        <w:rPr>
          <w:sz w:val="20"/>
          <w:szCs w:val="20"/>
          <w:color w:val="auto"/>
        </w:rPr>
      </w:pPr>
      <w:r>
        <w:rPr>
          <w:rFonts w:ascii="Arial" w:cs="Arial" w:eastAsia="Arial" w:hAnsi="Arial"/>
          <w:sz w:val="16"/>
          <w:szCs w:val="16"/>
          <w:color w:val="auto"/>
        </w:rPr>
        <w:t>Substantially simultaneously with the distribution of Dow on April 1, 2019, we entered into a separation and distribution agreement with DowDuPont (which will, after the separation of Corteva, become New DuPont) and Dow, which is referred to in this information statement as the “separation agreement,” to effect the separation (including the Internal Reorganization and Business Realignment) and provide a framework for our relationship with New DuPont and Dow after the separation and distribution. In connection with the separation and distribution, we have also entered and will also enter into various other agreements with DowDuPont and Dow, including a tax matters agreement, an employee matters agreement, intellectual property cross-license agreements, trademark license agreements and certain other intellectual property, services, supply and real estate-related agreements. These agreements collectively provide for the terms of the allocation among us, New DuPont and Dow of the assets, liabilities and obligations of DowDuPont and its subsidiaries (including investments, property and employee benefits and tax-related assets and liabilities) attributable to the periods prior to, at and after Dow’s and our respective separations, and will govern certain relationships among us, New DuPont and Dow after the separation and distribution. In connection with the separation of Dow and us from DowDuPont, we have assumed and will assume, and will indemnify New DuPont and Dow for, certain liabilities including, among others, certain environmental liabilities and litigation liabilities relating to our business and the discontinued and divested businesses and operations of Historical DuPont. Most of these indemnification obligations are uncapped, and may include, among other items, associated defense costs, settlement amounts and judgments. Payments pursuant to these indemnities may be significant and could negatively impact our business, financial condition, results of operations and cash flows. For a discussion of these arrangements, including the indemnification arrangements, see the sections entitled “Risk Factors—Risks Related to the Separation” and “Our Relationship with New DuPont and Dow Following the Distribution.”</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380" w:right="60"/>
        <w:spacing w:after="0" w:line="277" w:lineRule="auto"/>
        <w:rPr>
          <w:sz w:val="20"/>
          <w:szCs w:val="20"/>
          <w:color w:val="auto"/>
        </w:rPr>
      </w:pPr>
      <w:r>
        <w:rPr>
          <w:rFonts w:ascii="Arial" w:cs="Arial" w:eastAsia="Arial" w:hAnsi="Arial"/>
          <w:sz w:val="18"/>
          <w:szCs w:val="18"/>
          <w:color w:val="auto"/>
        </w:rPr>
        <w:t>We must complete the necessary registration under U.S. federal securities laws of Corteva common stock to be issued in the distribution, as well as the applicable listing requirements of the NYSE for such shares.</w:t>
      </w:r>
    </w:p>
    <w:p>
      <w:pPr>
        <w:spacing w:after="0" w:line="170" w:lineRule="exact"/>
        <w:rPr>
          <w:sz w:val="20"/>
          <w:szCs w:val="20"/>
          <w:color w:val="auto"/>
        </w:rPr>
      </w:pPr>
    </w:p>
    <w:p>
      <w:pPr>
        <w:ind w:left="380" w:right="520"/>
        <w:spacing w:after="0" w:line="277" w:lineRule="auto"/>
        <w:rPr>
          <w:sz w:val="20"/>
          <w:szCs w:val="20"/>
          <w:color w:val="auto"/>
        </w:rPr>
      </w:pPr>
      <w:r>
        <w:rPr>
          <w:rFonts w:ascii="Arial" w:cs="Arial" w:eastAsia="Arial" w:hAnsi="Arial"/>
          <w:sz w:val="18"/>
          <w:szCs w:val="18"/>
          <w:color w:val="auto"/>
        </w:rPr>
        <w:t>Other than these requirements, we do not believe that any other material governmental or regulatory filings or approvals will be necessary to consummate the distribution.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DowDuPont stockholders will not have any appraisal rights in connection with the distribution.</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100"/>
        <w:spacing w:after="0" w:line="264" w:lineRule="auto"/>
        <w:rPr>
          <w:sz w:val="20"/>
          <w:szCs w:val="20"/>
          <w:color w:val="auto"/>
        </w:rPr>
      </w:pPr>
      <w:r>
        <w:rPr>
          <w:rFonts w:ascii="Arial" w:cs="Arial" w:eastAsia="Arial" w:hAnsi="Arial"/>
          <w:sz w:val="18"/>
          <w:szCs w:val="18"/>
          <w:color w:val="auto"/>
        </w:rPr>
        <w:t>Corteva Parent was organized in the State of Delaware on March 16, 2018 as Corteva, Inc. EID was founded in 1802 and was incorporated in the state of Delaware in 1915. The current address of Corteva’s principal executive offices is 974 Centre Road, Wilmington, Delaware 19805. Corteva can be contacted by calling (302) 774-1000.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240" w:top="459" w:right="6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674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00214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OF THE SEPARATION AND DISTRIBUTION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the material terms of the separation, distribution and other related transactions.</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0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Distributing company</w:t>
            </w:r>
          </w:p>
        </w:tc>
        <w:tc>
          <w:tcPr>
            <w:tcW w:w="8020" w:type="dxa"/>
            <w:vAlign w:val="bottom"/>
          </w:tcPr>
          <w:p>
            <w:pPr>
              <w:ind w:left="1200"/>
              <w:spacing w:after="0"/>
              <w:rPr>
                <w:sz w:val="20"/>
                <w:szCs w:val="20"/>
                <w:color w:val="auto"/>
              </w:rPr>
            </w:pPr>
            <w:r>
              <w:rPr>
                <w:rFonts w:ascii="Arial" w:cs="Arial" w:eastAsia="Arial" w:hAnsi="Arial"/>
                <w:sz w:val="18"/>
                <w:szCs w:val="18"/>
                <w:color w:val="auto"/>
              </w:rPr>
              <w:t>DowDuPont Inc.</w:t>
            </w:r>
          </w:p>
        </w:tc>
      </w:tr>
      <w:tr>
        <w:trPr>
          <w:trHeight w:val="458"/>
        </w:trPr>
        <w:tc>
          <w:tcPr>
            <w:tcW w:w="30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Distributed company</w:t>
            </w:r>
          </w:p>
        </w:tc>
        <w:tc>
          <w:tcPr>
            <w:tcW w:w="8020" w:type="dxa"/>
            <w:vAlign w:val="bottom"/>
          </w:tcPr>
          <w:p>
            <w:pPr>
              <w:ind w:left="1200"/>
              <w:spacing w:after="0"/>
              <w:rPr>
                <w:sz w:val="20"/>
                <w:szCs w:val="20"/>
                <w:color w:val="auto"/>
              </w:rPr>
            </w:pPr>
            <w:r>
              <w:rPr>
                <w:rFonts w:ascii="Arial" w:cs="Arial" w:eastAsia="Arial" w:hAnsi="Arial"/>
                <w:sz w:val="18"/>
                <w:szCs w:val="18"/>
                <w:color w:val="auto"/>
                <w:w w:val="96"/>
              </w:rPr>
              <w:t>Corteva, Inc., a Delaware corporation and a wholly owned subsidiary of DowDuPont that</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will be the holding company for DowDuPont’s agriculture business. Following the</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distribution, Corteva will be an independent, publicly traded company.</w:t>
            </w:r>
          </w:p>
        </w:tc>
      </w:tr>
      <w:tr>
        <w:trPr>
          <w:trHeight w:val="445"/>
        </w:trPr>
        <w:tc>
          <w:tcPr>
            <w:tcW w:w="30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Distribution ratio</w:t>
            </w:r>
          </w:p>
        </w:tc>
        <w:tc>
          <w:tcPr>
            <w:tcW w:w="8020" w:type="dxa"/>
            <w:vAlign w:val="bottom"/>
          </w:tcPr>
          <w:p>
            <w:pPr>
              <w:ind w:left="1200"/>
              <w:spacing w:after="0"/>
              <w:rPr>
                <w:sz w:val="20"/>
                <w:szCs w:val="20"/>
                <w:color w:val="auto"/>
              </w:rPr>
            </w:pPr>
            <w:r>
              <w:rPr>
                <w:rFonts w:ascii="Arial" w:cs="Arial" w:eastAsia="Arial" w:hAnsi="Arial"/>
                <w:sz w:val="18"/>
                <w:szCs w:val="18"/>
                <w:color w:val="auto"/>
                <w:w w:val="96"/>
              </w:rPr>
              <w:t>Each DowDuPont stockholder will receive one share of Corteva common stock for every</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three shares of DowDuPont common stock held at the close of business on May 24, 2019,</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the record date for the distribution. DowDuPont stockholders may also receive cash in lieu</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of any fractional shares, as described below.</w:t>
            </w:r>
          </w:p>
        </w:tc>
      </w:tr>
      <w:tr>
        <w:trPr>
          <w:trHeight w:val="445"/>
        </w:trPr>
        <w:tc>
          <w:tcPr>
            <w:tcW w:w="30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Distributed securities</w:t>
            </w:r>
          </w:p>
        </w:tc>
        <w:tc>
          <w:tcPr>
            <w:tcW w:w="8020" w:type="dxa"/>
            <w:vAlign w:val="bottom"/>
          </w:tcPr>
          <w:p>
            <w:pPr>
              <w:ind w:left="1200"/>
              <w:spacing w:after="0"/>
              <w:rPr>
                <w:sz w:val="20"/>
                <w:szCs w:val="20"/>
                <w:color w:val="auto"/>
              </w:rPr>
            </w:pPr>
            <w:r>
              <w:rPr>
                <w:rFonts w:ascii="Arial" w:cs="Arial" w:eastAsia="Arial" w:hAnsi="Arial"/>
                <w:sz w:val="18"/>
                <w:szCs w:val="18"/>
                <w:color w:val="auto"/>
                <w:w w:val="98"/>
              </w:rPr>
              <w:t>In the distribution, DowDuPont will distribute to DowDuPont stockholders all of the then</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8"/>
              </w:rPr>
              <w:t>issued and outstanding shares of Corteva common stock. Following the separation and</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distribution, Corteva will be a separate company, and New DuPont will not retain any</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ownership in Corteva.</w:t>
            </w:r>
          </w:p>
        </w:tc>
      </w:tr>
      <w:tr>
        <w:trPr>
          <w:trHeight w:val="445"/>
        </w:trPr>
        <w:tc>
          <w:tcPr>
            <w:tcW w:w="3020" w:type="dxa"/>
            <w:vAlign w:val="bottom"/>
          </w:tcPr>
          <w:p>
            <w:pPr>
              <w:spacing w:after="0"/>
              <w:rPr>
                <w:sz w:val="24"/>
                <w:szCs w:val="24"/>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The actual number of shares of Corteva common stock that will be distributed will depend</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8"/>
              </w:rPr>
              <w:t>on the number of shares of DowDuPont common stock outstanding on the record date.</w:t>
            </w:r>
          </w:p>
        </w:tc>
      </w:tr>
      <w:tr>
        <w:trPr>
          <w:trHeight w:val="445"/>
        </w:trPr>
        <w:tc>
          <w:tcPr>
            <w:tcW w:w="3020" w:type="dxa"/>
            <w:vAlign w:val="bottom"/>
          </w:tcPr>
          <w:p>
            <w:pPr>
              <w:spacing w:after="0"/>
              <w:rPr>
                <w:sz w:val="24"/>
                <w:szCs w:val="24"/>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8"/>
              </w:rPr>
              <w:t>Immediately following the distribution, DowDuPont stockholders will own shares in both</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Corteva and New DuPont.</w:t>
            </w:r>
          </w:p>
        </w:tc>
      </w:tr>
      <w:tr>
        <w:trPr>
          <w:trHeight w:val="445"/>
        </w:trPr>
        <w:tc>
          <w:tcPr>
            <w:tcW w:w="30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Fractional shares</w:t>
            </w:r>
          </w:p>
        </w:tc>
        <w:tc>
          <w:tcPr>
            <w:tcW w:w="8020" w:type="dxa"/>
            <w:vAlign w:val="bottom"/>
          </w:tcPr>
          <w:p>
            <w:pPr>
              <w:ind w:left="1200"/>
              <w:spacing w:after="0"/>
              <w:rPr>
                <w:sz w:val="20"/>
                <w:szCs w:val="20"/>
                <w:color w:val="auto"/>
              </w:rPr>
            </w:pPr>
            <w:r>
              <w:rPr>
                <w:rFonts w:ascii="Arial" w:cs="Arial" w:eastAsia="Arial" w:hAnsi="Arial"/>
                <w:sz w:val="18"/>
                <w:szCs w:val="18"/>
                <w:color w:val="auto"/>
                <w:w w:val="96"/>
              </w:rPr>
              <w:t>DowDuPont will not distribute any fractional shares of Corteva common stock. Instead, if</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you are a registered holder, Computershare Trust Company, N.A. (“Computershare”), the</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distribution agent, will aggregate all fractional shares that would have otherwise been</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issued in the distribution into whole shares and sell the whole shares in the open market at</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9"/>
              </w:rPr>
              <w:t>prevailing market prices on behalf of all DowDuPont stockholders entitled to receive a</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fractional share. The distribution agent will then distribute the aggregate cash proceeds of</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the sales, net of brokerage fees and other costs, pro rata to those stockholders (net of any</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6"/>
              </w:rPr>
              <w:t>required withholding for taxes applicable to each stockholder) who otherwise would have</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been entitled to receive a fractional share in the distribution. DowDuPont stockholders who</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receive cash in lieu of fractional shares will not be entitled to any interest on amounts paid</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6"/>
              </w:rPr>
              <w:t>in lieu of fractional shares. Any cash received in lieu of fractional shares generally will be</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9"/>
              </w:rPr>
              <w:t>taxable to DowDuPont stockholders as described in the section entitled “Material U.S.</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Federal Income Tax Consequences of the Distribution.”</w:t>
            </w:r>
          </w:p>
        </w:tc>
      </w:tr>
      <w:tr>
        <w:trPr>
          <w:trHeight w:val="459"/>
        </w:trPr>
        <w:tc>
          <w:tcPr>
            <w:tcW w:w="30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Record date</w:t>
            </w:r>
          </w:p>
        </w:tc>
        <w:tc>
          <w:tcPr>
            <w:tcW w:w="8020" w:type="dxa"/>
            <w:vAlign w:val="bottom"/>
          </w:tcPr>
          <w:p>
            <w:pPr>
              <w:ind w:left="1200"/>
              <w:spacing w:after="0"/>
              <w:rPr>
                <w:sz w:val="20"/>
                <w:szCs w:val="20"/>
                <w:color w:val="auto"/>
              </w:rPr>
            </w:pPr>
            <w:r>
              <w:rPr>
                <w:rFonts w:ascii="Arial" w:cs="Arial" w:eastAsia="Arial" w:hAnsi="Arial"/>
                <w:sz w:val="18"/>
                <w:szCs w:val="18"/>
                <w:color w:val="auto"/>
              </w:rPr>
              <w:t>The record date for the distribution is the close of business on May 24, 2019.</w:t>
            </w:r>
          </w:p>
        </w:tc>
      </w:tr>
      <w:tr>
        <w:trPr>
          <w:trHeight w:val="253"/>
        </w:trPr>
        <w:tc>
          <w:tcPr>
            <w:tcW w:w="3020" w:type="dxa"/>
            <w:vAlign w:val="bottom"/>
            <w:tcBorders>
              <w:bottom w:val="single" w:sz="8" w:color="auto"/>
            </w:tcBorders>
          </w:tcPr>
          <w:p>
            <w:pPr>
              <w:spacing w:after="0"/>
              <w:rPr>
                <w:sz w:val="22"/>
                <w:szCs w:val="22"/>
                <w:color w:val="auto"/>
              </w:rPr>
            </w:pPr>
          </w:p>
        </w:tc>
        <w:tc>
          <w:tcPr>
            <w:tcW w:w="8020" w:type="dxa"/>
            <w:vAlign w:val="bottom"/>
            <w:tcBorders>
              <w:bottom w:val="single" w:sz="8" w:color="auto"/>
            </w:tcBorders>
          </w:tcPr>
          <w:p>
            <w:pPr>
              <w:spacing w:after="0"/>
              <w:rPr>
                <w:sz w:val="22"/>
                <w:szCs w:val="22"/>
                <w:color w:val="auto"/>
              </w:rPr>
            </w:pPr>
          </w:p>
        </w:tc>
      </w:tr>
      <w:tr>
        <w:trPr>
          <w:trHeight w:val="604"/>
        </w:trPr>
        <w:tc>
          <w:tcPr>
            <w:tcW w:w="3020" w:type="dxa"/>
            <w:vAlign w:val="bottom"/>
          </w:tcPr>
          <w:p>
            <w:pPr>
              <w:spacing w:after="0"/>
              <w:rPr>
                <w:sz w:val="24"/>
                <w:szCs w:val="24"/>
                <w:color w:val="auto"/>
              </w:rPr>
            </w:pPr>
          </w:p>
        </w:tc>
        <w:tc>
          <w:tcPr>
            <w:tcW w:w="8020" w:type="dxa"/>
            <w:vAlign w:val="bottom"/>
          </w:tcPr>
          <w:p>
            <w:pPr>
              <w:ind w:left="24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Distribution date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distribution date is expected to be on June 1, 2019.</w:t>
      </w:r>
    </w:p>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Distribution</w:t>
      </w:r>
    </w:p>
    <w:p>
      <w:pPr>
        <w:spacing w:after="0" w:line="23" w:lineRule="exact"/>
        <w:rPr>
          <w:sz w:val="20"/>
          <w:szCs w:val="20"/>
          <w:color w:val="auto"/>
        </w:rPr>
      </w:pPr>
    </w:p>
    <w:p>
      <w:pPr>
        <w:ind w:left="380" w:right="20"/>
        <w:spacing w:after="0" w:line="255" w:lineRule="auto"/>
        <w:rPr>
          <w:sz w:val="20"/>
          <w:szCs w:val="20"/>
          <w:color w:val="auto"/>
        </w:rPr>
      </w:pPr>
      <w:r>
        <w:rPr>
          <w:rFonts w:ascii="Arial" w:cs="Arial" w:eastAsia="Arial" w:hAnsi="Arial"/>
          <w:sz w:val="18"/>
          <w:szCs w:val="18"/>
          <w:color w:val="auto"/>
        </w:rPr>
        <w:t>On the distribution date, DowDuPont will issue shares of Corteva common stock to all DowDuPont stockholders as of the record date based on the distribution ratio. The shares of Corteva common stock will be issued electronically in direct registration or book-entry form and no certificates will be issued.</w:t>
      </w:r>
    </w:p>
    <w:p>
      <w:pPr>
        <w:spacing w:after="0" w:line="393" w:lineRule="exact"/>
        <w:rPr>
          <w:sz w:val="20"/>
          <w:szCs w:val="20"/>
          <w:color w:val="auto"/>
        </w:rPr>
      </w:pPr>
    </w:p>
    <w:p>
      <w:pPr>
        <w:ind w:left="380" w:right="80"/>
        <w:spacing w:after="0" w:line="264" w:lineRule="auto"/>
        <w:rPr>
          <w:sz w:val="20"/>
          <w:szCs w:val="20"/>
          <w:color w:val="auto"/>
        </w:rPr>
      </w:pPr>
      <w:r>
        <w:rPr>
          <w:rFonts w:ascii="Arial" w:cs="Arial" w:eastAsia="Arial" w:hAnsi="Arial"/>
          <w:sz w:val="18"/>
          <w:szCs w:val="18"/>
          <w:color w:val="auto"/>
        </w:rPr>
        <w:t>Commencing on or shortly following the distribution date, the distribution agent will mail to stockholders who hold their shares directly with DowDuPont (registered holders) a direct registration account statement that reflects the shares of Corteva common stock that have been registered in their name.</w:t>
      </w:r>
    </w:p>
    <w:p>
      <w:pPr>
        <w:spacing w:after="0" w:line="200" w:lineRule="exact"/>
        <w:rPr>
          <w:sz w:val="20"/>
          <w:szCs w:val="20"/>
          <w:color w:val="auto"/>
        </w:rPr>
      </w:pPr>
    </w:p>
    <w:p>
      <w:pPr>
        <w:spacing w:after="0" w:line="373" w:lineRule="exact"/>
        <w:rPr>
          <w:sz w:val="20"/>
          <w:szCs w:val="20"/>
          <w:color w:val="auto"/>
        </w:rPr>
      </w:pPr>
    </w:p>
    <w:p>
      <w:pPr>
        <w:ind w:left="380" w:right="280"/>
        <w:spacing w:after="0" w:line="277" w:lineRule="auto"/>
        <w:rPr>
          <w:sz w:val="20"/>
          <w:szCs w:val="20"/>
          <w:color w:val="auto"/>
        </w:rPr>
      </w:pPr>
      <w:r>
        <w:rPr>
          <w:rFonts w:ascii="Arial" w:cs="Arial" w:eastAsia="Arial" w:hAnsi="Arial"/>
          <w:sz w:val="18"/>
          <w:szCs w:val="18"/>
          <w:color w:val="auto"/>
        </w:rPr>
        <w:t>For shares of DowDuPont common stock that are held through a bank, the bank will credit the stockholder’s account with the Corteva common stock they are entitled to receive in the distribution.</w:t>
      </w:r>
    </w:p>
    <w:p>
      <w:pPr>
        <w:spacing w:after="0" w:line="200" w:lineRule="exact"/>
        <w:rPr>
          <w:sz w:val="20"/>
          <w:szCs w:val="20"/>
          <w:color w:val="auto"/>
        </w:rPr>
      </w:pPr>
    </w:p>
    <w:p>
      <w:pPr>
        <w:spacing w:after="0" w:line="362"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DowDuPont stockholders will not be required to make any payment, to surrender or exchange their shares of DowDuPont common stock or to take any other action to receive their shares of Corteva common stock in the distribution.</w:t>
      </w:r>
    </w:p>
    <w:p>
      <w:pPr>
        <w:spacing w:after="0" w:line="200" w:lineRule="exact"/>
        <w:rPr>
          <w:sz w:val="20"/>
          <w:szCs w:val="20"/>
          <w:color w:val="auto"/>
        </w:rPr>
      </w:pPr>
    </w:p>
    <w:p>
      <w:pPr>
        <w:spacing w:after="0" w:line="349" w:lineRule="exact"/>
        <w:rPr>
          <w:sz w:val="20"/>
          <w:szCs w:val="20"/>
          <w:color w:val="auto"/>
        </w:rPr>
      </w:pPr>
    </w:p>
    <w:p>
      <w:pPr>
        <w:ind w:left="380" w:right="40"/>
        <w:spacing w:after="0" w:line="271" w:lineRule="auto"/>
        <w:rPr>
          <w:sz w:val="20"/>
          <w:szCs w:val="20"/>
          <w:color w:val="auto"/>
        </w:rPr>
      </w:pPr>
      <w:r>
        <w:rPr>
          <w:rFonts w:ascii="Arial" w:cs="Arial" w:eastAsia="Arial" w:hAnsi="Arial"/>
          <w:sz w:val="17"/>
          <w:szCs w:val="17"/>
          <w:color w:val="auto"/>
        </w:rPr>
        <w:t>If you are a DowDuPont stockholder on the record date and decide to sell your shares on or before the distribution date, you may choose to sell your DowDuPont common stock with or without your entitlement to receive Corteva common stock in the distribution. Beginning on or shortly before the record date and continuing through the last trading day prior to the distribution, it is expected that there will be two markets in DowDuPont common stock: a “regular-way” market and an “ex-distribution” market. Shares of DowDuPont common stock that are traded in the “regular-way” market will trade with the entitlement to receive the Corteva common stock that is distributed pursuant to the distribution. Shares that trade in the “ex-distribution” market will trade without the entitlement to receive the shares of Corteva common stock distributed pursuant to the distribution. Consequently, if you sell your shares of DowDuPont common stock in the “regular-way” market on or prior to the last trading day prior to the distribution date, you will also be selling your right to receive Corteva common stock in the distribution.</w:t>
      </w:r>
    </w:p>
    <w:p>
      <w:pPr>
        <w:spacing w:after="0" w:line="38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distribution is subject to the satisfaction of the following conditions, among other conditions described in this information statement:</w:t>
      </w:r>
    </w:p>
    <w:p>
      <w:pPr>
        <w:spacing w:after="0" w:line="128" w:lineRule="exact"/>
        <w:rPr>
          <w:sz w:val="20"/>
          <w:szCs w:val="20"/>
          <w:color w:val="auto"/>
        </w:rPr>
      </w:pPr>
    </w:p>
    <w:p>
      <w:pPr>
        <w:ind w:left="4820" w:hanging="148"/>
        <w:spacing w:after="0" w:line="257" w:lineRule="auto"/>
        <w:tabs>
          <w:tab w:leader="none" w:pos="48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SEC having declared effective the Form 10 under the Securities Exchange Act of 1934, as amended (the “Exchange Act”) (or the Form 10 having otherwise become effective pursuant to and in accordance with Section 12(d) of the Exchange Act), no stop order relating to the Form 10 being in effect, no proceedings seeking such a stop order being pending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240" w:top="459" w:right="6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213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002145" cy="5921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40" w:right="120"/>
        <w:spacing w:after="0" w:line="308" w:lineRule="auto"/>
        <w:rPr>
          <w:sz w:val="20"/>
          <w:szCs w:val="20"/>
          <w:color w:val="auto"/>
        </w:rPr>
      </w:pPr>
      <w:r>
        <w:rPr>
          <w:rFonts w:ascii="Arial" w:cs="Arial" w:eastAsia="Arial" w:hAnsi="Arial"/>
          <w:sz w:val="17"/>
          <w:szCs w:val="17"/>
          <w:color w:val="auto"/>
        </w:rPr>
        <w:t>before or threatened by the SEC and this information statement (or notice of interest availability hereof) having been distributed to DowDuPont stockholders;</w:t>
      </w:r>
    </w:p>
    <w:p>
      <w:pPr>
        <w:spacing w:after="0" w:line="52" w:lineRule="exact"/>
        <w:rPr>
          <w:sz w:val="20"/>
          <w:szCs w:val="20"/>
          <w:color w:val="auto"/>
        </w:rPr>
      </w:pPr>
    </w:p>
    <w:p>
      <w:pPr>
        <w:ind w:left="4820" w:right="140" w:hanging="148"/>
        <w:spacing w:after="0" w:line="277" w:lineRule="auto"/>
        <w:tabs>
          <w:tab w:leader="none" w:pos="4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listing of Corteva common stock on the NYSE having been approved, subject to official notice of issuance;</w:t>
      </w:r>
    </w:p>
    <w:p>
      <w:pPr>
        <w:spacing w:after="0" w:line="75" w:lineRule="exact"/>
        <w:rPr>
          <w:rFonts w:ascii="Arial" w:cs="Arial" w:eastAsia="Arial" w:hAnsi="Arial"/>
          <w:sz w:val="18"/>
          <w:szCs w:val="18"/>
          <w:color w:val="auto"/>
        </w:rPr>
      </w:pPr>
    </w:p>
    <w:p>
      <w:pPr>
        <w:ind w:left="4820" w:right="200" w:hanging="148"/>
        <w:spacing w:after="0" w:line="257" w:lineRule="auto"/>
        <w:tabs>
          <w:tab w:leader="none" w:pos="4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DowDuPont board of directors having received an opinion from a nationally recognized independent appraisal firm, to the effect that, following the distribution, Corteva and DowDuPont will each be solvent and adequately capitalized, and that DowDuPont has adequate surplus under Delaware law to declare the dividend of Corteva common stock;</w:t>
      </w:r>
    </w:p>
    <w:p>
      <w:pPr>
        <w:spacing w:after="0" w:line="93" w:lineRule="exact"/>
        <w:rPr>
          <w:rFonts w:ascii="Arial" w:cs="Arial" w:eastAsia="Arial" w:hAnsi="Arial"/>
          <w:sz w:val="18"/>
          <w:szCs w:val="18"/>
          <w:color w:val="auto"/>
        </w:rPr>
      </w:pPr>
    </w:p>
    <w:p>
      <w:pPr>
        <w:ind w:left="4820" w:right="480" w:hanging="148"/>
        <w:spacing w:after="0" w:line="277" w:lineRule="auto"/>
        <w:tabs>
          <w:tab w:leader="none" w:pos="4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Internal Reorganization and Business Realignment as they relate to Corteva having been effectuated prior to the distribution date;</w:t>
      </w:r>
    </w:p>
    <w:p>
      <w:pPr>
        <w:spacing w:after="0" w:line="75" w:lineRule="exact"/>
        <w:rPr>
          <w:rFonts w:ascii="Arial" w:cs="Arial" w:eastAsia="Arial" w:hAnsi="Arial"/>
          <w:sz w:val="18"/>
          <w:szCs w:val="18"/>
          <w:color w:val="auto"/>
        </w:rPr>
      </w:pPr>
    </w:p>
    <w:p>
      <w:pPr>
        <w:ind w:left="4820" w:right="80" w:hanging="148"/>
        <w:spacing w:after="0" w:line="302" w:lineRule="auto"/>
        <w:tabs>
          <w:tab w:leader="none" w:pos="48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DowDuPont board of directors having declared the dividend of Corteva common stock to effect the distribution and having approved the distribution and all related transactions, which approval may be given or withheld in the board’s absolute and sole discretion (and such declaration or approval not having been withdrawn);</w:t>
      </w:r>
    </w:p>
    <w:p>
      <w:pPr>
        <w:spacing w:after="0" w:line="59" w:lineRule="exact"/>
        <w:rPr>
          <w:rFonts w:ascii="Arial" w:cs="Arial" w:eastAsia="Arial" w:hAnsi="Arial"/>
          <w:sz w:val="16"/>
          <w:szCs w:val="16"/>
          <w:color w:val="auto"/>
        </w:rPr>
      </w:pPr>
    </w:p>
    <w:p>
      <w:pPr>
        <w:ind w:left="4820" w:right="180" w:hanging="148"/>
        <w:spacing w:after="0" w:line="286" w:lineRule="auto"/>
        <w:tabs>
          <w:tab w:leader="none" w:pos="48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DowDuPont having elected the individuals to be members of our board of directors following the distribution, and certain directors as set forth in the separation agreement having resigned from the DowDuPont board of directors;</w:t>
      </w:r>
    </w:p>
    <w:p>
      <w:pPr>
        <w:spacing w:after="0" w:line="70" w:lineRule="exact"/>
        <w:rPr>
          <w:rFonts w:ascii="Arial" w:cs="Arial" w:eastAsia="Arial" w:hAnsi="Arial"/>
          <w:sz w:val="17"/>
          <w:szCs w:val="17"/>
          <w:color w:val="auto"/>
        </w:rPr>
      </w:pPr>
    </w:p>
    <w:p>
      <w:pPr>
        <w:ind w:left="4820" w:right="80" w:hanging="148"/>
        <w:spacing w:after="0" w:line="264" w:lineRule="auto"/>
        <w:tabs>
          <w:tab w:leader="none" w:pos="4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of us, DowDuPont and Dow and each of our or their applicable subsidiaries having entered into all ancillary agreements to which it and/or any such subsidiary is contemplated to be a party;</w:t>
      </w:r>
    </w:p>
    <w:p>
      <w:pPr>
        <w:spacing w:after="0" w:line="86" w:lineRule="exact"/>
        <w:rPr>
          <w:rFonts w:ascii="Arial" w:cs="Arial" w:eastAsia="Arial" w:hAnsi="Arial"/>
          <w:sz w:val="18"/>
          <w:szCs w:val="18"/>
          <w:color w:val="auto"/>
        </w:rPr>
      </w:pPr>
    </w:p>
    <w:p>
      <w:pPr>
        <w:ind w:left="4820" w:right="120" w:hanging="148"/>
        <w:spacing w:after="0" w:line="286" w:lineRule="auto"/>
        <w:tabs>
          <w:tab w:leader="none" w:pos="48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 events or developments having occurred or existing that make it inadvisable to effect the distribution or that would result in the distribution and related transactions not being in the best interest of DowDuPont or its stockholders;</w:t>
      </w:r>
    </w:p>
    <w:p>
      <w:pPr>
        <w:spacing w:after="0" w:line="70" w:lineRule="exact"/>
        <w:rPr>
          <w:rFonts w:ascii="Arial" w:cs="Arial" w:eastAsia="Arial" w:hAnsi="Arial"/>
          <w:sz w:val="17"/>
          <w:szCs w:val="17"/>
          <w:color w:val="auto"/>
        </w:rPr>
      </w:pPr>
    </w:p>
    <w:p>
      <w:pPr>
        <w:ind w:left="4820" w:hanging="148"/>
        <w:spacing w:after="0" w:line="273" w:lineRule="auto"/>
        <w:tabs>
          <w:tab w:leader="none" w:pos="48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 order, injunction or decree by any governmental entity of competent jurisdiction or other legal restraint or prohibition preventing consummation of the distribution or any of the related transactions, including the transfers of assets and liabilities contemplated by the separation agreement, shall be pending, threatened, issued or in effect, and no other event outside of DowDuPont’s control having occurred that prevents the consummation of the distribution;</w:t>
      </w:r>
    </w:p>
    <w:p>
      <w:pPr>
        <w:spacing w:after="0" w:line="83" w:lineRule="exact"/>
        <w:rPr>
          <w:rFonts w:ascii="Arial" w:cs="Arial" w:eastAsia="Arial" w:hAnsi="Arial"/>
          <w:sz w:val="17"/>
          <w:szCs w:val="17"/>
          <w:color w:val="auto"/>
        </w:rPr>
      </w:pPr>
    </w:p>
    <w:p>
      <w:pPr>
        <w:ind w:left="4820" w:right="120" w:hanging="148"/>
        <w:spacing w:after="0" w:line="286" w:lineRule="auto"/>
        <w:tabs>
          <w:tab w:leader="none" w:pos="48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receipt by DowDuPont of an opinion of Skadden, in form and substance satisfactory to DowDuPont (in its sole discretion) (the “Tax Opinion”), substantially to the effect that, among other things, the distribution, together with certain related transactions, will qualify as a tax-free transaction under Section 355 and</w:t>
      </w:r>
    </w:p>
    <w:p>
      <w:pPr>
        <w:spacing w:after="0" w:line="1" w:lineRule="exact"/>
        <w:rPr>
          <w:rFonts w:ascii="Arial" w:cs="Arial" w:eastAsia="Arial" w:hAnsi="Arial"/>
          <w:sz w:val="16"/>
          <w:szCs w:val="16"/>
          <w:color w:val="auto"/>
        </w:rPr>
      </w:pPr>
    </w:p>
    <w:p>
      <w:pPr>
        <w:ind w:left="4820" w:right="660"/>
        <w:spacing w:after="0" w:line="261" w:lineRule="auto"/>
        <w:rPr>
          <w:rFonts w:ascii="Arial" w:cs="Arial" w:eastAsia="Arial" w:hAnsi="Arial"/>
          <w:sz w:val="16"/>
          <w:szCs w:val="16"/>
          <w:color w:val="auto"/>
        </w:rPr>
      </w:pPr>
      <w:r>
        <w:rPr>
          <w:rFonts w:ascii="Arial" w:cs="Arial" w:eastAsia="Arial" w:hAnsi="Arial"/>
          <w:sz w:val="18"/>
          <w:szCs w:val="18"/>
          <w:color w:val="auto"/>
        </w:rPr>
        <w:t>Section 368(a)(1)(D) of the Internal Revenue Code of 1986, as amended (the “Code”), for U.S. federal income tax purposes;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60" w:right="6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61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00214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 the Internal Revenue Service (“IRS”) not having revoked the IRS Ruling (as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described in the section entitled “Risk Factors—Risks Related to the Separation”).</w:t>
      </w:r>
    </w:p>
    <w:p>
      <w:pPr>
        <w:spacing w:after="0" w:line="249" w:lineRule="exact"/>
        <w:rPr>
          <w:sz w:val="20"/>
          <w:szCs w:val="20"/>
          <w:color w:val="auto"/>
        </w:rPr>
      </w:pPr>
    </w:p>
    <w:p>
      <w:pPr>
        <w:ind w:left="4420" w:right="320"/>
        <w:spacing w:after="0" w:line="259" w:lineRule="auto"/>
        <w:rPr>
          <w:sz w:val="20"/>
          <w:szCs w:val="20"/>
          <w:color w:val="auto"/>
        </w:rPr>
      </w:pPr>
      <w:r>
        <w:rPr>
          <w:rFonts w:ascii="Arial" w:cs="Arial" w:eastAsia="Arial" w:hAnsi="Arial"/>
          <w:sz w:val="18"/>
          <w:szCs w:val="18"/>
          <w:color w:val="auto"/>
        </w:rPr>
        <w:t>The fulfillment of these conditions does not create any obligation on DowDuPont’s part to effect the distribution, and the DowDuPont board of directors has the ability, in its sole discretion, to amend, modify or abandon the distribution and related transactions at any time prior to the distribution date.</w:t>
      </w:r>
    </w:p>
    <w:p>
      <w:pPr>
        <w:spacing w:after="0" w:line="214"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6"/>
          <w:szCs w:val="16"/>
          <w:color w:val="auto"/>
        </w:rPr>
        <w:t>Corteva common stock will be listed on the NYSE under the symbol “CTVA.”</w:t>
      </w:r>
    </w:p>
    <w:p>
      <w:pPr>
        <w:spacing w:after="0" w:line="266" w:lineRule="exact"/>
        <w:rPr>
          <w:sz w:val="20"/>
          <w:szCs w:val="20"/>
          <w:color w:val="auto"/>
        </w:rPr>
      </w:pPr>
    </w:p>
    <w:p>
      <w:pPr>
        <w:ind w:left="4420" w:right="280"/>
        <w:spacing w:after="0" w:line="257" w:lineRule="auto"/>
        <w:rPr>
          <w:sz w:val="20"/>
          <w:szCs w:val="20"/>
          <w:color w:val="auto"/>
        </w:rPr>
      </w:pPr>
      <w:r>
        <w:rPr>
          <w:rFonts w:ascii="Arial" w:cs="Arial" w:eastAsia="Arial" w:hAnsi="Arial"/>
          <w:sz w:val="18"/>
          <w:szCs w:val="18"/>
          <w:color w:val="auto"/>
        </w:rPr>
        <w:t>We anticipate that as early as the trading day prior to the record date, trading in shares of Corteva common stock will begin on a “when-issued” basis and that this “when-issued” trading market will continue through the last trading day prior to the distribution date. See the section entitled “The Distribution—Trading Between the Record Date and Distribution Date.”</w:t>
      </w:r>
    </w:p>
    <w:p>
      <w:pPr>
        <w:spacing w:after="0" w:line="215"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Transfer agent</w:t>
      </w:r>
      <w:r>
        <w:rPr>
          <w:sz w:val="20"/>
          <w:szCs w:val="20"/>
          <w:color w:val="auto"/>
        </w:rPr>
        <w:tab/>
      </w:r>
      <w:r>
        <w:rPr>
          <w:rFonts w:ascii="Arial" w:cs="Arial" w:eastAsia="Arial" w:hAnsi="Arial"/>
          <w:sz w:val="16"/>
          <w:szCs w:val="16"/>
          <w:color w:val="auto"/>
        </w:rPr>
        <w:t>After the distribution, the transfer agent and registrar for Corteva common stock will be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Computershare.</w:t>
      </w:r>
    </w:p>
    <w:p>
      <w:pPr>
        <w:spacing w:after="0" w:line="238"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Corteva’s indebtedness</w:t>
      </w:r>
      <w:r>
        <w:rPr>
          <w:sz w:val="20"/>
          <w:szCs w:val="20"/>
          <w:color w:val="auto"/>
        </w:rPr>
        <w:tab/>
      </w:r>
      <w:r>
        <w:rPr>
          <w:rFonts w:ascii="Arial" w:cs="Arial" w:eastAsia="Arial" w:hAnsi="Arial"/>
          <w:sz w:val="16"/>
          <w:szCs w:val="16"/>
          <w:color w:val="auto"/>
        </w:rPr>
        <w:t>For additional information relating to our anticipated indebtedness following the separation</w:t>
      </w:r>
    </w:p>
    <w:p>
      <w:pPr>
        <w:spacing w:after="0" w:line="23" w:lineRule="exact"/>
        <w:rPr>
          <w:sz w:val="20"/>
          <w:szCs w:val="20"/>
          <w:color w:val="auto"/>
        </w:rPr>
      </w:pPr>
    </w:p>
    <w:p>
      <w:pPr>
        <w:ind w:left="4420" w:right="420"/>
        <w:spacing w:after="0" w:line="261" w:lineRule="auto"/>
        <w:rPr>
          <w:sz w:val="20"/>
          <w:szCs w:val="20"/>
          <w:color w:val="auto"/>
        </w:rPr>
      </w:pPr>
      <w:r>
        <w:rPr>
          <w:rFonts w:ascii="Arial" w:cs="Arial" w:eastAsia="Arial" w:hAnsi="Arial"/>
          <w:sz w:val="18"/>
          <w:szCs w:val="18"/>
          <w:color w:val="auto"/>
        </w:rPr>
        <w:t>and distribution, see the section entitled “Description of Material Indebtedness” included elsewhere in this information statement.</w:t>
      </w:r>
    </w:p>
    <w:p>
      <w:pPr>
        <w:sectPr>
          <w:pgSz w:w="11900" w:h="16838" w:orient="portrait"/>
          <w:cols w:equalWidth="0" w:num="1">
            <w:col w:w="11240"/>
          </w:cols>
          <w:pgMar w:left="240" w:top="460" w:right="419" w:bottom="1440" w:gutter="0" w:footer="0" w:header="0"/>
        </w:sectPr>
      </w:pPr>
    </w:p>
    <w:p>
      <w:pPr>
        <w:spacing w:after="0" w:line="332" w:lineRule="exact"/>
        <w:rPr>
          <w:sz w:val="20"/>
          <w:szCs w:val="20"/>
          <w:color w:val="auto"/>
        </w:rPr>
      </w:pPr>
    </w:p>
    <w:p>
      <w:pPr>
        <w:ind w:left="460" w:hanging="78"/>
        <w:spacing w:after="0" w:line="342" w:lineRule="auto"/>
        <w:rPr>
          <w:sz w:val="20"/>
          <w:szCs w:val="20"/>
          <w:color w:val="auto"/>
        </w:rPr>
      </w:pPr>
      <w:r>
        <w:rPr>
          <w:rFonts w:ascii="Arial" w:cs="Arial" w:eastAsia="Arial" w:hAnsi="Arial"/>
          <w:sz w:val="16"/>
          <w:szCs w:val="16"/>
          <w:b w:val="1"/>
          <w:bCs w:val="1"/>
          <w:i w:val="1"/>
          <w:iCs w:val="1"/>
          <w:color w:val="auto"/>
        </w:rPr>
        <w:t>Risks relating to Corteva, ownership of Corteva common stock and the distribution</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business is subject to both general and specific risks, including risks relating to our business, to our relationship with New DuPont and Dow following the separation and distribution and to us being a separate, publicly traded company. You should read carefully the section entitled “Risk Factors.”</w:t>
      </w:r>
    </w:p>
    <w:p>
      <w:pPr>
        <w:spacing w:after="0" w:line="200" w:lineRule="exact"/>
        <w:rPr>
          <w:sz w:val="20"/>
          <w:szCs w:val="20"/>
          <w:color w:val="auto"/>
        </w:rPr>
      </w:pPr>
    </w:p>
    <w:p>
      <w:pPr>
        <w:sectPr>
          <w:pgSz w:w="11900" w:h="16838" w:orient="portrait"/>
          <w:cols w:equalWidth="0" w:num="2">
            <w:col w:w="3900" w:space="520"/>
            <w:col w:w="6820"/>
          </w:cols>
          <w:pgMar w:left="240" w:top="460" w:right="419" w:bottom="1440" w:gutter="0" w:footer="0" w:header="0"/>
          <w:type w:val="continuous"/>
        </w:sectPr>
      </w:pP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9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 considerations</w:t>
            </w:r>
          </w:p>
        </w:tc>
        <w:tc>
          <w:tcPr>
            <w:tcW w:w="7080" w:type="dxa"/>
            <w:vAlign w:val="bottom"/>
          </w:tcPr>
          <w:p>
            <w:pPr>
              <w:ind w:left="260"/>
              <w:spacing w:after="0"/>
              <w:rPr>
                <w:sz w:val="20"/>
                <w:szCs w:val="20"/>
                <w:color w:val="auto"/>
              </w:rPr>
            </w:pPr>
            <w:r>
              <w:rPr>
                <w:rFonts w:ascii="Arial" w:cs="Arial" w:eastAsia="Arial" w:hAnsi="Arial"/>
                <w:sz w:val="18"/>
                <w:szCs w:val="18"/>
                <w:color w:val="auto"/>
                <w:w w:val="94"/>
              </w:rPr>
              <w:t>Assuming the distribution, together with certain related transactions, qualifies as a tax-free</w:t>
            </w:r>
          </w:p>
        </w:tc>
      </w:tr>
      <w:tr>
        <w:trPr>
          <w:trHeight w:val="216"/>
        </w:trPr>
        <w:tc>
          <w:tcPr>
            <w:tcW w:w="396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transaction for U.S. federal income tax purposes under Section 368(a)(1)(D) and</w:t>
            </w:r>
          </w:p>
        </w:tc>
      </w:tr>
      <w:tr>
        <w:trPr>
          <w:trHeight w:val="216"/>
        </w:trPr>
        <w:tc>
          <w:tcPr>
            <w:tcW w:w="396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6"/>
              </w:rPr>
              <w:t>Section 355 of the Code, no gain or loss will be recognized by DowDuPont stockholders,</w:t>
            </w:r>
          </w:p>
        </w:tc>
      </w:tr>
      <w:tr>
        <w:trPr>
          <w:trHeight w:val="216"/>
        </w:trPr>
        <w:tc>
          <w:tcPr>
            <w:tcW w:w="396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and no amount will be included in the income of a DowDuPont stockholder, upon the</w:t>
            </w:r>
          </w:p>
        </w:tc>
      </w:tr>
      <w:tr>
        <w:trPr>
          <w:trHeight w:val="216"/>
        </w:trPr>
        <w:tc>
          <w:tcPr>
            <w:tcW w:w="396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4"/>
              </w:rPr>
              <w:t>receipt of shares of Corteva common stock pursuant to the distribution. However, any cash</w:t>
            </w:r>
          </w:p>
        </w:tc>
      </w:tr>
      <w:tr>
        <w:trPr>
          <w:trHeight w:val="216"/>
        </w:trPr>
        <w:tc>
          <w:tcPr>
            <w:tcW w:w="396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4"/>
              </w:rPr>
              <w:t>payments made in lieu of fractional shares will generally be taxable to the stockholder. For</w:t>
            </w:r>
          </w:p>
        </w:tc>
      </w:tr>
      <w:tr>
        <w:trPr>
          <w:trHeight w:val="216"/>
        </w:trPr>
        <w:tc>
          <w:tcPr>
            <w:tcW w:w="3960" w:type="dxa"/>
            <w:vAlign w:val="bottom"/>
          </w:tcPr>
          <w:p>
            <w:pPr>
              <w:spacing w:after="0"/>
              <w:rPr>
                <w:sz w:val="18"/>
                <w:szCs w:val="18"/>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w w:val="98"/>
              </w:rPr>
              <w:t>a more detailed description, see the section entitled “Material U.S. Federal Income Tax</w:t>
            </w:r>
          </w:p>
        </w:tc>
      </w:tr>
      <w:tr>
        <w:trPr>
          <w:trHeight w:val="230"/>
        </w:trPr>
        <w:tc>
          <w:tcPr>
            <w:tcW w:w="3960" w:type="dxa"/>
            <w:vAlign w:val="bottom"/>
          </w:tcPr>
          <w:p>
            <w:pPr>
              <w:spacing w:after="0"/>
              <w:rPr>
                <w:sz w:val="20"/>
                <w:szCs w:val="20"/>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Consequences of the Distribution.”</w:t>
            </w:r>
          </w:p>
        </w:tc>
      </w:tr>
      <w:tr>
        <w:trPr>
          <w:trHeight w:val="445"/>
        </w:trPr>
        <w:tc>
          <w:tcPr>
            <w:tcW w:w="396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4"/>
              </w:rPr>
              <w:t>Certain agreements with DowDuPont and Dow</w:t>
            </w:r>
          </w:p>
        </w:tc>
        <w:tc>
          <w:tcPr>
            <w:tcW w:w="7080" w:type="dxa"/>
            <w:vAlign w:val="bottom"/>
          </w:tcPr>
          <w:p>
            <w:pPr>
              <w:ind w:left="260"/>
              <w:spacing w:after="0"/>
              <w:rPr>
                <w:sz w:val="20"/>
                <w:szCs w:val="20"/>
                <w:color w:val="auto"/>
              </w:rPr>
            </w:pPr>
            <w:r>
              <w:rPr>
                <w:rFonts w:ascii="Arial" w:cs="Arial" w:eastAsia="Arial" w:hAnsi="Arial"/>
                <w:sz w:val="18"/>
                <w:szCs w:val="18"/>
                <w:color w:val="auto"/>
                <w:w w:val="95"/>
              </w:rPr>
              <w:t>Substantially simultaneously with the distribution of Dow on April 1, 2019, we entered into</w:t>
            </w:r>
          </w:p>
        </w:tc>
      </w:tr>
      <w:tr>
        <w:trPr>
          <w:trHeight w:val="230"/>
        </w:trPr>
        <w:tc>
          <w:tcPr>
            <w:tcW w:w="3960" w:type="dxa"/>
            <w:vAlign w:val="bottom"/>
          </w:tcPr>
          <w:p>
            <w:pPr>
              <w:spacing w:after="0"/>
              <w:rPr>
                <w:sz w:val="20"/>
                <w:szCs w:val="20"/>
                <w:color w:val="auto"/>
              </w:rPr>
            </w:pPr>
          </w:p>
        </w:tc>
        <w:tc>
          <w:tcPr>
            <w:tcW w:w="7080" w:type="dxa"/>
            <w:vAlign w:val="bottom"/>
          </w:tcPr>
          <w:p>
            <w:pPr>
              <w:ind w:left="260"/>
              <w:spacing w:after="0"/>
              <w:rPr>
                <w:sz w:val="20"/>
                <w:szCs w:val="20"/>
                <w:color w:val="auto"/>
              </w:rPr>
            </w:pPr>
            <w:r>
              <w:rPr>
                <w:rFonts w:ascii="Arial" w:cs="Arial" w:eastAsia="Arial" w:hAnsi="Arial"/>
                <w:sz w:val="18"/>
                <w:szCs w:val="18"/>
                <w:color w:val="auto"/>
              </w:rPr>
              <w:t>the separation agreement with DowDuPont</w:t>
            </w:r>
          </w:p>
        </w:tc>
      </w:tr>
      <w:tr>
        <w:trPr>
          <w:trHeight w:val="240"/>
        </w:trPr>
        <w:tc>
          <w:tcPr>
            <w:tcW w:w="3960" w:type="dxa"/>
            <w:vAlign w:val="bottom"/>
            <w:tcBorders>
              <w:bottom w:val="single" w:sz="8" w:color="auto"/>
            </w:tcBorders>
          </w:tcPr>
          <w:p>
            <w:pPr>
              <w:spacing w:after="0"/>
              <w:rPr>
                <w:sz w:val="20"/>
                <w:szCs w:val="20"/>
                <w:color w:val="auto"/>
              </w:rPr>
            </w:pPr>
          </w:p>
        </w:tc>
        <w:tc>
          <w:tcPr>
            <w:tcW w:w="7080" w:type="dxa"/>
            <w:vAlign w:val="bottom"/>
            <w:tcBorders>
              <w:bottom w:val="single" w:sz="8" w:color="auto"/>
            </w:tcBorders>
          </w:tcPr>
          <w:p>
            <w:pPr>
              <w:spacing w:after="0"/>
              <w:rPr>
                <w:sz w:val="20"/>
                <w:szCs w:val="20"/>
                <w:color w:val="auto"/>
              </w:rPr>
            </w:pPr>
          </w:p>
        </w:tc>
      </w:tr>
      <w:tr>
        <w:trPr>
          <w:trHeight w:val="604"/>
        </w:trPr>
        <w:tc>
          <w:tcPr>
            <w:tcW w:w="3960" w:type="dxa"/>
            <w:vAlign w:val="bottom"/>
          </w:tcPr>
          <w:p>
            <w:pPr>
              <w:spacing w:after="0"/>
              <w:rPr>
                <w:sz w:val="24"/>
                <w:szCs w:val="24"/>
                <w:color w:val="auto"/>
              </w:rPr>
            </w:pPr>
          </w:p>
        </w:tc>
        <w:tc>
          <w:tcPr>
            <w:tcW w:w="7080" w:type="dxa"/>
            <w:vAlign w:val="bottom"/>
          </w:tcPr>
          <w:p>
            <w:pPr>
              <w:ind w:left="14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240" w:top="460" w:right="41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079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002145" cy="2079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20"/>
        <w:spacing w:after="0" w:line="286" w:lineRule="auto"/>
        <w:rPr>
          <w:sz w:val="20"/>
          <w:szCs w:val="20"/>
          <w:color w:val="auto"/>
        </w:rPr>
      </w:pPr>
      <w:r>
        <w:rPr>
          <w:rFonts w:ascii="Arial" w:cs="Arial" w:eastAsia="Arial" w:hAnsi="Arial"/>
          <w:sz w:val="16"/>
          <w:szCs w:val="16"/>
          <w:color w:val="auto"/>
        </w:rPr>
        <w:t>(which will, after the separation of Corteva, become New DuPont) and Dow to effect the separation and distribution and provide a framework for our relationship with New DuPont and Dow after the separation and distribution. We also have entered and will enter into various other agreements with DowDuPont and Dow, including a tax matters agreement, an employee matters agreement, intellectual property cross-license agreements, trademark license agreements and certain other intellectual property, services, supply and real-estate agreements. These agreements provide, among other things, for the allocation among us, New DuPont and Dow of the assets, liabilities and obligations of DowDuPont (including its investments, property and employee benefits and tax-related assets and liabilities) attributable to periods prior to, at and after Dow’s and our respective separations from DowDuPont and will govern certain relationships among us, New DuPont and Dow. For a discussion of these arrangements, see the section entitled “Our Relationship with New DuPont and Dow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240" w:top="459" w:right="6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23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002145" cy="5723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2040"/>
        <w:spacing w:after="0"/>
        <w:rPr>
          <w:sz w:val="20"/>
          <w:szCs w:val="20"/>
          <w:color w:val="auto"/>
        </w:rPr>
      </w:pPr>
      <w:r>
        <w:rPr>
          <w:rFonts w:ascii="Arial" w:cs="Arial" w:eastAsia="Arial" w:hAnsi="Arial"/>
          <w:sz w:val="18"/>
          <w:szCs w:val="18"/>
          <w:b w:val="1"/>
          <w:bCs w:val="1"/>
          <w:color w:val="auto"/>
        </w:rPr>
        <w:t>QUESTIONS AND ANSWERS ABOUT THE SEPARATION AND DISTRIBUTION</w:t>
      </w:r>
    </w:p>
    <w:p>
      <w:pPr>
        <w:sectPr>
          <w:pgSz w:w="11900" w:h="16838" w:orient="portrait"/>
          <w:cols w:equalWidth="0" w:num="1">
            <w:col w:w="11020"/>
          </w:cols>
          <w:pgMar w:left="240" w:top="459" w:right="639" w:bottom="1440" w:gutter="0" w:footer="0" w:header="0"/>
        </w:sectPr>
      </w:pPr>
    </w:p>
    <w:p>
      <w:pPr>
        <w:spacing w:after="0" w:line="256" w:lineRule="exact"/>
        <w:rPr>
          <w:sz w:val="20"/>
          <w:szCs w:val="20"/>
          <w:color w:val="auto"/>
        </w:rPr>
      </w:pPr>
    </w:p>
    <w:p>
      <w:pPr>
        <w:ind w:left="460" w:hanging="78"/>
        <w:spacing w:after="0" w:line="264" w:lineRule="auto"/>
        <w:rPr>
          <w:sz w:val="20"/>
          <w:szCs w:val="20"/>
          <w:color w:val="auto"/>
        </w:rPr>
      </w:pPr>
      <w:r>
        <w:rPr>
          <w:rFonts w:ascii="Arial" w:cs="Arial" w:eastAsia="Arial" w:hAnsi="Arial"/>
          <w:sz w:val="18"/>
          <w:szCs w:val="18"/>
          <w:b w:val="1"/>
          <w:bCs w:val="1"/>
          <w:i w:val="1"/>
          <w:iCs w:val="1"/>
          <w:color w:val="auto"/>
        </w:rPr>
        <w:t>What is Corteva and why is DowDuPont separating its agriculture business and distributing Corteva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Prior to the completion of the Merger on August 31, 2017, each of Historical DuPont and Historical Dow was a standalone, publicly traded company. Historical DuPont operated a global business that included agriculture, electronics and communications, industrial biosciences, nutrition and health, performance materials and protection solutions segments. Historical Dow operated a global business that included agriculture sciences, consumer solutions, infrastructure solutions, performance materials and chemicals and performance plastics segments.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Merger, each of Historical DuPont and Historical Dow became a subsidiary of DowDuPont. In connection with their entry into the merger agreement, Historical DuPont and Historical Dow announced their intention to pursue the separation of DowDuPont into three independent, publicly traded companies—one for each of the combined company’s agriculture, materials science and specialty products businesses, subject to the approval of the DowDuPont board of directors and any required regulatory approvals.</w:t>
      </w:r>
    </w:p>
    <w:p>
      <w:pPr>
        <w:spacing w:after="0" w:line="2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separation of DowDuPont’s agriculture business, Corteva, is the second step in this process and was preceded by the distribution of Dow, DowDuPont’s materials science business. In connection with the separation of DowDuPont’s businesses, DowDuPont has completed the Internal Reorganization and will continue to undertake the Business Realignment, such that, at the time of distribution, Corteva will hold, directly or indirectly, DowDuPont’s agriculture business. Corteva Parent is a newly formed holding company for Corteva and the separation will be effected by way of a pro rata dividend of Corteva common stock to DowDuPont stockholders. Following the separation and distribution, Corteva will be a separate company, and the remaining company will not retain any ownership interest in Corteva.</w:t>
      </w:r>
    </w:p>
    <w:p>
      <w:pPr>
        <w:spacing w:after="0" w:line="2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separations of Dow and us from DowDuPont and the distributions of Dow common stock and Corteva common stock are each intended to provide DowDuPont stockholders with equity investments in separate companies that will be able to focus their respective businesses, with Corteva being a leading, pure-play agriculture company. The separations are expected to enhance the long-term performance of each business for the reasons discussed in the sections entitled “The Distribution—Background of the Distribution” and “The Distribution—Reasons for the Separation and Distribution.”</w:t>
      </w:r>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making this document available to you because you are a DowDuPont stockholder as of the close of business on May 24,</w:t>
      </w:r>
    </w:p>
    <w:p>
      <w:pPr>
        <w:spacing w:after="0" w:line="200" w:lineRule="exact"/>
        <w:rPr>
          <w:sz w:val="20"/>
          <w:szCs w:val="20"/>
          <w:color w:val="auto"/>
        </w:rPr>
      </w:pPr>
    </w:p>
    <w:p>
      <w:pPr>
        <w:sectPr>
          <w:pgSz w:w="11900" w:h="16838" w:orient="portrait"/>
          <w:cols w:equalWidth="0" w:num="2">
            <w:col w:w="4200" w:space="220"/>
            <w:col w:w="6600"/>
          </w:cols>
          <w:pgMar w:left="240" w:top="459" w:right="6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20"/>
          </w:cols>
          <w:pgMar w:left="240" w:top="459" w:right="639" w:bottom="1440" w:gutter="0" w:footer="0" w:header="0"/>
          <w:type w:val="continuous"/>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6381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What are the reasons for the separation?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2019, the record date for the distribution. As a DowDuPont stockholder as of the record date, you are entitled to receive one share of Corteva common stock for every three shares of DowDuPont common stock that you hold at the close of business on such date. This document will help you understand how the separation and distribution will affect your investment in DowDuPont and your investment in Corteva after the separation.</w:t>
      </w:r>
    </w:p>
    <w:p>
      <w:pPr>
        <w:spacing w:after="0" w:line="19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DowDuPont board of directors believes that the separation of DowDuPont into three, independent, publicly traded companies through the separation of DowDuPont’s agriculture, materials science and specialty products businesses is in the best interests of DowDuPont and its stockholders and is the best available opportunity to unlock the value of DowDuPont’s business.</w:t>
      </w:r>
    </w:p>
    <w:p>
      <w:pPr>
        <w:spacing w:after="0" w:line="21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DowDuPont board of directors, in consultation with its advisory committees (as described in the section entitled “The Distribution—Background of the Distribution”), considered a wide variety of factors in evaluating the separation and distribution of Dow and the planned separation and distribution of Corteva and in deciding to proceed with the distributions, including the risk that one or more of the distributions is abandoned and not completed. Among other things, the DowDuPont board of directors and its advisory committees considered the following potential benefits of the separations and distributions:</w:t>
      </w:r>
    </w:p>
    <w:p>
      <w:pPr>
        <w:spacing w:after="0" w:line="73" w:lineRule="exact"/>
        <w:rPr>
          <w:sz w:val="20"/>
          <w:szCs w:val="20"/>
          <w:color w:val="auto"/>
        </w:rPr>
      </w:pPr>
    </w:p>
    <w:p>
      <w:pPr>
        <w:ind w:left="400" w:right="80" w:hanging="148"/>
        <w:spacing w:after="0" w:line="276" w:lineRule="auto"/>
        <w:tabs>
          <w:tab w:leader="none" w:pos="400" w:val="left"/>
        </w:tabs>
        <w:numPr>
          <w:ilvl w:val="0"/>
          <w:numId w:val="158"/>
        </w:numPr>
        <w:rPr>
          <w:rFonts w:ascii="Arial" w:cs="Arial" w:eastAsia="Arial" w:hAnsi="Arial"/>
          <w:sz w:val="17"/>
          <w:szCs w:val="17"/>
          <w:color w:val="auto"/>
        </w:rPr>
      </w:pPr>
      <w:r>
        <w:rPr>
          <w:rFonts w:ascii="Arial" w:cs="Arial" w:eastAsia="Arial" w:hAnsi="Arial"/>
          <w:sz w:val="17"/>
          <w:szCs w:val="17"/>
          <w:i w:val="1"/>
          <w:iCs w:val="1"/>
          <w:color w:val="auto"/>
        </w:rPr>
        <w:t>Attractive Investment Profile</w:t>
      </w:r>
      <w:r>
        <w:rPr>
          <w:rFonts w:ascii="Arial" w:cs="Arial" w:eastAsia="Arial" w:hAnsi="Arial"/>
          <w:sz w:val="17"/>
          <w:szCs w:val="17"/>
          <w:color w:val="auto"/>
        </w:rPr>
        <w:t>. The creation of separate companies with strong,</w:t>
      </w:r>
      <w:r>
        <w:rPr>
          <w:rFonts w:ascii="Arial" w:cs="Arial" w:eastAsia="Arial" w:hAnsi="Arial"/>
          <w:sz w:val="17"/>
          <w:szCs w:val="17"/>
          <w:i w:val="1"/>
          <w:iCs w:val="1"/>
          <w:color w:val="auto"/>
        </w:rPr>
        <w:t xml:space="preserve"> </w:t>
      </w:r>
      <w:r>
        <w:rPr>
          <w:rFonts w:ascii="Arial" w:cs="Arial" w:eastAsia="Arial" w:hAnsi="Arial"/>
          <w:sz w:val="17"/>
          <w:szCs w:val="17"/>
          <w:color w:val="auto"/>
        </w:rPr>
        <w:t>focused businesses and each with a distinct financial profile and clear investment thesis is expected to drive significant long-term value for all stockholders and reduce the complexities surrounding investor understanding, enabling investors to invest in each company separately based on its distinct characteristics.</w:t>
      </w:r>
    </w:p>
    <w:p>
      <w:pPr>
        <w:spacing w:after="0" w:line="77" w:lineRule="exact"/>
        <w:rPr>
          <w:rFonts w:ascii="Arial" w:cs="Arial" w:eastAsia="Arial" w:hAnsi="Arial"/>
          <w:sz w:val="17"/>
          <w:szCs w:val="17"/>
          <w:color w:val="auto"/>
        </w:rPr>
      </w:pPr>
    </w:p>
    <w:p>
      <w:pPr>
        <w:ind w:left="400" w:right="60" w:hanging="148"/>
        <w:spacing w:after="0" w:line="255" w:lineRule="auto"/>
        <w:tabs>
          <w:tab w:leader="none" w:pos="40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Enhanced Means to Evaluate Financial Performance</w:t>
      </w:r>
      <w:r>
        <w:rPr>
          <w:rFonts w:ascii="Arial" w:cs="Arial" w:eastAsia="Arial" w:hAnsi="Arial"/>
          <w:sz w:val="18"/>
          <w:szCs w:val="18"/>
          <w:color w:val="auto"/>
        </w:rPr>
        <w:t>. Investors should be better able</w:t>
      </w:r>
      <w:r>
        <w:rPr>
          <w:rFonts w:ascii="Arial" w:cs="Arial" w:eastAsia="Arial" w:hAnsi="Arial"/>
          <w:sz w:val="18"/>
          <w:szCs w:val="18"/>
          <w:i w:val="1"/>
          <w:iCs w:val="1"/>
          <w:color w:val="auto"/>
        </w:rPr>
        <w:t xml:space="preserve"> </w:t>
      </w:r>
      <w:r>
        <w:rPr>
          <w:rFonts w:ascii="Arial" w:cs="Arial" w:eastAsia="Arial" w:hAnsi="Arial"/>
          <w:sz w:val="18"/>
          <w:szCs w:val="18"/>
          <w:color w:val="auto"/>
        </w:rPr>
        <w:t>to evaluate the business condition, strategy and financial performance of each company within the context of its industry and markets. It is believed that, over time following the completion of the separations, the aggregate market value of Corteva, Dow and New DuPont will be higher, on a fully distributed basis and assuming the same market conditions, than if DowDuPont were to remain under its current configuration.</w:t>
      </w:r>
    </w:p>
    <w:p>
      <w:pPr>
        <w:spacing w:after="0" w:line="94" w:lineRule="exact"/>
        <w:rPr>
          <w:rFonts w:ascii="Arial" w:cs="Arial" w:eastAsia="Arial" w:hAnsi="Arial"/>
          <w:sz w:val="18"/>
          <w:szCs w:val="18"/>
          <w:color w:val="auto"/>
        </w:rPr>
      </w:pPr>
    </w:p>
    <w:p>
      <w:pPr>
        <w:ind w:left="400" w:hanging="148"/>
        <w:spacing w:after="0" w:line="293" w:lineRule="auto"/>
        <w:tabs>
          <w:tab w:leader="none" w:pos="400"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Distinct Position</w:t>
      </w:r>
      <w:r>
        <w:rPr>
          <w:rFonts w:ascii="Arial" w:cs="Arial" w:eastAsia="Arial" w:hAnsi="Arial"/>
          <w:sz w:val="16"/>
          <w:szCs w:val="16"/>
          <w:color w:val="auto"/>
        </w:rPr>
        <w:t>. The separations are expected to create three independent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with tailored growth strategies and differentiated technologies, resulting in: Corteva, a leading global agricultural company with one of the most comprehensive and diverse portfolios in the industry; Dow, a leading global materials science company that will be a low-cost, innovation-driven leader; and New DuPont, a leading global specialty products company that will be a technology driven innovation</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20"/>
          </w:cols>
          <w:pgMar w:left="240" w:top="459" w:right="63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042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002145" cy="59042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40" w:right="240"/>
        <w:spacing w:after="0" w:line="259" w:lineRule="auto"/>
        <w:rPr>
          <w:sz w:val="20"/>
          <w:szCs w:val="20"/>
          <w:color w:val="auto"/>
        </w:rPr>
      </w:pPr>
      <w:r>
        <w:rPr>
          <w:rFonts w:ascii="Arial" w:cs="Arial" w:eastAsia="Arial" w:hAnsi="Arial"/>
          <w:sz w:val="18"/>
          <w:szCs w:val="18"/>
          <w:color w:val="auto"/>
        </w:rPr>
        <w:t>leader. Each company will provide investors with a distinct investment option that may be more attractive to current investors and will allow the company to attract different investors than the current investment option available to DowDuPont stockholders of one combined company.</w:t>
      </w:r>
    </w:p>
    <w:p>
      <w:pPr>
        <w:spacing w:after="0" w:line="92" w:lineRule="exact"/>
        <w:rPr>
          <w:sz w:val="20"/>
          <w:szCs w:val="20"/>
          <w:color w:val="auto"/>
        </w:rPr>
      </w:pPr>
    </w:p>
    <w:p>
      <w:pPr>
        <w:ind w:left="4820" w:hanging="148"/>
        <w:spacing w:after="0" w:line="273" w:lineRule="auto"/>
        <w:tabs>
          <w:tab w:leader="none" w:pos="4820"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Focused Capital Allocation</w:t>
      </w:r>
      <w:r>
        <w:rPr>
          <w:rFonts w:ascii="Arial" w:cs="Arial" w:eastAsia="Arial" w:hAnsi="Arial"/>
          <w:sz w:val="17"/>
          <w:szCs w:val="17"/>
          <w:color w:val="auto"/>
        </w:rPr>
        <w:t>. Each independent, publicly traded company will have a</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structure that is expected to be best suited to its specific needs and will be able to make capital allocation decisions that better align with its streamlined business. In addition, after the separations, the respective businesses within each company will no longer need to compete internally for capital and other corporate resources with businesses allocated to another company.</w:t>
      </w:r>
    </w:p>
    <w:p>
      <w:pPr>
        <w:spacing w:after="0" w:line="83" w:lineRule="exact"/>
        <w:rPr>
          <w:rFonts w:ascii="Arial" w:cs="Arial" w:eastAsia="Arial" w:hAnsi="Arial"/>
          <w:sz w:val="17"/>
          <w:szCs w:val="17"/>
          <w:color w:val="auto"/>
        </w:rPr>
      </w:pPr>
    </w:p>
    <w:p>
      <w:pPr>
        <w:ind w:left="4820" w:right="240" w:hanging="148"/>
        <w:spacing w:after="0" w:line="259" w:lineRule="auto"/>
        <w:tabs>
          <w:tab w:leader="none" w:pos="482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Ability to Adapt to Industry Changes</w:t>
      </w:r>
      <w:r>
        <w:rPr>
          <w:rFonts w:ascii="Arial" w:cs="Arial" w:eastAsia="Arial" w:hAnsi="Arial"/>
          <w:sz w:val="18"/>
          <w:szCs w:val="18"/>
          <w:color w:val="auto"/>
        </w:rPr>
        <w:t>. Each company is expected to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sharper focus on its core business and growth opportunities, which will allow each company to respond better and more quickly to developments in its industry.</w:t>
      </w:r>
    </w:p>
    <w:p>
      <w:pPr>
        <w:spacing w:after="0" w:line="92" w:lineRule="exact"/>
        <w:rPr>
          <w:rFonts w:ascii="Arial" w:cs="Arial" w:eastAsia="Arial" w:hAnsi="Arial"/>
          <w:sz w:val="18"/>
          <w:szCs w:val="18"/>
          <w:color w:val="auto"/>
        </w:rPr>
      </w:pPr>
    </w:p>
    <w:p>
      <w:pPr>
        <w:ind w:left="4820" w:right="100" w:hanging="148"/>
        <w:spacing w:after="0" w:line="279" w:lineRule="auto"/>
        <w:tabs>
          <w:tab w:leader="none" w:pos="4820"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Dedicated Management Team with Enhanced Strategic Focus</w:t>
      </w:r>
      <w:r>
        <w:rPr>
          <w:rFonts w:ascii="Arial" w:cs="Arial" w:eastAsia="Arial" w:hAnsi="Arial"/>
          <w:sz w:val="17"/>
          <w:szCs w:val="17"/>
          <w:color w:val="auto"/>
        </w:rPr>
        <w:t>. Each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team will be able to design and implement corporate policies and strategies that are tailored to such company’s specific business characteristics and to focus on maximizing the value of its business.</w:t>
      </w:r>
    </w:p>
    <w:p>
      <w:pPr>
        <w:spacing w:after="0" w:line="76" w:lineRule="exact"/>
        <w:rPr>
          <w:rFonts w:ascii="Arial" w:cs="Arial" w:eastAsia="Arial" w:hAnsi="Arial"/>
          <w:sz w:val="17"/>
          <w:szCs w:val="17"/>
          <w:color w:val="auto"/>
        </w:rPr>
      </w:pPr>
    </w:p>
    <w:p>
      <w:pPr>
        <w:ind w:left="4820" w:hanging="148"/>
        <w:spacing w:after="0" w:line="290" w:lineRule="auto"/>
        <w:tabs>
          <w:tab w:leader="none" w:pos="4820"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Improved Management Incentive Tools</w:t>
      </w:r>
      <w:r>
        <w:rPr>
          <w:rFonts w:ascii="Arial" w:cs="Arial" w:eastAsia="Arial" w:hAnsi="Arial"/>
          <w:sz w:val="16"/>
          <w:szCs w:val="16"/>
          <w:color w:val="auto"/>
        </w:rPr>
        <w:t>. The separation will permit the creation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equity securities, including options and restricted stock units, for each publicly traded company with values more closely linked to the performance of such company’s business than would be readily available under the current configuration of businesses within DowDuPont as a single public company. The DowDuPont board of directors believes such equity-based compensation arrangements should provide enhanced incentives for performance and improve the ability for each publicly traded company to attract, retain and motivate qualified personnel.</w:t>
      </w:r>
    </w:p>
    <w:p>
      <w:pPr>
        <w:spacing w:after="0" w:line="71" w:lineRule="exact"/>
        <w:rPr>
          <w:rFonts w:ascii="Arial" w:cs="Arial" w:eastAsia="Arial" w:hAnsi="Arial"/>
          <w:sz w:val="16"/>
          <w:szCs w:val="16"/>
          <w:color w:val="auto"/>
        </w:rPr>
      </w:pPr>
    </w:p>
    <w:p>
      <w:pPr>
        <w:ind w:left="4820" w:hanging="148"/>
        <w:spacing w:after="0" w:line="276" w:lineRule="auto"/>
        <w:tabs>
          <w:tab w:leader="none" w:pos="4820"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Direct Access to Capital Markets and Ability to Pursue Strategic Opportunities</w:t>
      </w:r>
      <w:r>
        <w:rPr>
          <w:rFonts w:ascii="Arial" w:cs="Arial" w:eastAsia="Arial" w:hAnsi="Arial"/>
          <w:sz w:val="17"/>
          <w:szCs w:val="17"/>
          <w:color w:val="auto"/>
        </w:rPr>
        <w:t>. Each</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business will have direct access to the capital markets, and is expected to be better situated to pursue future acquisitions, joint ventures and other strategic opportunities as well as internal expansion that is more closely aligned with such company’s strategic goals and expected growth opportunities.</w:t>
      </w:r>
    </w:p>
    <w:p>
      <w:pPr>
        <w:spacing w:after="0" w:line="200" w:lineRule="exact"/>
        <w:rPr>
          <w:sz w:val="20"/>
          <w:szCs w:val="20"/>
          <w:color w:val="auto"/>
        </w:rPr>
      </w:pPr>
    </w:p>
    <w:p>
      <w:pPr>
        <w:ind w:left="4420" w:right="60"/>
        <w:spacing w:after="0" w:line="255" w:lineRule="auto"/>
        <w:rPr>
          <w:sz w:val="20"/>
          <w:szCs w:val="20"/>
          <w:color w:val="auto"/>
        </w:rPr>
      </w:pPr>
      <w:r>
        <w:rPr>
          <w:rFonts w:ascii="Arial" w:cs="Arial" w:eastAsia="Arial" w:hAnsi="Arial"/>
          <w:sz w:val="18"/>
          <w:szCs w:val="18"/>
          <w:color w:val="auto"/>
        </w:rPr>
        <w:t>The DowDuPont board of directors also considered a number of potentially negative factors, including the loss of synergies and joint purchasing power from ceasing to operate as part of a larger, more diversified company, risks relating to the creation of a new public company, such as increased costs from operating as a separate public company, potential disruptions to the businesses and loss or dilution of brand identities, possible increased administrative costs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240" w:top="460" w:right="65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4413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002145" cy="5441315"/>
                    </a:xfrm>
                    <a:prstGeom prst="rect">
                      <a:avLst/>
                    </a:prstGeom>
                    <a:noFill/>
                  </pic:spPr>
                </pic:pic>
              </a:graphicData>
            </a:graphic>
          </wp:anchor>
        </w:drawing>
      </w:r>
    </w:p>
    <w:p>
      <w:pPr>
        <w:sectPr>
          <w:pgSz w:w="11900" w:h="16838" w:orient="portrait"/>
          <w:cols w:equalWidth="0" w:num="1">
            <w:col w:w="11020"/>
          </w:cols>
          <w:pgMar w:left="240" w:top="46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 w:hanging="78"/>
        <w:spacing w:after="0" w:line="277" w:lineRule="auto"/>
        <w:rPr>
          <w:sz w:val="20"/>
          <w:szCs w:val="20"/>
          <w:color w:val="auto"/>
        </w:rPr>
      </w:pPr>
      <w:r>
        <w:rPr>
          <w:rFonts w:ascii="Arial" w:cs="Arial" w:eastAsia="Arial" w:hAnsi="Arial"/>
          <w:sz w:val="18"/>
          <w:szCs w:val="18"/>
          <w:b w:val="1"/>
          <w:bCs w:val="1"/>
          <w:i w:val="1"/>
          <w:iCs w:val="1"/>
          <w:color w:val="auto"/>
        </w:rPr>
        <w:t>Why is the separation of Corteva structured as a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right="540" w:hanging="78"/>
        <w:spacing w:after="0" w:line="277" w:lineRule="auto"/>
        <w:rPr>
          <w:sz w:val="20"/>
          <w:szCs w:val="20"/>
          <w:color w:val="auto"/>
        </w:rPr>
      </w:pPr>
      <w:r>
        <w:rPr>
          <w:rFonts w:ascii="Arial" w:cs="Arial" w:eastAsia="Arial" w:hAnsi="Arial"/>
          <w:sz w:val="18"/>
          <w:szCs w:val="18"/>
          <w:b w:val="1"/>
          <w:bCs w:val="1"/>
          <w:i w:val="1"/>
          <w:iCs w:val="1"/>
          <w:color w:val="auto"/>
        </w:rPr>
        <w:t>What do I have to do to participate in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one-time separation costs, restrictions on each company’s ability to pursue certain opportunities that may have otherwise been available in order to preserve the tax-free nature of the distributions and related transactions for U.S. federal income tax purposes, the fact that each company will be less diversified than the current configuration of DowDuPont’s businesses prior to the separations and distributions, and the potential inability to realize the anticipated benefits of the separations.</w:t>
      </w:r>
    </w:p>
    <w:p>
      <w:pPr>
        <w:spacing w:after="0" w:line="21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 DowDuPont board of directors concluded that the potential benefits of pursuing each separation and each distribution outweighed the potentially negative factors in connection therewith. For more information, see the sections entitled “The Distribution—Reasons for the Separation and Distribution” and “Risk Factors.”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DowDuPont board of directors also considered these potential benefits and potentially negative factors in light of the risk that one or more of the distributions is abandoned or otherwise not completed, resulting in DowDuPont separating into fewer than the intended three separate publicly traded companies. The DowDuPont board of directors believes that the potential benefits to DowDuPont stockholders discussed above apply to the separation of each of the intended three businesses and that the creation of each independent company, with its distinctive business and capital structure and ability to focus on its specific growth plan, will provide DowDuPont stockholders with greater long-term value than retaining one investment in the combined company.</w:t>
      </w:r>
    </w:p>
    <w:p>
      <w:pPr>
        <w:spacing w:after="0" w:line="1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DowDuPont currently believes the separation by way of distribution is the most efficient way to separate its agriculture business from DowDuPont for various reasons, including that a separation will (i) offer a high degree of certainty of completion in a timely manner, lessening disruption to current business operations; (ii) provide a high degree of assurance that decisions regarding Corteva’s capital structure will align with its business objectives and provide the continued financial flexibility and financial stability to support its long-term growth and generate stockholder returns; and (iii) generally be a tax-free distribution of shares of Corteva common stock to DowDuPont stockholders for U.S. federal income tax purposes (except for any cash received in lieu of fractional shares). DowDuPont believes that a tax-free separation will enhance the value of both DowDuPont and Corteva. See the section entitled “The Distribution—Reasons for the Separation and Distribution.”</w:t>
      </w:r>
    </w:p>
    <w:p>
      <w:pPr>
        <w:spacing w:after="0" w:line="196"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 xml:space="preserve">You are not required to take any action to receive your Corteva common stock, although you are urged to read this entire document carefully. </w:t>
      </w:r>
      <w:r>
        <w:rPr>
          <w:rFonts w:ascii="Arial" w:cs="Arial" w:eastAsia="Arial" w:hAnsi="Arial"/>
          <w:sz w:val="16"/>
          <w:szCs w:val="16"/>
          <w:color w:val="auto"/>
        </w:rPr>
        <w:t>No approval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by DowDuPont stockholders is required and DowDuPont is not seeking your</w:t>
      </w:r>
    </w:p>
    <w:p>
      <w:pPr>
        <w:spacing w:after="0" w:line="200" w:lineRule="exact"/>
        <w:rPr>
          <w:sz w:val="20"/>
          <w:szCs w:val="20"/>
          <w:color w:val="auto"/>
        </w:rPr>
      </w:pPr>
    </w:p>
    <w:p>
      <w:pPr>
        <w:sectPr>
          <w:pgSz w:w="11900" w:h="16838" w:orient="portrait"/>
          <w:cols w:equalWidth="0" w:num="2">
            <w:col w:w="3960" w:space="460"/>
            <w:col w:w="6600"/>
          </w:cols>
          <w:pgMar w:left="240" w:top="460" w:right="639" w:bottom="1440" w:gutter="0" w:footer="0" w:header="0"/>
          <w:type w:val="continuous"/>
        </w:sectPr>
      </w:pPr>
    </w:p>
    <w:p>
      <w:pPr>
        <w:spacing w:after="0" w:line="378"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20"/>
          </w:cols>
          <w:pgMar w:left="240" w:top="460" w:right="63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49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002145" cy="57499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20" w:right="20"/>
        <w:spacing w:after="0" w:line="255" w:lineRule="auto"/>
        <w:rPr>
          <w:sz w:val="20"/>
          <w:szCs w:val="20"/>
          <w:color w:val="auto"/>
        </w:rPr>
      </w:pPr>
      <w:r>
        <w:rPr>
          <w:rFonts w:ascii="Arial" w:cs="Arial" w:eastAsia="Arial" w:hAnsi="Arial"/>
          <w:sz w:val="18"/>
          <w:szCs w:val="18"/>
          <w:color w:val="auto"/>
        </w:rPr>
        <w:t xml:space="preserve">approval. </w:t>
      </w:r>
      <w:r>
        <w:rPr>
          <w:rFonts w:ascii="Arial" w:cs="Arial" w:eastAsia="Arial" w:hAnsi="Arial"/>
          <w:sz w:val="18"/>
          <w:szCs w:val="18"/>
          <w:b w:val="1"/>
          <w:bCs w:val="1"/>
          <w:color w:val="auto"/>
        </w:rPr>
        <w:t>Therefore, Corteva is not asking you for a proxy to vote on the separation or</w:t>
      </w:r>
      <w:r>
        <w:rPr>
          <w:rFonts w:ascii="Arial" w:cs="Arial" w:eastAsia="Arial" w:hAnsi="Arial"/>
          <w:sz w:val="18"/>
          <w:szCs w:val="18"/>
          <w:color w:val="auto"/>
        </w:rPr>
        <w:t xml:space="preserve"> </w:t>
      </w:r>
      <w:r>
        <w:rPr>
          <w:rFonts w:ascii="Arial" w:cs="Arial" w:eastAsia="Arial" w:hAnsi="Arial"/>
          <w:sz w:val="18"/>
          <w:szCs w:val="18"/>
          <w:b w:val="1"/>
          <w:bCs w:val="1"/>
          <w:color w:val="auto"/>
        </w:rPr>
        <w:t>the distribution, and Corteva requests that you do not send Corteva a proxy</w:t>
      </w:r>
      <w:r>
        <w:rPr>
          <w:rFonts w:ascii="Arial" w:cs="Arial" w:eastAsia="Arial" w:hAnsi="Arial"/>
          <w:sz w:val="18"/>
          <w:szCs w:val="18"/>
          <w:color w:val="auto"/>
        </w:rPr>
        <w:t>.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required to pay anything for the shares of Corteva common stock you will receive in the distribution nor will you be required to surrender or exchange any shares of DowDuPont common stock to participate in the distribution. For more detailed information on the treatment of fractional shares, see “—How will fractional shares be treated in the distribution?”</w:t>
      </w:r>
    </w:p>
    <w:p>
      <w:pPr>
        <w:spacing w:after="0" w:line="234"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What is the record date for the distribution?</w:t>
      </w:r>
      <w:r>
        <w:rPr>
          <w:sz w:val="20"/>
          <w:szCs w:val="20"/>
          <w:color w:val="auto"/>
        </w:rPr>
        <w:tab/>
      </w:r>
      <w:r>
        <w:rPr>
          <w:rFonts w:ascii="Arial" w:cs="Arial" w:eastAsia="Arial" w:hAnsi="Arial"/>
          <w:sz w:val="16"/>
          <w:szCs w:val="16"/>
          <w:color w:val="auto"/>
        </w:rPr>
        <w:t>DowDuPont will determine record ownership as of the close of business on May 24, 2019,</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which we refer to as the “record date.”</w:t>
      </w:r>
    </w:p>
    <w:p>
      <w:pPr>
        <w:spacing w:after="0" w:line="238"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What will happen to my shares of EID Preferred</w:t>
      </w:r>
      <w:r>
        <w:rPr>
          <w:sz w:val="20"/>
          <w:szCs w:val="20"/>
          <w:color w:val="auto"/>
        </w:rPr>
        <w:tab/>
      </w:r>
      <w:r>
        <w:rPr>
          <w:rFonts w:ascii="Arial" w:cs="Arial" w:eastAsia="Arial" w:hAnsi="Arial"/>
          <w:sz w:val="16"/>
          <w:szCs w:val="16"/>
          <w:color w:val="auto"/>
        </w:rPr>
        <w:t>Nothing. EID will continue to be a subsidiary of Corteva Parent and will remain a reporting</w:t>
      </w:r>
    </w:p>
    <w:p>
      <w:pPr>
        <w:spacing w:after="0" w:line="23" w:lineRule="exact"/>
        <w:rPr>
          <w:sz w:val="20"/>
          <w:szCs w:val="20"/>
          <w:color w:val="auto"/>
        </w:rPr>
      </w:pPr>
    </w:p>
    <w:p>
      <w:pPr>
        <w:ind w:left="460"/>
        <w:spacing w:after="0"/>
        <w:tabs>
          <w:tab w:leader="none" w:pos="4400" w:val="left"/>
        </w:tabs>
        <w:rPr>
          <w:sz w:val="20"/>
          <w:szCs w:val="20"/>
          <w:color w:val="auto"/>
        </w:rPr>
      </w:pPr>
      <w:r>
        <w:rPr>
          <w:rFonts w:ascii="Arial" w:cs="Arial" w:eastAsia="Arial" w:hAnsi="Arial"/>
          <w:sz w:val="17"/>
          <w:szCs w:val="17"/>
          <w:b w:val="1"/>
          <w:bCs w:val="1"/>
          <w:i w:val="1"/>
          <w:iCs w:val="1"/>
          <w:color w:val="auto"/>
        </w:rPr>
        <w:t>Stock?</w:t>
      </w:r>
      <w:r>
        <w:rPr>
          <w:sz w:val="20"/>
          <w:szCs w:val="20"/>
          <w:color w:val="auto"/>
        </w:rPr>
        <w:tab/>
      </w:r>
      <w:r>
        <w:rPr>
          <w:rFonts w:ascii="Arial" w:cs="Arial" w:eastAsia="Arial" w:hAnsi="Arial"/>
          <w:sz w:val="17"/>
          <w:szCs w:val="17"/>
          <w:color w:val="auto"/>
        </w:rPr>
        <w:t>issuer with the SEC. The EID Preferred Stock will be unaffected by the separation and</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distribution.</w:t>
      </w:r>
    </w:p>
    <w:p>
      <w:pPr>
        <w:spacing w:after="0" w:line="238"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What will I receive in distribution?</w:t>
      </w:r>
      <w:r>
        <w:rPr>
          <w:sz w:val="20"/>
          <w:szCs w:val="20"/>
          <w:color w:val="auto"/>
        </w:rPr>
        <w:tab/>
      </w:r>
      <w:r>
        <w:rPr>
          <w:rFonts w:ascii="Arial" w:cs="Arial" w:eastAsia="Arial" w:hAnsi="Arial"/>
          <w:sz w:val="16"/>
          <w:szCs w:val="16"/>
          <w:color w:val="auto"/>
        </w:rPr>
        <w:t>If you hold DowDuPont common stock as of the record date, on the distribution date you</w:t>
      </w:r>
    </w:p>
    <w:p>
      <w:pPr>
        <w:spacing w:after="0" w:line="23" w:lineRule="exact"/>
        <w:rPr>
          <w:sz w:val="20"/>
          <w:szCs w:val="20"/>
          <w:color w:val="auto"/>
        </w:rPr>
      </w:pPr>
    </w:p>
    <w:p>
      <w:pPr>
        <w:ind w:left="4420" w:right="160"/>
        <w:spacing w:after="0" w:line="253" w:lineRule="auto"/>
        <w:rPr>
          <w:sz w:val="20"/>
          <w:szCs w:val="20"/>
          <w:color w:val="auto"/>
        </w:rPr>
      </w:pPr>
      <w:r>
        <w:rPr>
          <w:rFonts w:ascii="Arial" w:cs="Arial" w:eastAsia="Arial" w:hAnsi="Arial"/>
          <w:sz w:val="18"/>
          <w:szCs w:val="18"/>
          <w:color w:val="auto"/>
        </w:rPr>
        <w:t>will receive one share of Corteva common stock for every three shares of DowDuPont common stock you held on the record date, as well as a cash payment in lieu of any fractional shares (as discussed below). You will receive only whole shares of Corteva common stock in the distribution. For a more detailed description, see the section entitled “The Distribution.”</w:t>
      </w:r>
    </w:p>
    <w:p>
      <w:pPr>
        <w:sectPr>
          <w:pgSz w:w="11900" w:h="16838" w:orient="portrait"/>
          <w:cols w:equalWidth="0" w:num="1">
            <w:col w:w="11020"/>
          </w:cols>
          <w:pgMar w:left="240" w:top="460" w:right="639" w:bottom="1440" w:gutter="0" w:footer="0" w:header="0"/>
        </w:sectPr>
      </w:pPr>
    </w:p>
    <w:p>
      <w:pPr>
        <w:spacing w:after="0" w:line="218" w:lineRule="exact"/>
        <w:rPr>
          <w:sz w:val="20"/>
          <w:szCs w:val="20"/>
          <w:color w:val="auto"/>
        </w:rPr>
      </w:pPr>
    </w:p>
    <w:p>
      <w:pPr>
        <w:ind w:left="460" w:right="740" w:hanging="78"/>
        <w:spacing w:after="0" w:line="277" w:lineRule="auto"/>
        <w:rPr>
          <w:sz w:val="20"/>
          <w:szCs w:val="20"/>
          <w:color w:val="auto"/>
        </w:rPr>
      </w:pPr>
      <w:r>
        <w:rPr>
          <w:rFonts w:ascii="Arial" w:cs="Arial" w:eastAsia="Arial" w:hAnsi="Arial"/>
          <w:sz w:val="18"/>
          <w:szCs w:val="18"/>
          <w:b w:val="1"/>
          <w:bCs w:val="1"/>
          <w:i w:val="1"/>
          <w:iCs w:val="1"/>
          <w:color w:val="auto"/>
        </w:rPr>
        <w:t>How will fractional shares be treated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hanging="78"/>
        <w:spacing w:after="0" w:line="277" w:lineRule="auto"/>
        <w:rPr>
          <w:sz w:val="20"/>
          <w:szCs w:val="20"/>
          <w:color w:val="auto"/>
        </w:rPr>
      </w:pPr>
      <w:r>
        <w:rPr>
          <w:rFonts w:ascii="Arial" w:cs="Arial" w:eastAsia="Arial" w:hAnsi="Arial"/>
          <w:sz w:val="18"/>
          <w:szCs w:val="18"/>
          <w:b w:val="1"/>
          <w:bCs w:val="1"/>
          <w:i w:val="1"/>
          <w:iCs w:val="1"/>
          <w:color w:val="auto"/>
        </w:rPr>
        <w:t>Will the number of DowDuPont shares I own change as a result of the distribution?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No fractional shares of Corteva common stock will be distributed. Consequently, you will not receive any fractional shares of Corteva common stock and instead will receive a cash payment in lieu of any fractional shares you would otherwise have been entitled to receive in the distribution.</w:t>
      </w:r>
    </w:p>
    <w:p>
      <w:pPr>
        <w:spacing w:after="0" w:line="21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DowDuPont has engaged Computershare as its distribution agent. The distribution agent will aggregate all fractional shares that would have otherwise been issued in the distribution into whole shares and will sell the whole shares in the open market at prevailing market prices on behalf of all DowDuPont stockholders entitled to receive a fractional share. The distribution agent will then distribute the aggregate cash proceeds of the sales, net of brokerage fees and other costs, pro rata to those stockholders (net of any required withholding for taxes applicable to such stockholder). You will not be entitled to any interest on the amount of payment made to you in lieu of fractional shares.</w:t>
      </w:r>
    </w:p>
    <w:p>
      <w:pPr>
        <w:spacing w:after="0" w:line="19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No, the number of shares you own will not change as a result of the distribution. Immediately following the distribution, you will hold the same number of shares of DowDuPont (which will, after the</w:t>
      </w:r>
    </w:p>
    <w:p>
      <w:pPr>
        <w:spacing w:after="0" w:line="200" w:lineRule="exact"/>
        <w:rPr>
          <w:sz w:val="20"/>
          <w:szCs w:val="20"/>
          <w:color w:val="auto"/>
        </w:rPr>
      </w:pPr>
    </w:p>
    <w:p>
      <w:pPr>
        <w:sectPr>
          <w:pgSz w:w="11900" w:h="16838" w:orient="portrait"/>
          <w:cols w:equalWidth="0" w:num="2">
            <w:col w:w="4340" w:space="80"/>
            <w:col w:w="6600"/>
          </w:cols>
          <w:pgMar w:left="240" w:top="460" w:right="6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20"/>
          </w:cols>
          <w:pgMar w:left="240" w:top="460" w:right="639" w:bottom="1440" w:gutter="0" w:footer="0" w:header="0"/>
          <w:type w:val="continuous"/>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2870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002145" cy="5287010"/>
                    </a:xfrm>
                    <a:prstGeom prst="rect">
                      <a:avLst/>
                    </a:prstGeom>
                    <a:noFill/>
                  </pic:spPr>
                </pic:pic>
              </a:graphicData>
            </a:graphic>
          </wp:anchor>
        </w:drawing>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0" w:hanging="78"/>
        <w:spacing w:after="0" w:line="277" w:lineRule="auto"/>
        <w:rPr>
          <w:sz w:val="20"/>
          <w:szCs w:val="20"/>
          <w:color w:val="auto"/>
        </w:rPr>
      </w:pPr>
      <w:r>
        <w:rPr>
          <w:rFonts w:ascii="Arial" w:cs="Arial" w:eastAsia="Arial" w:hAnsi="Arial"/>
          <w:sz w:val="18"/>
          <w:szCs w:val="18"/>
          <w:b w:val="1"/>
          <w:bCs w:val="1"/>
          <w:i w:val="1"/>
          <w:iCs w:val="1"/>
          <w:color w:val="auto"/>
        </w:rPr>
        <w:t>How many shares of Corteva common stock will be distributed?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separation of Corteva, become New DuPont) that you held immediately prior to the distribution. Your proportionate interest will also not change, so you will own the same proportionate amount of New DuPont immediately following the separation and distribution that you owned of DowDuPont immediately prior to the separation and distribution.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actual number of shares of Corteva common stock that will be distributed will depend on the number of shares of DowDuPont common stock outstanding on the record date. The shares of Corteva common stock that are distributed will constitute all the then issued and outstanding shares of Corteva common stock immediately prior to the distribution and DowDuPont (which will, after the separation of Corteva, become New DuPont) will not retain any ownership interest in Corteva following the distribution. For a more detailed description, see the section entitled “Description of Our Capital Stock.”</w:t>
      </w:r>
    </w:p>
    <w:p>
      <w:pPr>
        <w:spacing w:after="0" w:line="194" w:lineRule="exact"/>
        <w:rPr>
          <w:sz w:val="20"/>
          <w:szCs w:val="20"/>
          <w:color w:val="auto"/>
        </w:rPr>
      </w:pPr>
    </w:p>
    <w:p>
      <w:pPr>
        <w:sectPr>
          <w:pgSz w:w="11900" w:h="16838" w:orient="portrait"/>
          <w:cols w:equalWidth="0" w:num="2">
            <w:col w:w="4180" w:space="24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5"/>
          <w:szCs w:val="15"/>
          <w:b w:val="1"/>
          <w:bCs w:val="1"/>
          <w:i w:val="1"/>
          <w:iCs w:val="1"/>
          <w:color w:val="auto"/>
        </w:rPr>
        <w:t>When will the distribution occur?</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It is expected that the distribution will be effected at 12:01 a.m. ET on the distribution date, subject to the satisfaction or waiver of certain conditions. On or shortly after the distribution date, the whole shares of Corteva common stock will be credited in book-entry accounts for each stockholder entitled to receive the shares of Corteva common stock in the distribution. We expect DowDuPont’s distribution agent to take approximately two weeks after the distribution date to fully distribute to stockholders any cash they are entitled to receive in lieu of fractional shares. See “—How will I receive my shares of Corteva common stock?” for more information.</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6" w:lineRule="exact"/>
        <w:rPr>
          <w:sz w:val="20"/>
          <w:szCs w:val="20"/>
          <w:color w:val="auto"/>
        </w:rPr>
      </w:pPr>
    </w:p>
    <w:p>
      <w:pPr>
        <w:ind w:left="460" w:hanging="78"/>
        <w:spacing w:after="0" w:line="279" w:lineRule="auto"/>
        <w:rPr>
          <w:sz w:val="20"/>
          <w:szCs w:val="20"/>
          <w:color w:val="auto"/>
        </w:rPr>
      </w:pPr>
      <w:r>
        <w:rPr>
          <w:rFonts w:ascii="Arial" w:cs="Arial" w:eastAsia="Arial" w:hAnsi="Arial"/>
          <w:sz w:val="17"/>
          <w:szCs w:val="17"/>
          <w:b w:val="1"/>
          <w:bCs w:val="1"/>
          <w:i w:val="1"/>
          <w:iCs w:val="1"/>
          <w:color w:val="auto"/>
        </w:rPr>
        <w:t>If I sell my shares of DowDuPont common stock on or before the distribution date, will I still be entitled to receive shares of Corteva common stock in the distribution?</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If you are a DowDuPont stockholder on the record date and decide to sell your shares before the distribution date, you may choose to sell your DowDuPont common stock with or without your entitlement to receive Corteva common stock in the distribution. Beginning on or shortly before the record date and continuing through the distribution, it is expected that there will be two markets in DowDuPont common stock: a “regular-way” market and an “ex-distribution” market. Shares of DowDuPont common stock that are traded in the “regular-way” market will trade with the entitlement to receive the Corteva common stock that is distributed pursuant to the distribution. Shares that trade in the “ex-distribution” market will trade without the entitlement to receive the shares of Corteva common stock distributed pursuant to the distribution. Consequently, if you sell your shares of DowDuPont common stock in the “regular-way” market on or prior to the last trading day prior to the distribution date, you are also selling your right to receive Corteva common stock in the distribution.</w:t>
      </w:r>
    </w:p>
    <w:p>
      <w:pPr>
        <w:spacing w:after="0" w:line="200" w:lineRule="exact"/>
        <w:rPr>
          <w:sz w:val="20"/>
          <w:szCs w:val="20"/>
          <w:color w:val="auto"/>
        </w:rPr>
      </w:pPr>
    </w:p>
    <w:p>
      <w:pPr>
        <w:sectPr>
          <w:pgSz w:w="11900" w:h="16838" w:orient="portrait"/>
          <w:cols w:equalWidth="0" w:num="2">
            <w:col w:w="3980" w:space="440"/>
            <w:col w:w="6600"/>
          </w:cols>
          <w:pgMar w:left="240" w:top="459" w:right="6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20"/>
          </w:cols>
          <w:pgMar w:left="240" w:top="459" w:right="639" w:bottom="1440" w:gutter="0" w:footer="0" w:header="0"/>
          <w:type w:val="continuous"/>
        </w:sectPr>
      </w:pPr>
    </w:p>
    <w:bookmarkStart w:id="162" w:name="page163"/>
    <w:bookmarkEnd w:id="1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5181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ectPr>
          <w:pgSz w:w="11900" w:h="16838" w:orient="portrait"/>
          <w:cols w:equalWidth="0" w:num="1">
            <w:col w:w="11020"/>
          </w:cols>
          <w:pgMar w:left="240" w:top="46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78"/>
        <w:spacing w:after="0" w:line="277" w:lineRule="auto"/>
        <w:rPr>
          <w:sz w:val="20"/>
          <w:szCs w:val="20"/>
          <w:color w:val="auto"/>
        </w:rPr>
      </w:pPr>
      <w:r>
        <w:rPr>
          <w:rFonts w:ascii="Arial" w:cs="Arial" w:eastAsia="Arial" w:hAnsi="Arial"/>
          <w:sz w:val="18"/>
          <w:szCs w:val="18"/>
          <w:b w:val="1"/>
          <w:bCs w:val="1"/>
          <w:i w:val="1"/>
          <w:iCs w:val="1"/>
          <w:color w:val="auto"/>
        </w:rPr>
        <w:t>How will I receive my shares of Corteva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You should discuss these alternatives with your bank, broker or other nominee. See the section entitled “The Distribution—Trading Between the Record Date and Distribution Date.”</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Registered stockholders: </w:t>
      </w:r>
      <w:r>
        <w:rPr>
          <w:rFonts w:ascii="Arial" w:cs="Arial" w:eastAsia="Arial" w:hAnsi="Arial"/>
          <w:sz w:val="17"/>
          <w:szCs w:val="17"/>
          <w:color w:val="auto"/>
        </w:rPr>
        <w:t>If you are a registered stockholder (meaning you own your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DowDuPont common stock directly through an account with DowDuPont’s transfer agent, Computershare), the distribution agent will credit the whole shares of Corteva common stock you receive in the distribution to your book-entry account with our transfer agent on or shortly after the distribution date. Approximately two weeks after the distribution date, the distribution agent will mail you a book-entry account statement that reflects the number of whole shares of Corteva common stock you own, along with a check for any cash in lieu of fractional shares you are entitled to receive. You will be able to access information regarding your book-entry account holding the shares of Corteva common stock at Computershare using the same credentials that you use to access your DowDuPont account. You may also contact Computershare at 1-833-388-2882 or 1-781-575-3120 (outside the U.S.).</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Beneficial stockholders: </w:t>
      </w:r>
      <w:r>
        <w:rPr>
          <w:rFonts w:ascii="Arial" w:cs="Arial" w:eastAsia="Arial" w:hAnsi="Arial"/>
          <w:sz w:val="18"/>
          <w:szCs w:val="18"/>
          <w:color w:val="auto"/>
        </w:rPr>
        <w:t>If you own your shares of DowDuPont common stock beneficially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bank, broker or other nominee, your bank, broker or other nominee will credit your account with the whole shares of Corteva common stock you receive in the distribution on or shortly after the distribution date. Your bank, broker or other nominee will also be responsible for transmitting to you any cash payment you are entitled to receive in lieu of fractional shares. Please contact your bank, broker or other nominee for further information about your account and the payment of any cash you are entitled to receive in lieu of fractional shares.</w:t>
      </w:r>
    </w:p>
    <w:p>
      <w:pPr>
        <w:spacing w:after="0" w:line="21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shares of Corteva common stock will not be certificated. As a result, no physical stock certificates will be issued to any stockholders. See the section entitled “The Distribution— When and How You Will Receive the Distribution” for a more detailed explanation.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is subject to several conditions, including, among others:</w:t>
      </w:r>
    </w:p>
    <w:p>
      <w:pPr>
        <w:spacing w:after="0" w:line="144" w:lineRule="exact"/>
        <w:rPr>
          <w:sz w:val="20"/>
          <w:szCs w:val="20"/>
          <w:color w:val="auto"/>
        </w:rPr>
      </w:pPr>
    </w:p>
    <w:p>
      <w:pPr>
        <w:ind w:left="400" w:right="160" w:hanging="148"/>
        <w:spacing w:after="0" w:line="273" w:lineRule="auto"/>
        <w:tabs>
          <w:tab w:leader="none" w:pos="4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SEC having declared effective the Form 10 under the Exchange Act, no stop order relating to the Form 10 being in effect (or the Form 10 having otherwise become effective pursuant to and in accordance with Section 12(d) of the Exchange Act), no proceedings seeking such stop order is pending before or threatened by the SEC and this information statement (or a notice of availability hereof) having been distributed to DowDuPont stockholders;</w:t>
      </w:r>
    </w:p>
    <w:p>
      <w:pPr>
        <w:spacing w:after="0" w:line="200" w:lineRule="exact"/>
        <w:rPr>
          <w:sz w:val="20"/>
          <w:szCs w:val="20"/>
          <w:color w:val="auto"/>
        </w:rPr>
      </w:pPr>
    </w:p>
    <w:p>
      <w:pPr>
        <w:sectPr>
          <w:pgSz w:w="11900" w:h="16838" w:orient="portrait"/>
          <w:cols w:equalWidth="0" w:num="2">
            <w:col w:w="4020" w:space="400"/>
            <w:col w:w="6600"/>
          </w:cols>
          <w:pgMar w:left="240" w:top="460" w:right="6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20"/>
          </w:cols>
          <w:pgMar w:left="240" w:top="460" w:right="63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385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002145" cy="59385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20" w:right="140" w:hanging="148"/>
        <w:spacing w:after="0" w:line="277" w:lineRule="auto"/>
        <w:tabs>
          <w:tab w:leader="none" w:pos="4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listing of Corteva common stock on the NYSE having been approved, subject to official notice of issuance;</w:t>
      </w:r>
    </w:p>
    <w:p>
      <w:pPr>
        <w:spacing w:after="0" w:line="75" w:lineRule="exact"/>
        <w:rPr>
          <w:rFonts w:ascii="Arial" w:cs="Arial" w:eastAsia="Arial" w:hAnsi="Arial"/>
          <w:sz w:val="18"/>
          <w:szCs w:val="18"/>
          <w:color w:val="auto"/>
        </w:rPr>
      </w:pPr>
    </w:p>
    <w:p>
      <w:pPr>
        <w:ind w:left="4820" w:right="240" w:hanging="148"/>
        <w:spacing w:after="0" w:line="257" w:lineRule="auto"/>
        <w:tabs>
          <w:tab w:leader="none" w:pos="4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DowDuPont board of directors having received an opinion from a nationally recognized independent appraisal firm to the effect that, following the distribution, we and DowDuPont will each be solvent and adequately capitalized, and that DowDuPont has adequate surplus under Delaware law to declare the dividend of Corteva common stock;</w:t>
      </w:r>
    </w:p>
    <w:p>
      <w:pPr>
        <w:spacing w:after="0" w:line="93" w:lineRule="exact"/>
        <w:rPr>
          <w:rFonts w:ascii="Arial" w:cs="Arial" w:eastAsia="Arial" w:hAnsi="Arial"/>
          <w:sz w:val="18"/>
          <w:szCs w:val="18"/>
          <w:color w:val="auto"/>
        </w:rPr>
      </w:pPr>
    </w:p>
    <w:p>
      <w:pPr>
        <w:ind w:left="4820" w:right="360" w:hanging="148"/>
        <w:spacing w:after="0" w:line="277" w:lineRule="auto"/>
        <w:tabs>
          <w:tab w:leader="none" w:pos="4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Internal Reorganization and Business Realignment as they relate to us having been effectuated prior to the distribution date;</w:t>
      </w:r>
    </w:p>
    <w:p>
      <w:pPr>
        <w:spacing w:after="0" w:line="75" w:lineRule="exact"/>
        <w:rPr>
          <w:rFonts w:ascii="Arial" w:cs="Arial" w:eastAsia="Arial" w:hAnsi="Arial"/>
          <w:sz w:val="18"/>
          <w:szCs w:val="18"/>
          <w:color w:val="auto"/>
        </w:rPr>
      </w:pPr>
    </w:p>
    <w:p>
      <w:pPr>
        <w:ind w:left="4820" w:right="80" w:hanging="148"/>
        <w:spacing w:after="0" w:line="302" w:lineRule="auto"/>
        <w:tabs>
          <w:tab w:leader="none" w:pos="48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DowDuPont board of directors having declared the dividend of Corteva common stock to effect the distribution and having approved the distribution and all related transactions, which approval may be given or withheld in the board’s absolute and sole discretion (and such declaration or approval not having been withdrawn);</w:t>
      </w:r>
    </w:p>
    <w:p>
      <w:pPr>
        <w:spacing w:after="0" w:line="59" w:lineRule="exact"/>
        <w:rPr>
          <w:rFonts w:ascii="Arial" w:cs="Arial" w:eastAsia="Arial" w:hAnsi="Arial"/>
          <w:sz w:val="16"/>
          <w:szCs w:val="16"/>
          <w:color w:val="auto"/>
        </w:rPr>
      </w:pPr>
    </w:p>
    <w:p>
      <w:pPr>
        <w:ind w:left="4820" w:right="40" w:hanging="148"/>
        <w:spacing w:after="0" w:line="286" w:lineRule="auto"/>
        <w:tabs>
          <w:tab w:leader="none" w:pos="48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DowDuPont having elected the individuals to be the members of our board of directors following the distribution, and certain directors as set forth in the separation agreement having resigned from the DowDuPont board of directors;</w:t>
      </w:r>
    </w:p>
    <w:p>
      <w:pPr>
        <w:spacing w:after="0" w:line="70" w:lineRule="exact"/>
        <w:rPr>
          <w:rFonts w:ascii="Arial" w:cs="Arial" w:eastAsia="Arial" w:hAnsi="Arial"/>
          <w:sz w:val="17"/>
          <w:szCs w:val="17"/>
          <w:color w:val="auto"/>
        </w:rPr>
      </w:pPr>
    </w:p>
    <w:p>
      <w:pPr>
        <w:ind w:left="4820" w:right="260" w:hanging="148"/>
        <w:spacing w:after="0" w:line="264" w:lineRule="auto"/>
        <w:tabs>
          <w:tab w:leader="none" w:pos="4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of us, DowDuPont and Dow and each of our and their applicable subsidiaries having entered into all ancillary agreements to which it and/or such subsidiary is contemplated to be a party;</w:t>
      </w:r>
    </w:p>
    <w:p>
      <w:pPr>
        <w:spacing w:after="0" w:line="86" w:lineRule="exact"/>
        <w:rPr>
          <w:rFonts w:ascii="Arial" w:cs="Arial" w:eastAsia="Arial" w:hAnsi="Arial"/>
          <w:sz w:val="18"/>
          <w:szCs w:val="18"/>
          <w:color w:val="auto"/>
        </w:rPr>
      </w:pPr>
    </w:p>
    <w:p>
      <w:pPr>
        <w:ind w:left="4820" w:right="120" w:hanging="148"/>
        <w:spacing w:after="0" w:line="286" w:lineRule="auto"/>
        <w:tabs>
          <w:tab w:leader="none" w:pos="48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 events or developments having occurred or existing that make it inadvisable to effect the distribution or that would result in the distribution and related transactions not being in the best interest of DowDuPont or its stockholders;</w:t>
      </w:r>
    </w:p>
    <w:p>
      <w:pPr>
        <w:spacing w:after="0" w:line="70" w:lineRule="exact"/>
        <w:rPr>
          <w:rFonts w:ascii="Arial" w:cs="Arial" w:eastAsia="Arial" w:hAnsi="Arial"/>
          <w:sz w:val="17"/>
          <w:szCs w:val="17"/>
          <w:color w:val="auto"/>
        </w:rPr>
      </w:pPr>
    </w:p>
    <w:p>
      <w:pPr>
        <w:ind w:left="4820" w:hanging="148"/>
        <w:spacing w:after="0" w:line="273" w:lineRule="auto"/>
        <w:tabs>
          <w:tab w:leader="none" w:pos="48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 order, injunction or decree by any governmental entity of competent jurisdiction or other legal restraint or prohibition preventing consummation of the distribution or any of the related transactions, including the transfers of assets and liabilities contemplated by the separation agreement, shall be pending, threatened, issued or in effect, and no other event outside of DowDuPont’s control having occurred that prevents the consummation of the distribution;</w:t>
      </w:r>
    </w:p>
    <w:p>
      <w:pPr>
        <w:spacing w:after="0" w:line="83" w:lineRule="exact"/>
        <w:rPr>
          <w:rFonts w:ascii="Arial" w:cs="Arial" w:eastAsia="Arial" w:hAnsi="Arial"/>
          <w:sz w:val="17"/>
          <w:szCs w:val="17"/>
          <w:color w:val="auto"/>
        </w:rPr>
      </w:pPr>
    </w:p>
    <w:p>
      <w:pPr>
        <w:ind w:left="4820" w:hanging="148"/>
        <w:spacing w:after="0"/>
        <w:tabs>
          <w:tab w:leader="none" w:pos="4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receipt by DowDuPont of the Tax Opinion; and</w:t>
      </w:r>
    </w:p>
    <w:p>
      <w:pPr>
        <w:spacing w:after="0" w:line="130" w:lineRule="exact"/>
        <w:rPr>
          <w:rFonts w:ascii="Arial" w:cs="Arial" w:eastAsia="Arial" w:hAnsi="Arial"/>
          <w:sz w:val="18"/>
          <w:szCs w:val="18"/>
          <w:color w:val="auto"/>
        </w:rPr>
      </w:pPr>
    </w:p>
    <w:p>
      <w:pPr>
        <w:ind w:left="4820" w:right="60" w:hanging="148"/>
        <w:spacing w:after="0" w:line="277" w:lineRule="auto"/>
        <w:tabs>
          <w:tab w:leader="none" w:pos="4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IRS not having revoked the IRS Ruling (as described in the section entitled “Risk Factors—Risks Related to the Separation”).</w:t>
      </w:r>
    </w:p>
    <w:p>
      <w:pPr>
        <w:spacing w:after="0" w:line="197" w:lineRule="exact"/>
        <w:rPr>
          <w:sz w:val="20"/>
          <w:szCs w:val="20"/>
          <w:color w:val="auto"/>
        </w:rPr>
      </w:pPr>
    </w:p>
    <w:p>
      <w:pPr>
        <w:ind w:left="4420" w:right="100"/>
        <w:spacing w:after="0" w:line="259" w:lineRule="auto"/>
        <w:rPr>
          <w:sz w:val="20"/>
          <w:szCs w:val="20"/>
          <w:color w:val="auto"/>
        </w:rPr>
      </w:pPr>
      <w:r>
        <w:rPr>
          <w:rFonts w:ascii="Arial" w:cs="Arial" w:eastAsia="Arial" w:hAnsi="Arial"/>
          <w:sz w:val="18"/>
          <w:szCs w:val="18"/>
          <w:color w:val="auto"/>
        </w:rPr>
        <w:t>The fulfillment of these conditions does not create any obligation on DowDuPont’s part to effect the distribution, and the DowDuPont board of directors has the ability, in its sole discretion, to amend, modify or abandon the distribution and related transactions at any time prior to the distribution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240" w:top="460" w:right="639" w:bottom="1440" w:gutter="0" w:footer="0" w:header="0"/>
        </w:sectPr>
      </w:pPr>
    </w:p>
    <w:bookmarkStart w:id="164" w:name="page165"/>
    <w:bookmarkEnd w:id="1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46005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002145" cy="4600575"/>
                    </a:xfrm>
                    <a:prstGeom prst="rect">
                      <a:avLst/>
                    </a:prstGeom>
                    <a:noFill/>
                  </pic:spPr>
                </pic:pic>
              </a:graphicData>
            </a:graphic>
          </wp:anchor>
        </w:drawing>
      </w:r>
    </w:p>
    <w:p>
      <w:pPr>
        <w:sectPr>
          <w:pgSz w:w="11900" w:h="16838" w:orient="portrait"/>
          <w:cols w:equalWidth="0" w:num="1">
            <w:col w:w="10980"/>
          </w:cols>
          <w:pgMar w:left="240" w:top="459" w:right="6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460" w:hanging="78"/>
        <w:spacing w:after="0" w:line="381" w:lineRule="auto"/>
        <w:rPr>
          <w:sz w:val="20"/>
          <w:szCs w:val="20"/>
          <w:color w:val="auto"/>
        </w:rPr>
      </w:pPr>
      <w:r>
        <w:rPr>
          <w:rFonts w:ascii="Arial" w:cs="Arial" w:eastAsia="Arial" w:hAnsi="Arial"/>
          <w:sz w:val="15"/>
          <w:szCs w:val="15"/>
          <w:b w:val="1"/>
          <w:bCs w:val="1"/>
          <w:i w:val="1"/>
          <w:iCs w:val="1"/>
          <w:color w:val="auto"/>
        </w:rPr>
        <w:t>Can DowDuPont decide to cancel the distribution even if all the conditions have been met?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Yes. The distribution is subject to the satisfaction of certain conditions. See the section entitled “The Distribution—Conditions to the Distribution.” Even if all such conditions are met, DowDuPont has the ability, in its sole discretion, not to complete the distribution if, at any time prior to the distribution, the DowDuPont board of directors determines, in its sole discretion, that the distribution is not in the best interests of DowDuPont or its stockholders, that a sale or other alternative is in the best interests of DowDuPont or its stockholders, or that market conditions or other circumstances are such that it is not advisable at that time to separate the agriculture business from DowDuPont.</w:t>
      </w:r>
    </w:p>
    <w:p>
      <w:pPr>
        <w:spacing w:after="0" w:line="193" w:lineRule="exact"/>
        <w:rPr>
          <w:sz w:val="20"/>
          <w:szCs w:val="20"/>
          <w:color w:val="auto"/>
        </w:rPr>
      </w:pPr>
    </w:p>
    <w:p>
      <w:pPr>
        <w:sectPr>
          <w:pgSz w:w="11900" w:h="16838" w:orient="portrait"/>
          <w:cols w:equalWidth="0" w:num="2">
            <w:col w:w="4060" w:space="360"/>
            <w:col w:w="6560"/>
          </w:cols>
          <w:pgMar w:left="240" w:top="459" w:right="679" w:bottom="1440" w:gutter="0" w:footer="0" w:header="0"/>
          <w:type w:val="continuous"/>
        </w:sectPr>
      </w:pPr>
    </w:p>
    <w:p>
      <w:pPr>
        <w:ind w:left="460" w:hanging="78"/>
        <w:spacing w:after="0" w:line="277" w:lineRule="auto"/>
        <w:rPr>
          <w:sz w:val="20"/>
          <w:szCs w:val="20"/>
          <w:color w:val="auto"/>
        </w:rPr>
      </w:pPr>
      <w:r>
        <w:rPr>
          <w:rFonts w:ascii="Arial" w:cs="Arial" w:eastAsia="Arial" w:hAnsi="Arial"/>
          <w:sz w:val="18"/>
          <w:szCs w:val="18"/>
          <w:b w:val="1"/>
          <w:bCs w:val="1"/>
          <w:i w:val="1"/>
          <w:iCs w:val="1"/>
          <w:color w:val="auto"/>
        </w:rPr>
        <w:t>What are the U.S. federal income tax consequences of the distribution to me?</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The distribution is conditioned on the continued validity of the IRS Ruling, which DowDuPont has received from the IRS, and the receipt of the Tax Opinion, in form and substance acceptable to DowDuPont, substantially to the effect that, among other things, the distribution, together with certain related transactions, will qualify as a tax-free transaction under Section 355 and Section 368(a)(1)(D) of the Code. Assuming the distribution so qualifies, for U.S. federal income tax purposes, no gain or loss will be recognized by you, and no amount will be included in your income, upon the receipt of shares of Corteva common stock pursuant to the distribution. However, any cash payments made instead of fractional shares will generally be taxable to you. For a more detailed description, see the section entitled “Material U.S. Federal Income Tax Consequences of the Distribution.”</w:t>
      </w:r>
    </w:p>
    <w:p>
      <w:pPr>
        <w:spacing w:after="0" w:line="200" w:lineRule="exact"/>
        <w:rPr>
          <w:sz w:val="20"/>
          <w:szCs w:val="20"/>
          <w:color w:val="auto"/>
        </w:rPr>
      </w:pPr>
    </w:p>
    <w:p>
      <w:pPr>
        <w:sectPr>
          <w:pgSz w:w="11900" w:h="16838" w:orient="portrait"/>
          <w:cols w:equalWidth="0" w:num="2">
            <w:col w:w="4200" w:space="220"/>
            <w:col w:w="6560"/>
          </w:cols>
          <w:pgMar w:left="240" w:top="459" w:right="679" w:bottom="1440" w:gutter="0" w:footer="0" w:header="0"/>
          <w:type w:val="continuous"/>
        </w:sectPr>
      </w:pPr>
    </w:p>
    <w:p>
      <w:pPr>
        <w:spacing w:after="0" w:line="10" w:lineRule="exact"/>
        <w:rPr>
          <w:sz w:val="20"/>
          <w:szCs w:val="20"/>
          <w:color w:val="auto"/>
        </w:rPr>
      </w:pPr>
    </w:p>
    <w:p>
      <w:pPr>
        <w:ind w:left="460" w:hanging="78"/>
        <w:spacing w:after="0" w:line="308" w:lineRule="auto"/>
        <w:rPr>
          <w:sz w:val="20"/>
          <w:szCs w:val="20"/>
          <w:color w:val="auto"/>
        </w:rPr>
      </w:pPr>
      <w:r>
        <w:rPr>
          <w:rFonts w:ascii="Arial" w:cs="Arial" w:eastAsia="Arial" w:hAnsi="Arial"/>
          <w:sz w:val="17"/>
          <w:szCs w:val="17"/>
          <w:b w:val="1"/>
          <w:bCs w:val="1"/>
          <w:i w:val="1"/>
          <w:iCs w:val="1"/>
          <w:color w:val="auto"/>
        </w:rPr>
        <w:t>How will the distribution affect my tax basis in my shares of DowDuPont common stock?</w:t>
      </w:r>
    </w:p>
    <w:p>
      <w:pPr>
        <w:spacing w:after="0" w:line="20" w:lineRule="exact"/>
        <w:rPr>
          <w:sz w:val="20"/>
          <w:szCs w:val="20"/>
          <w:color w:val="auto"/>
        </w:rPr>
      </w:pPr>
      <w:r>
        <w:rPr>
          <w:sz w:val="20"/>
          <w:szCs w:val="20"/>
          <w:color w:val="auto"/>
        </w:rPr>
        <w:br w:type="column"/>
      </w:r>
    </w:p>
    <w:p>
      <w:pPr>
        <w:ind w:right="20"/>
        <w:spacing w:after="0" w:line="291" w:lineRule="auto"/>
        <w:rPr>
          <w:sz w:val="20"/>
          <w:szCs w:val="20"/>
          <w:color w:val="auto"/>
        </w:rPr>
      </w:pPr>
      <w:r>
        <w:rPr>
          <w:rFonts w:ascii="Arial" w:cs="Arial" w:eastAsia="Arial" w:hAnsi="Arial"/>
          <w:sz w:val="16"/>
          <w:szCs w:val="16"/>
          <w:color w:val="auto"/>
        </w:rPr>
        <w:t>Assuming that the distribution is tax-free to DowDuPont stockholders (except for taxes related to any cash received in lieu of fractional shares), your tax basis in the DowDuPont common stock held by you immediately prior to the distribution will be allocated between your shares of DowDuPont common stock and the Corteva common stock that you receive in the distribution in proportion to the relative fair market values of each immediately following the distribution. For a more detailed description, see the section entitled “Material U.S. Federal Income Tax Consequences of the Distribution.”</w:t>
      </w:r>
    </w:p>
    <w:p>
      <w:pPr>
        <w:spacing w:after="0" w:line="194" w:lineRule="exact"/>
        <w:rPr>
          <w:sz w:val="20"/>
          <w:szCs w:val="20"/>
          <w:color w:val="auto"/>
        </w:rPr>
      </w:pPr>
    </w:p>
    <w:p>
      <w:pPr>
        <w:sectPr>
          <w:pgSz w:w="11900" w:h="16838" w:orient="portrait"/>
          <w:cols w:equalWidth="0" w:num="2">
            <w:col w:w="4100" w:space="320"/>
            <w:col w:w="6560"/>
          </w:cols>
          <w:pgMar w:left="240" w:top="459" w:right="679" w:bottom="1440" w:gutter="0" w:footer="0" w:header="0"/>
          <w:type w:val="continuous"/>
        </w:sectPr>
      </w:pPr>
    </w:p>
    <w:p>
      <w:pPr>
        <w:jc w:val="right"/>
        <w:ind w:left="380"/>
        <w:spacing w:after="0" w:line="381" w:lineRule="auto"/>
        <w:rPr>
          <w:sz w:val="20"/>
          <w:szCs w:val="20"/>
          <w:color w:val="auto"/>
        </w:rPr>
      </w:pPr>
      <w:r>
        <w:rPr>
          <w:rFonts w:ascii="Arial" w:cs="Arial" w:eastAsia="Arial" w:hAnsi="Arial"/>
          <w:sz w:val="15"/>
          <w:szCs w:val="15"/>
          <w:b w:val="1"/>
          <w:bCs w:val="1"/>
          <w:i w:val="1"/>
          <w:iCs w:val="1"/>
          <w:color w:val="auto"/>
        </w:rPr>
        <w:t>Will my shares of DowDuPont common stock continue to trade following the distribution?</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Your DowDuPont common stock, which will now represent ownership of New DuPont, will continue to trade on the NYSE.</w:t>
      </w:r>
    </w:p>
    <w:p>
      <w:pPr>
        <w:spacing w:after="0" w:line="269" w:lineRule="exact"/>
        <w:rPr>
          <w:sz w:val="20"/>
          <w:szCs w:val="20"/>
          <w:color w:val="auto"/>
        </w:rPr>
      </w:pPr>
    </w:p>
    <w:p>
      <w:pPr>
        <w:sectPr>
          <w:pgSz w:w="11900" w:h="16838" w:orient="portrait"/>
          <w:cols w:equalWidth="0" w:num="2">
            <w:col w:w="3760" w:space="660"/>
            <w:col w:w="6560"/>
          </w:cols>
          <w:pgMar w:left="240" w:top="459" w:right="679" w:bottom="1440" w:gutter="0" w:footer="0" w:header="0"/>
          <w:type w:val="continuous"/>
        </w:sectPr>
      </w:pPr>
    </w:p>
    <w:p>
      <w:pPr>
        <w:spacing w:after="0" w:line="34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980"/>
          </w:cols>
          <w:pgMar w:left="240" w:top="459" w:right="67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480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002145" cy="4480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How will the distributions affect the operations of</w:t>
      </w:r>
      <w:r>
        <w:rPr>
          <w:sz w:val="20"/>
          <w:szCs w:val="20"/>
          <w:color w:val="auto"/>
        </w:rPr>
        <w:tab/>
      </w:r>
      <w:r>
        <w:rPr>
          <w:rFonts w:ascii="Arial" w:cs="Arial" w:eastAsia="Arial" w:hAnsi="Arial"/>
          <w:sz w:val="16"/>
          <w:szCs w:val="16"/>
          <w:color w:val="auto"/>
        </w:rPr>
        <w:t>It is expected that after the distribution of Corteva, DowDuPont will be renamed “DuPont</w:t>
      </w:r>
    </w:p>
    <w:p>
      <w:pPr>
        <w:spacing w:after="0" w:line="23" w:lineRule="exact"/>
        <w:rPr>
          <w:sz w:val="20"/>
          <w:szCs w:val="20"/>
          <w:color w:val="auto"/>
        </w:rPr>
      </w:pPr>
    </w:p>
    <w:p>
      <w:pPr>
        <w:ind w:left="4420" w:right="100" w:hanging="3959"/>
        <w:spacing w:after="0" w:line="261" w:lineRule="auto"/>
        <w:tabs>
          <w:tab w:leader="none" w:pos="4400" w:val="left"/>
        </w:tabs>
        <w:rPr>
          <w:sz w:val="20"/>
          <w:szCs w:val="20"/>
          <w:color w:val="auto"/>
        </w:rPr>
      </w:pPr>
      <w:r>
        <w:rPr>
          <w:rFonts w:ascii="Arial" w:cs="Arial" w:eastAsia="Arial" w:hAnsi="Arial"/>
          <w:sz w:val="18"/>
          <w:szCs w:val="18"/>
          <w:b w:val="1"/>
          <w:bCs w:val="1"/>
          <w:i w:val="1"/>
          <w:iCs w:val="1"/>
          <w:color w:val="auto"/>
        </w:rPr>
        <w:t>DowDuPont?</w:t>
      </w:r>
      <w:r>
        <w:rPr>
          <w:sz w:val="20"/>
          <w:szCs w:val="20"/>
          <w:color w:val="auto"/>
        </w:rPr>
        <w:tab/>
      </w:r>
      <w:r>
        <w:rPr>
          <w:rFonts w:ascii="Arial" w:cs="Arial" w:eastAsia="Arial" w:hAnsi="Arial"/>
          <w:sz w:val="18"/>
          <w:szCs w:val="18"/>
          <w:color w:val="auto"/>
        </w:rPr>
        <w:t>de Nemours, Inc.” The remaining company will continue to operate the specialty products business of DowDuPont.</w:t>
      </w:r>
    </w:p>
    <w:p>
      <w:pPr>
        <w:spacing w:after="0" w:line="211"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How will Corteva common stock trade?</w:t>
      </w:r>
      <w:r>
        <w:rPr>
          <w:sz w:val="20"/>
          <w:szCs w:val="20"/>
          <w:color w:val="auto"/>
        </w:rPr>
        <w:tab/>
      </w:r>
      <w:r>
        <w:rPr>
          <w:rFonts w:ascii="Arial" w:cs="Arial" w:eastAsia="Arial" w:hAnsi="Arial"/>
          <w:sz w:val="16"/>
          <w:szCs w:val="16"/>
          <w:color w:val="auto"/>
        </w:rPr>
        <w:t>Corteva common stock will trade on the NYSE under the symbol “CTVA.”</w:t>
      </w:r>
    </w:p>
    <w:p>
      <w:pPr>
        <w:spacing w:after="0" w:line="266" w:lineRule="exact"/>
        <w:rPr>
          <w:sz w:val="20"/>
          <w:szCs w:val="20"/>
          <w:color w:val="auto"/>
        </w:rPr>
      </w:pPr>
    </w:p>
    <w:p>
      <w:pPr>
        <w:ind w:left="4420"/>
        <w:spacing w:after="0" w:line="286" w:lineRule="auto"/>
        <w:rPr>
          <w:sz w:val="20"/>
          <w:szCs w:val="20"/>
          <w:color w:val="auto"/>
        </w:rPr>
      </w:pPr>
      <w:r>
        <w:rPr>
          <w:rFonts w:ascii="Arial" w:cs="Arial" w:eastAsia="Arial" w:hAnsi="Arial"/>
          <w:sz w:val="16"/>
          <w:szCs w:val="16"/>
          <w:color w:val="auto"/>
        </w:rPr>
        <w:t>We anticipate that trading in Corteva common stock will begin on a “when-issued” basis as early as the trading day prior to the record date for the distribution and will continue through the last trading day prior to the distribution date. When-issued trading in the context of a separation refers to a sale or purchase made conditionally on or before the distribution date because the securities of the separated entity have not yet been distributed. When-issued trades generally settle within two days after the distribution date. On the distribution date (or, if the distribution date is not a trading day, the first trading day after the distribution date), any when-issued trading of Corteva common stock will end and “regular-way” trading will begin. Regular-way trading refers to trading after the security has been distributed and typically involves a trade that settles on the second full trading day following the date of the trade. See the section entitled “The Distribution—Trading Between the Record Date and Distribution Date.” We cannot predict the trading prices for Corteva common stock before, on or after the distribution date.</w:t>
      </w:r>
    </w:p>
    <w:p>
      <w:pPr>
        <w:sectPr>
          <w:pgSz w:w="11900" w:h="16838" w:orient="portrait"/>
          <w:cols w:equalWidth="0" w:num="1">
            <w:col w:w="11020"/>
          </w:cols>
          <w:pgMar w:left="240" w:top="460" w:right="639" w:bottom="1440" w:gutter="0" w:footer="0" w:header="0"/>
        </w:sectPr>
      </w:pPr>
    </w:p>
    <w:p>
      <w:pPr>
        <w:spacing w:after="0" w:line="202" w:lineRule="exact"/>
        <w:rPr>
          <w:sz w:val="20"/>
          <w:szCs w:val="20"/>
          <w:color w:val="auto"/>
        </w:rPr>
      </w:pPr>
    </w:p>
    <w:p>
      <w:pPr>
        <w:ind w:left="460" w:hanging="78"/>
        <w:spacing w:after="0" w:line="277" w:lineRule="auto"/>
        <w:rPr>
          <w:sz w:val="20"/>
          <w:szCs w:val="20"/>
          <w:color w:val="auto"/>
        </w:rPr>
      </w:pPr>
      <w:r>
        <w:rPr>
          <w:rFonts w:ascii="Arial" w:cs="Arial" w:eastAsia="Arial" w:hAnsi="Arial"/>
          <w:sz w:val="18"/>
          <w:szCs w:val="18"/>
          <w:b w:val="1"/>
          <w:bCs w:val="1"/>
          <w:i w:val="1"/>
          <w:iCs w:val="1"/>
          <w:color w:val="auto"/>
        </w:rPr>
        <w:t>What indebtedness will Corteva have following the separation?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the time of the separation, we expect to have access to approximately $7.3 billion in committed and uncommitted credit lines, including revolving credit facilities. These credit lines will support our commercial paper borrowings and can be used for general corporate purposes. At the time of the separation, we do not expect to have any material long-term debt. We expect that our short term capital needs due to the seasonality of our business may result in commercial paper borrowings, which we expect would be repaid in the ordinary course of our business. See the sections entitled “Supplemental Liquidity &amp; Capital Resources,” “Description of Material Indebtedness” and “Unaudited Pro Forma Combined Financial Information” for more information.</w:t>
      </w:r>
    </w:p>
    <w:p>
      <w:pPr>
        <w:spacing w:after="0" w:line="200" w:lineRule="exact"/>
        <w:rPr>
          <w:sz w:val="20"/>
          <w:szCs w:val="20"/>
          <w:color w:val="auto"/>
        </w:rPr>
      </w:pPr>
    </w:p>
    <w:p>
      <w:pPr>
        <w:sectPr>
          <w:pgSz w:w="11900" w:h="16838" w:orient="portrait"/>
          <w:cols w:equalWidth="0" w:num="2">
            <w:col w:w="4140" w:space="280"/>
            <w:col w:w="6600"/>
          </w:cols>
          <w:pgMar w:left="240" w:top="460"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20"/>
          </w:cols>
          <w:pgMar w:left="240" w:top="460" w:right="63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86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002145" cy="49866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Will the separations affect the trading price of my</w:t>
      </w:r>
      <w:r>
        <w:rPr>
          <w:sz w:val="20"/>
          <w:szCs w:val="20"/>
          <w:color w:val="auto"/>
        </w:rPr>
        <w:tab/>
      </w:r>
      <w:r>
        <w:rPr>
          <w:rFonts w:ascii="Arial" w:cs="Arial" w:eastAsia="Arial" w:hAnsi="Arial"/>
          <w:sz w:val="16"/>
          <w:szCs w:val="16"/>
          <w:color w:val="auto"/>
        </w:rPr>
        <w:t>We expect the trading price of shares of New DuPont common stock immediately</w:t>
      </w:r>
    </w:p>
    <w:p>
      <w:pPr>
        <w:spacing w:after="0" w:line="23" w:lineRule="exact"/>
        <w:rPr>
          <w:sz w:val="20"/>
          <w:szCs w:val="20"/>
          <w:color w:val="auto"/>
        </w:rPr>
      </w:pPr>
    </w:p>
    <w:p>
      <w:pPr>
        <w:ind w:left="4420" w:hanging="3956"/>
        <w:spacing w:after="0" w:line="267" w:lineRule="auto"/>
        <w:tabs>
          <w:tab w:leader="none" w:pos="4400" w:val="left"/>
        </w:tabs>
        <w:rPr>
          <w:sz w:val="20"/>
          <w:szCs w:val="20"/>
          <w:color w:val="auto"/>
        </w:rPr>
      </w:pPr>
      <w:r>
        <w:rPr>
          <w:rFonts w:ascii="Arial" w:cs="Arial" w:eastAsia="Arial" w:hAnsi="Arial"/>
          <w:sz w:val="18"/>
          <w:szCs w:val="18"/>
          <w:b w:val="1"/>
          <w:bCs w:val="1"/>
          <w:i w:val="1"/>
          <w:iCs w:val="1"/>
          <w:color w:val="auto"/>
        </w:rPr>
        <w:t>DowDuPont common stock?</w:t>
      </w:r>
      <w:r>
        <w:rPr>
          <w:sz w:val="20"/>
          <w:szCs w:val="20"/>
          <w:color w:val="auto"/>
        </w:rPr>
        <w:tab/>
      </w:r>
      <w:r>
        <w:rPr>
          <w:rFonts w:ascii="Arial" w:cs="Arial" w:eastAsia="Arial" w:hAnsi="Arial"/>
          <w:sz w:val="17"/>
          <w:szCs w:val="17"/>
          <w:color w:val="auto"/>
        </w:rPr>
        <w:t>following the distribution to be lower than the trading price of DowDuPont common stock immediately prior to the distribution because the trading price will no longer reflect the value of the agriculture business. Furthermore, until the market has fully analyzed the value of New DuPont without Corteva and Dow (whose distribution preceded ours) and the value of Corteva or Dow as standalone companies, the trading price of shares of all three companies may fluctuate. There can be no assurance that, following the distributions, the combined trading prices of the common stock of us, Dow and New DuPont will equal or exceed what the trading price of DowDuPont common stock would have been in the absence of DowDuPont’s pursuit of the separations, and it is possible the aggregate equity value of the three independent companies will be less than DowDuPont’s equity value prior to the distribution of Dow and us.</w:t>
      </w:r>
    </w:p>
    <w:p>
      <w:pPr>
        <w:spacing w:after="0" w:line="214"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Are there risks associated with owning shares of</w:t>
      </w:r>
      <w:r>
        <w:rPr>
          <w:sz w:val="20"/>
          <w:szCs w:val="20"/>
          <w:color w:val="auto"/>
        </w:rPr>
        <w:tab/>
      </w:r>
      <w:r>
        <w:rPr>
          <w:rFonts w:ascii="Arial" w:cs="Arial" w:eastAsia="Arial" w:hAnsi="Arial"/>
          <w:sz w:val="16"/>
          <w:szCs w:val="16"/>
          <w:color w:val="auto"/>
        </w:rPr>
        <w:t>Yes. Our business is subject to both general and specific risks, including risks relating to</w:t>
      </w:r>
    </w:p>
    <w:p>
      <w:pPr>
        <w:spacing w:after="0" w:line="23" w:lineRule="exact"/>
        <w:rPr>
          <w:sz w:val="20"/>
          <w:szCs w:val="20"/>
          <w:color w:val="auto"/>
        </w:rPr>
      </w:pPr>
    </w:p>
    <w:p>
      <w:pPr>
        <w:ind w:left="4420" w:right="140" w:hanging="3956"/>
        <w:spacing w:after="0" w:line="254" w:lineRule="auto"/>
        <w:tabs>
          <w:tab w:leader="none" w:pos="4400" w:val="left"/>
        </w:tabs>
        <w:rPr>
          <w:sz w:val="20"/>
          <w:szCs w:val="20"/>
          <w:color w:val="auto"/>
        </w:rPr>
      </w:pPr>
      <w:r>
        <w:rPr>
          <w:rFonts w:ascii="Arial" w:cs="Arial" w:eastAsia="Arial" w:hAnsi="Arial"/>
          <w:sz w:val="18"/>
          <w:szCs w:val="18"/>
          <w:b w:val="1"/>
          <w:bCs w:val="1"/>
          <w:i w:val="1"/>
          <w:iCs w:val="1"/>
          <w:color w:val="auto"/>
        </w:rPr>
        <w:t>Corteva common stock?</w:t>
      </w:r>
      <w:r>
        <w:rPr>
          <w:sz w:val="20"/>
          <w:szCs w:val="20"/>
          <w:color w:val="auto"/>
        </w:rPr>
        <w:tab/>
      </w:r>
      <w:r>
        <w:rPr>
          <w:rFonts w:ascii="Arial" w:cs="Arial" w:eastAsia="Arial" w:hAnsi="Arial"/>
          <w:sz w:val="18"/>
          <w:szCs w:val="18"/>
          <w:color w:val="auto"/>
        </w:rPr>
        <w:t>our business, our relationship with New DuPont and Dow following the separation and distribution and of us being a separate, publicly traded company. Accordingly, you should read carefully the information set forth in the section entitled “Risk Factors” in this information statement.</w:t>
      </w:r>
    </w:p>
    <w:p>
      <w:pPr>
        <w:sectPr>
          <w:pgSz w:w="11900" w:h="16838" w:orient="portrait"/>
          <w:cols w:equalWidth="0" w:num="1">
            <w:col w:w="11020"/>
          </w:cols>
          <w:pgMar w:left="240" w:top="459" w:right="639" w:bottom="1440" w:gutter="0" w:footer="0" w:header="0"/>
        </w:sect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Does Corteva intend to pay cash dividends?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expect that we will pay a quarterly dividend following the distribution beginning in the third quarter of 2019 (as DowDuPont’s dividends for the first two quarters of 2019 included amounts attributable to Corteva). Corteva is targeting a competitive dividend policy and expects to declare dividends of approximately 25-35% of annual net income. We intend to issue annual dividend payouts of $400 million. However, the declaration, payment and amount of any dividends following the distribution will be subject to the sole discretion of our post-distribution, independent board of directors and, in the context of our financial policy, will depend upon many factors, including our financial condition and prospects, our capital requirements and access to capital markets, covenants associated with certain of our debt obligations, legal requirements and other factors that our board of directors may deem relevant, and there can be no assurances that we will continue to pay a dividend in the future. In addition, there can be no assurance that, after the distribution, the combined annual dividends, if any, on the common stock of us, New DuPont and Dow will be at least equal to the annual dividends paid on DowDuPont common stock prior to the distribution of Dow and Corteva common stock.</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20"/>
          </w:cols>
          <w:pgMar w:left="240" w:top="459" w:right="639" w:bottom="1440" w:gutter="0" w:footer="0" w:header="0"/>
          <w:type w:val="continuous"/>
        </w:sectPr>
      </w:pPr>
    </w:p>
    <w:bookmarkStart w:id="167" w:name="page168"/>
    <w:bookmarkEnd w:id="1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621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002145" cy="5621020"/>
                    </a:xfrm>
                    <a:prstGeom prst="rect">
                      <a:avLst/>
                    </a:prstGeom>
                    <a:noFill/>
                  </pic:spPr>
                </pic:pic>
              </a:graphicData>
            </a:graphic>
          </wp:anchor>
        </w:drawing>
      </w:r>
    </w:p>
    <w:p>
      <w:pPr>
        <w:sectPr>
          <w:pgSz w:w="11900" w:h="16838" w:orient="portrait"/>
          <w:cols w:equalWidth="0" w:num="1">
            <w:col w:w="10980"/>
          </w:cols>
          <w:pgMar w:left="240" w:top="460" w:right="6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460" w:hanging="78"/>
        <w:spacing w:after="0" w:line="381" w:lineRule="auto"/>
        <w:rPr>
          <w:sz w:val="20"/>
          <w:szCs w:val="20"/>
          <w:color w:val="auto"/>
        </w:rPr>
      </w:pPr>
      <w:r>
        <w:rPr>
          <w:rFonts w:ascii="Arial" w:cs="Arial" w:eastAsia="Arial" w:hAnsi="Arial"/>
          <w:sz w:val="15"/>
          <w:szCs w:val="15"/>
          <w:b w:val="1"/>
          <w:bCs w:val="1"/>
          <w:i w:val="1"/>
          <w:iCs w:val="1"/>
          <w:color w:val="auto"/>
        </w:rPr>
        <w:t>What will Corteva’s relationship be with New DuPont and Dow following the separation and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 w:right="340" w:hanging="78"/>
        <w:spacing w:after="0" w:line="277" w:lineRule="auto"/>
        <w:rPr>
          <w:sz w:val="20"/>
          <w:szCs w:val="20"/>
          <w:color w:val="auto"/>
        </w:rPr>
      </w:pPr>
      <w:r>
        <w:rPr>
          <w:rFonts w:ascii="Arial" w:cs="Arial" w:eastAsia="Arial" w:hAnsi="Arial"/>
          <w:sz w:val="18"/>
          <w:szCs w:val="18"/>
          <w:b w:val="1"/>
          <w:bCs w:val="1"/>
          <w:i w:val="1"/>
          <w:iCs w:val="1"/>
          <w:color w:val="auto"/>
        </w:rPr>
        <w:t>Do I have appraisal rights in connection with the separation and distribution?</w:t>
      </w:r>
    </w:p>
    <w:p>
      <w:pPr>
        <w:spacing w:after="0" w:line="211" w:lineRule="exact"/>
        <w:rPr>
          <w:sz w:val="20"/>
          <w:szCs w:val="20"/>
          <w:color w:val="auto"/>
        </w:rPr>
      </w:pPr>
    </w:p>
    <w:p>
      <w:pPr>
        <w:ind w:left="460" w:right="200" w:hanging="78"/>
        <w:spacing w:after="0" w:line="277" w:lineRule="auto"/>
        <w:rPr>
          <w:sz w:val="20"/>
          <w:szCs w:val="20"/>
          <w:color w:val="auto"/>
        </w:rPr>
      </w:pPr>
      <w:r>
        <w:rPr>
          <w:rFonts w:ascii="Arial" w:cs="Arial" w:eastAsia="Arial" w:hAnsi="Arial"/>
          <w:sz w:val="18"/>
          <w:szCs w:val="18"/>
          <w:b w:val="1"/>
          <w:bCs w:val="1"/>
          <w:i w:val="1"/>
          <w:iCs w:val="1"/>
          <w:color w:val="auto"/>
        </w:rPr>
        <w:t>Who is the transfer agent and registrar for Corteva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April 1, 2019, we entered into the separation agreement with DowDuPont and Dow to effect the separations (including the Internal Reorganization and Business Realignment) and distributions of Dow and Corteva. We have also entered and will also enter into certain other agreements with DowDuPont and Dow, including a tax matters agreement, an employee matters agreement, intellectual property cross-license agreements, trademark license agreements and certain other intellectual property, services, supply and real estate-related agreements. These agreements collectively provide for the terms of the allocation among us, New DuPont and Dow of the assets, liabilities and obligations of DowDuPont and its subsidiaries (including its investments, property and employee benefits and tax-related assets and liabilities) and will govern the relationship among us, New DuPont and Dow subsequent to the completion of the separations and distributions. For additional information regarding the separation agreement and other transaction agreements, see the sections entitled “Risk Factors—Risks Related to the Separation” and “Our Relationship with New DuPont and Dow Following the Distribution.”</w:t>
      </w:r>
    </w:p>
    <w:p>
      <w:pPr>
        <w:spacing w:after="0" w:line="19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DowDuPont stockholders are not entitled to appraisal rights in connection with the separation and distribution.</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Following the separation and distribution, Computershare will serve as transfer agent and registrar for Corteva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Computershare currently serves as DowDuPont’s transfer agent and registrar. In addition,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Computershare will serve as the distribution agent in the distribution and will assist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DowDuPont in the distribution of Corteva common stock to DowDuPont stockholders.</w:t>
      </w:r>
    </w:p>
    <w:p>
      <w:pPr>
        <w:spacing w:after="0" w:line="200" w:lineRule="exact"/>
        <w:rPr>
          <w:sz w:val="20"/>
          <w:szCs w:val="20"/>
          <w:color w:val="auto"/>
        </w:rPr>
      </w:pPr>
    </w:p>
    <w:p>
      <w:pPr>
        <w:sectPr>
          <w:pgSz w:w="11900" w:h="16838" w:orient="portrait"/>
          <w:cols w:equalWidth="0" w:num="2">
            <w:col w:w="4360" w:space="60"/>
            <w:col w:w="6560"/>
          </w:cols>
          <w:pgMar w:left="240" w:top="460" w:right="679" w:bottom="1440" w:gutter="0" w:footer="0" w:header="0"/>
          <w:type w:val="continuous"/>
        </w:sectPr>
      </w:pPr>
    </w:p>
    <w:p>
      <w:pPr>
        <w:spacing w:after="0" w:line="49"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b w:val="1"/>
          <w:bCs w:val="1"/>
          <w:i w:val="1"/>
          <w:iCs w:val="1"/>
          <w:color w:val="auto"/>
        </w:rPr>
        <w:t>Where can I get more information?</w:t>
      </w:r>
      <w:r>
        <w:rPr>
          <w:sz w:val="20"/>
          <w:szCs w:val="20"/>
          <w:color w:val="auto"/>
        </w:rPr>
        <w:tab/>
      </w:r>
      <w:r>
        <w:rPr>
          <w:rFonts w:ascii="Arial" w:cs="Arial" w:eastAsia="Arial" w:hAnsi="Arial"/>
          <w:sz w:val="16"/>
          <w:szCs w:val="16"/>
          <w:color w:val="auto"/>
        </w:rPr>
        <w:t>If you have any questions relating to the mechanics of the distribution, you should contact</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Computershare, as the distribution agent at:</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1-833-388-2882 or 1-781-575-3120 (outside the U.S.)</w:t>
      </w:r>
    </w:p>
    <w:p>
      <w:pPr>
        <w:spacing w:after="0" w:line="200" w:lineRule="exact"/>
        <w:rPr>
          <w:sz w:val="20"/>
          <w:szCs w:val="20"/>
          <w:color w:val="auto"/>
        </w:rPr>
      </w:pPr>
    </w:p>
    <w:p>
      <w:pPr>
        <w:spacing w:after="0" w:line="241" w:lineRule="exact"/>
        <w:rPr>
          <w:sz w:val="20"/>
          <w:szCs w:val="20"/>
          <w:color w:val="auto"/>
        </w:rPr>
      </w:pPr>
    </w:p>
    <w:p>
      <w:pPr>
        <w:ind w:left="4440" w:right="140"/>
        <w:spacing w:after="0" w:line="277" w:lineRule="auto"/>
        <w:rPr>
          <w:sz w:val="20"/>
          <w:szCs w:val="20"/>
          <w:color w:val="auto"/>
        </w:rPr>
      </w:pPr>
      <w:r>
        <w:rPr>
          <w:rFonts w:ascii="Arial" w:cs="Arial" w:eastAsia="Arial" w:hAnsi="Arial"/>
          <w:sz w:val="18"/>
          <w:szCs w:val="18"/>
          <w:color w:val="auto"/>
        </w:rPr>
        <w:t>Before the separation and distribution, if you have any questions relating to Corteva, you should contact Corteva at:</w:t>
      </w:r>
    </w:p>
    <w:p>
      <w:pPr>
        <w:spacing w:after="0" w:line="1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Investor Relations</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1-302-774-1000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240" w:top="460" w:right="679" w:bottom="1440" w:gutter="0" w:footer="0" w:header="0"/>
          <w:type w:val="continuous"/>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7311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002145" cy="27311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Before the separation and distribution, if you have any questions relating to DowDuPont, you should contact DowDuPont at:</w:t>
      </w:r>
    </w:p>
    <w:p>
      <w:pPr>
        <w:spacing w:after="0" w:line="200" w:lineRule="exact"/>
        <w:rPr>
          <w:sz w:val="20"/>
          <w:szCs w:val="20"/>
          <w:color w:val="auto"/>
        </w:rPr>
      </w:pPr>
    </w:p>
    <w:p>
      <w:pPr>
        <w:spacing w:after="0" w:line="2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Investor Relations</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1-302-774-4994 (for Institutional Holders)</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1-302-774-3034 (for Individual Holders)</w:t>
      </w:r>
    </w:p>
    <w:p>
      <w:pPr>
        <w:spacing w:after="0" w:line="252" w:lineRule="exact"/>
        <w:rPr>
          <w:sz w:val="20"/>
          <w:szCs w:val="20"/>
          <w:color w:val="auto"/>
        </w:rPr>
      </w:pPr>
    </w:p>
    <w:p>
      <w:pPr>
        <w:ind w:left="4420"/>
        <w:spacing w:after="0" w:line="277" w:lineRule="auto"/>
        <w:rPr>
          <w:sz w:val="20"/>
          <w:szCs w:val="20"/>
          <w:color w:val="auto"/>
        </w:rPr>
      </w:pPr>
      <w:r>
        <w:rPr>
          <w:rFonts w:ascii="Arial" w:cs="Arial" w:eastAsia="Arial" w:hAnsi="Arial"/>
          <w:sz w:val="18"/>
          <w:szCs w:val="18"/>
          <w:color w:val="auto"/>
        </w:rPr>
        <w:t>After the separation and distribution, if you have any questions relating to New DuPont, you should contact New DuPont at:</w:t>
      </w:r>
    </w:p>
    <w:p>
      <w:pPr>
        <w:spacing w:after="0" w:line="1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Investor Relations</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1-302-774-4994 (for Institutional Holders)</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1-302-774-3034 (for Individual Holders)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60"/>
          </w:cols>
          <w:pgMar w:left="240" w:top="460" w:right="8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information statement in evaluating us and Corteva common stock. The risk factors generally have been separated into three groups: risks related to our business, risks related to the separation and risks related to Corteva common stock.</w:t>
      </w:r>
    </w:p>
    <w:p>
      <w:pPr>
        <w:spacing w:after="0" w:line="18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i w:val="1"/>
          <w:iCs w:val="1"/>
          <w:color w:val="auto"/>
        </w:rPr>
        <w:t>Any of the following risks, as well as additional risks and uncertainties not currently known to us or that we currently deem immaterial, could materially and adversely affect our business, results of operations or financial condition. Our operations could be affected by various risks, many of which are beyond our control. Based on current information, we believe that the following identifies the most significant risks that could affect our business, results of operations or financial condition. Past financial performance may not be a reliable indicator of future performance and historical trends should not be used to anticipate results or trends in future periods. See the section entitled “Cautionary Statement Concerning Forward-Looking Statements” for more details.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participate in an industry that is highly competitive and has undergone consolidation, which could increase competitive pressures.</w:t>
      </w:r>
    </w:p>
    <w:p>
      <w:pPr>
        <w:spacing w:after="0" w:line="1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currently face significant competition in the markets in which we operate. In most segments of the market, the number of products available to the grower is steadily increasing as new products are introduced. At the same time, certain products are coming off patent and are thus available to generic manufacturers for production and commercialization. Additionally, data analytic tools and web-based new direct purchase models offer increased transparency and comparability, which creates price pressures. We cannot predict the pricing or promotional actions of our competitors. Aggressive marketing or pricing by our competitors could adversely affect our business, results of operations and financial conditions. As a result, we anticipate that we will continue to face significant competitive challenges.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successful development and commercialization of our pipeline products will be necessary for our growth.</w:t>
      </w:r>
    </w:p>
    <w:p>
      <w:pPr>
        <w:spacing w:after="0" w:line="11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use advanced breeding technologies to produce hybrids and varieties with superior performance in farmers’ fields, and we use biotechnology to introduce traits that enhance specific characteristics of our crops. We also use advanced analytics, software tools, mobile communications and new planting and monitoring equipment to provide agronomic recommendations to growers. Additionally, we conduct research into biological and chemical products to protect farmers’ crops from pests and diseases and enhance plant productivity.</w:t>
      </w:r>
    </w:p>
    <w:p>
      <w:pPr>
        <w:spacing w:after="0" w:line="187"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New product concepts may be abandoned for many reasons, including greater anticipated development costs, technical difficulties, lack of efficacy, regulatory obstacles or inability to market under regulatory frameworks, competition, inability to prove the original concept, lack of demand and the need to divert focus, from time to time, to other initiatives with perceived opportunities for better returns. The processes of active ingredient development or discovery, breeding, biotechnology trait discovery and development and trait integration are lengthy, and a very small percentage of the chemicals, genes and germplasm we test is selected for commercialization. Furthermore, the length of time and the risk associated with the breeding and biotech pipelines are interlinked because both are required as a package for commercial success in markets where biotech traits are approved for growers. In countries where biotech traits are not approved for widespread use, our seed sales depend on the quality of our germplasm.</w:t>
      </w:r>
    </w:p>
    <w:p>
      <w:pPr>
        <w:spacing w:after="0" w:line="16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Speed in discovering, developing, protecting and responding to new technologies, including new technology-based distribution channels that could facilitate our ability to engage with customers and end users, and bringing related products to market is a significant competitive advantage. Commercial success frequently depends on being the first company to the market, and many of our competitors are also making considerable investments in similar new biotechnology products, improved germplasm products, biological and chemical products and agronomic recommendation products.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the necessary regulatory approvals for some of our products, including our seed and crop protection products, which could restrict our ability to sell those products in some markets.</w:t>
      </w:r>
    </w:p>
    <w:p>
      <w:pPr>
        <w:spacing w:after="0" w:line="62"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Regulatory and legislative requirements affect the development, manufacture and distribution of our products, including the testing and planting of seeds containing our biotechnology traits and the import of crops grown from those seeds, and non-compliance can harm our sales and profitability.</w:t>
      </w:r>
    </w:p>
    <w:p>
      <w:pPr>
        <w:spacing w:after="0" w:line="124"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Seed products incorporating biotechnology derived traits and crop protection products must be extensively tested for safety, efficacy and environmental impact before they can be registered for production, use, sale or commercialization in a given market. In certain jurisdictions, we must periodically renew our approvals for both biotechnology and crop protection products, which typically require us to demonstrate compliance with then-current standards which generally are more stringent since the prior registration. The regulatory approvals process is lengthy, costly, complex and in some markets unpredictable, with requirements that can vary by product, technology, industry and country. The regulatory approvals process for products that incorporate novel modes of action or new technologies can be particularly unpredictable and uncertain due to the then-current state of regulatory guidelines and objectives, as well as governmental policy considerations and non-governmental organization and other stakeholder considerations.</w:t>
      </w:r>
    </w:p>
    <w:p>
      <w:pPr>
        <w:spacing w:after="0" w:line="167"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Furthermore, the detection of biotechnology traits or chemical residues from a crop protection product not approved in the country in which we sell or cultivate our product, or in a country to which we import our product, may affect our ability to supply our products or export our products, or even result in crop destruction, product recalls or trade disruption, which could result in lawsuits and termination of licenses related to biotechnology traits and raw material supply agreements. Delays in obtaining regulatory approvals to import, including those related to the importation of crops grown from seeds containing certain traits or treated with specific chemicals, may influence the rate of adoption of new products in globally traded crops.</w:t>
      </w:r>
    </w:p>
    <w:p>
      <w:pPr>
        <w:spacing w:after="0" w:line="158"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Additionally, the regulatory environment may be impacted by the activities of non-governmental organizations and special interest groups and stakeholder reaction to actual or perceived impacts of new and existing technology, products or processes on safety, health and the environment. Obtaining and maintaining regulatory approvals requires submitting a significant amount of information and data, which may require participation from technology providers. Regulatory standards and trial procedures are continuously changing. In addition, we have seen an increase in recent years in the number of lawsuits filed by those who identify themselves as public or environmental interest groups seeking to invalidate pesticide product registrations and/or challenge the way federal or state governmental entities apply the rules and regulations governing pesticide produce use. The pace of change together with the lack of regulatory harmony could result in unintended noncompliance. Responding to these changes and meeting existing and new requirements may involve significant costs or capital expenditures or require changes in business practice that could result in reduced profitability. The failure to receive necessary permits or approvals could have near- and long-term effects on our ability to produce and sell some current and future products.</w:t>
      </w:r>
    </w:p>
    <w:p>
      <w:pPr>
        <w:spacing w:after="0" w:line="30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Enforcing our intellectual property rights, or defending against intellectual property claims asserted by others, could adversely affect our business, results of operations and financial condition.</w:t>
      </w:r>
    </w:p>
    <w:p>
      <w:pPr>
        <w:spacing w:after="0" w:line="62"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color w:val="auto"/>
        </w:rPr>
        <w:t>Intellectual property rights, including patents, plant variety protection, trade secrets, confidential information, trademarks, tradenames and other forms of trade dress, are important to our business. We endeavor to protect our intellectual property rights in jurisdictions in which our products are produced or used and in jurisdictions into which our products are imported. However, we may be unable to obtain protection for our intellectual property in key jurisdictions. Further, changes in government policies and regulations, including changes made in reaction to pressure from non-governmental organizations, or the public generally, could impact the extent of intellectual property protection afforded by such jurisdictions.</w:t>
      </w:r>
    </w:p>
    <w:p>
      <w:pPr>
        <w:spacing w:after="0" w:line="15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We have designed and implemented internal controls to restrict use of, access to and distribution of our intellectual property. Despite these precautions, our intellectual property is vulnerable to infringement,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misappropriation and other unauthorized access, including through employee or licensee error or actions, theft and cybersecurity incidents, and other security breaches. When unauthorized access and use or counterfeit products are discovered, we report such situations to governmental authorities for investigation, as appropriate, and take measures to mitigate any potential impact. Protecting intellectual property related to biotechnology is particularly challenging because theft is difficult to detect and biotechnology can be self-replicating.</w:t>
      </w:r>
    </w:p>
    <w:p>
      <w:pPr>
        <w:spacing w:after="0" w:line="17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Competitors are increasingly challenging intellectual property positions and the outcomes can be highly uncertain. Third parties may claim our products violate their intellectual property rights. Defending such claims, even those without merit, could be time-consuming and expensive. In addition, any such claim could result in our having to enter into license agreements, develop non-infringing products or engage in litigation that could be costly. If challenges are resolved adversely, it could negatively impact our ability to obtain licenses on competitive terms, develop and commercialize new products and generate sales from existing products.</w:t>
      </w:r>
    </w:p>
    <w:p>
      <w:pPr>
        <w:spacing w:after="0" w:line="188"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In addition, because of the rapid pace of technological change, the confidentiality of patent applications in some jurisdictions and/or the uncertainty in predicting the outcome of complex proceedings relating to ownership and the scope of patents relating to certain emerging technologies, competitors may be issued patents related to our business unexpectedly. These patents could reduce the value of our commercial or pipeline products or, to the extent they cover key technologies on which we have relied, require us to seek to obtain licenses (and we cannot ensure we would be able to obtain such a license on acceptable terms) or cease using the technology, no matter how valuable to our business.</w:t>
      </w:r>
    </w:p>
    <w:p>
      <w:pPr>
        <w:spacing w:after="0" w:line="173"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Legislation and jurisprudence on patent protection is evolving and changes in laws could affect our ability to obtain or maintain patent protection for, and otherwise enforce our patents related to, our products.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may be adversely affected by competition from manufacturers of generic products.</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Competition from manufacturers of generic products is a challenge for our branded products around the world, and the loss or expiration of intellectual property rights can have a significant adverse effect on our revenues. The date at which generic competition commences may be different from the date that the patent or regulatory exclusivity expires. However, upon the loss or expiration of patent protection for one of our products or of a product that we license, or upon the “at-risk” launch (despite pending patent infringement litigation against the generic product) by a generic manufacturer of a generic version of one of our patented products or of a product that we license, we can lose a major portion of revenues for that product, which can adversely affect our business.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are dependent on our relationships or contracts with third parties with respect to certain of our raw materials or licenses and commercialization.</w:t>
      </w:r>
    </w:p>
    <w:p>
      <w:pPr>
        <w:spacing w:after="0" w:line="152"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We are dependent on third parties in the research, development and commercialization of our products and enter into transactions including, but not limited to, supply agreements and licensing agreements in connection with our business. The majority of our corn hybrids and soybean varieties sold to customers contain biotechnology traits that we license from third parties under long-term licenses. If we lose our rights under such licenses, it could negatively impact our ability to obtain future licenses on competitive terms, commercialize new products and generate sales from existing products. To maintain such licenses, we may elect to out-license our technology, including germplasm. There can be no guarantee that such out-licensing will not ultimately strengthen our competition thereby adversely impacting our results of operations.</w:t>
      </w:r>
    </w:p>
    <w:p>
      <w:pPr>
        <w:spacing w:after="0" w:line="178"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While we rely heavily on third parties for multiple aspects of our business and commercialization activities, we do not control many aspects of such third parties’ activities. Third parties may not complete activities on schedule or in accordance with our expectations. Failure by one or more of these third parties to meet their contractual or other obligations to us or to comply with applicable laws or regulations, or any disruption in the relationship between us and one or more of these third parties could delay or prevent the development, approval</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or commercialization of our products and could also result in non-compliance or reputational harm, all with potential negative implications for our business.</w:t>
      </w:r>
    </w:p>
    <w:p>
      <w:pPr>
        <w:spacing w:after="0" w:line="17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In addition, our agreements with third parties may obligate us to meet certain contractual or other obligations to third parties. For example, we may be obligated to meet certain thresholds or abide by certain boundary conditions. If we were to fail to meet such obligations to the third parties, our relationship with such third parties may be disrupted. Such a disruption could negatively impact certain of our licenses on which we depend, could cause reputational harm, and could negatively affect our business, results of operations and financial condition.</w:t>
      </w:r>
    </w:p>
    <w:p>
      <w:pPr>
        <w:spacing w:after="0" w:line="295"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b w:val="1"/>
          <w:bCs w:val="1"/>
          <w:i w:val="1"/>
          <w:iCs w:val="1"/>
          <w:color w:val="auto"/>
        </w:rPr>
        <w:t>The costs of complying with evolving regulatory requirements could negatively impact our business, results of operations and financial condition. Actual or alleged violations of environmental laws or permit requirements could result in restrictions or prohibitions on plant operations, substantial civil or criminal sanctions, as well as the assessment of strict liability and/or joint and several liability.</w:t>
      </w:r>
    </w:p>
    <w:p>
      <w:pPr>
        <w:spacing w:after="0" w:line="5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We are subject to extensive federal, state, local and foreign laws, regulations, rules and ordinances relating to pollution, protection of the environment, waste water discharges, the generation, storage, handling, transportation, treatment, disposal and remediation of hazardous substances and waste materials and the use of genetically modified seeds and crop protection active ingredients by growers.</w:t>
      </w:r>
    </w:p>
    <w:p>
      <w:pPr>
        <w:spacing w:after="0" w:line="18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Environmental and health and safety laws, regulations and standards expose us to the risk of substantial costs and liabilities, including liabilities associated with our business and the discontinued and divested businesses and operations of Historical DuPont. As is typical for businesses such as ours, soil and groundwater contamination has occurred in the past at certain sites, and may be identified at other sites in the future. Disposal of waste from our business at off-site locations also exposes us to potential remediation costs. Consistent with past practice, we are continuing to monitor, investigate and remediate soil and groundwater contamination at several of these sites.</w:t>
      </w:r>
    </w:p>
    <w:p>
      <w:pPr>
        <w:spacing w:after="0" w:line="188"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Costs and capital expenditures relating to environmental, health or safety matters are subject to evolving regulatory requirements and depend on the timing of the promulgation and enforcement of specific standards which impose the requirements. Moreover, changes in environmental regulations could inhibit or interrupt our operations, or require modifications to our facilities. Accordingly, environmental, health or safety regulatory matters could result in significant unanticipated costs or liabilities, which may be materially higher than our accruals.</w:t>
      </w:r>
    </w:p>
    <w:p>
      <w:pPr>
        <w:spacing w:after="0" w:line="280" w:lineRule="exact"/>
        <w:rPr>
          <w:sz w:val="20"/>
          <w:szCs w:val="20"/>
          <w:color w:val="auto"/>
        </w:rPr>
      </w:pPr>
    </w:p>
    <w:p>
      <w:pPr>
        <w:ind w:left="200" w:right="560"/>
        <w:spacing w:after="0" w:line="264" w:lineRule="auto"/>
        <w:rPr>
          <w:sz w:val="20"/>
          <w:szCs w:val="20"/>
          <w:color w:val="auto"/>
        </w:rPr>
      </w:pPr>
      <w:r>
        <w:rPr>
          <w:rFonts w:ascii="Arial" w:cs="Arial" w:eastAsia="Arial" w:hAnsi="Arial"/>
          <w:sz w:val="18"/>
          <w:szCs w:val="18"/>
          <w:b w:val="1"/>
          <w:bCs w:val="1"/>
          <w:i w:val="1"/>
          <w:iCs w:val="1"/>
          <w:color w:val="auto"/>
        </w:rPr>
        <w:t>The degree of public understanding and acceptance or perceived public acceptance of our biotechnology and other agricultural products and technologies can affect our sales and results of operations by affecting planting approvals, regulatory requirements and customer purchase decisions.</w:t>
      </w:r>
    </w:p>
    <w:p>
      <w:pPr>
        <w:spacing w:after="0" w:line="73"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Concerns and claims regarding the safe use of seeds with biotechnology traits and crop protection products in general, their potential impact on health and the environment, and the perceived impacts of biotechnology on health and the environment, reflect a growing trend in societal demands for increasing levels of product safety and environmental protection. These include concerns and claims that increased use of crop protection products, drift, inversion, volatilization and the use of biotechnology traits meant to reduce the resistance of weeds or pests to control by crop protection products, could increase or accelerate such resistance and otherwise negatively impact health and the environment. These and other concerns could manifest themselves in stockholder proposals, preferred purchasing, delays or failures in obtaining or retaining regulatory approvals, delayed product launches, lack of market acceptance, product discontinuation, continued pressure for and adoption of more stringent regulatory intervention and litigation, termination of raw material supply agreements and legal claims. These and other concerns could also influence public perceptions, the viability or continued sales of certain of our products, our reputation and the cost to comply with regulations. As a result, such concerns could adversely affect our business, results of operations, financial condition and cash flows.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agricultural and related policies of governments and international organizations may prove unfavorable.</w:t>
      </w:r>
    </w:p>
    <w:p>
      <w:pPr>
        <w:spacing w:after="0" w:line="11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In many markets there are various pressures to reduce government subsidies to farmers, which may inhibit the growth in these markets of products used in agriculture. In addition, government programs that create incentives for farmers (for example, the U.S. Renewable Fuel Standard) may be modified or discontinued. However, it is difficult to predict accurately whether, and if so when, such changes will occur. We expect that the policies of governments and international organizations will continue to affect the planting choices made by growers as well as the income available to growers to purchase products used in agriculture and, accordingly, the operating results of the agriculture industry.</w:t>
      </w:r>
    </w:p>
    <w:p>
      <w:pPr>
        <w:spacing w:after="0" w:line="2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could be adversely affected by disruptions to our supply chain, information technology or network systems.</w:t>
      </w:r>
    </w:p>
    <w:p>
      <w:pPr>
        <w:spacing w:after="0" w:line="62"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Business and/or supply chain disruptions, plant and/or power outages and information technology system and/or network disruptions, regardless of cause including acts of sabotage, employee error or other actions, geo-political activity, weather events and natural disasters could seriously harm our operations as well as the operations of our customers and suppliers. For example, a pandemic in locations where we have significant operations or sales could have a material adverse effect on our results of operations. In addition, terrorist attacks and natural disasters have increased stakeholder concerns about the security and safety of chemical production and distribution.</w:t>
      </w:r>
    </w:p>
    <w:p>
      <w:pPr>
        <w:spacing w:after="0" w:line="173"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Business and/or supply chain disruptions may also be caused by security breaches, which could include, for example, attacks on information technology and infrastructure by hackers, viruses, breaches due to employee error or actions or other disruptions. We and/or our suppliers may fail to effectively prevent, detect and recover from these or other security breaches and, as a consequence, such breaches could result in misuse of our assets, business disruptions, loss of property including trade secrets and confidential business information, legal claims or proceedings, reporting errors, processing inefficiencies, negative media attention, loss of sales and interference with regulatory compliance.</w:t>
      </w:r>
    </w:p>
    <w:p>
      <w:pPr>
        <w:spacing w:after="0" w:line="173"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Like most major corporations, we are the target of industrial espionage, including cyber-attacks, from time to time. We have determined that these attacks have resulted, and could result in the future, in unauthorized parties gaining access to at least certain confidential business information. However, to date, we have not experienced any material financial impact, changes in the competitive environment or impact on business operations that we attribute to these attacks. Although management does not believe that we have experienced any material losses to date related to security breaches, including cybersecurity incidents, there can be no assurance that we will not suffer such losses in the future.</w:t>
      </w:r>
    </w:p>
    <w:p>
      <w:pPr>
        <w:spacing w:after="0" w:line="173"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We actively manage the risks within our control that could lead to business disruptions and security breaches. As these threats continue to evolve, particularly around cybersecurity, we may be required to expend significant resources to enhance our control environment, processes, practices and other protective measures. Despite these efforts, such events could have a material adverse effect on our business, financial condition or results of operations.</w:t>
      </w:r>
    </w:p>
    <w:p>
      <w:pPr>
        <w:spacing w:after="0" w:line="25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Our sales to our customers may be adversely affected should a company successfully establish an intermediary platform for the sale of our products or otherwise position itself between us and our customers.</w:t>
      </w:r>
    </w:p>
    <w:p>
      <w:pPr>
        <w:spacing w:after="0" w:line="62" w:lineRule="exact"/>
        <w:rPr>
          <w:sz w:val="20"/>
          <w:szCs w:val="20"/>
          <w:color w:val="auto"/>
        </w:rPr>
      </w:pPr>
    </w:p>
    <w:p>
      <w:pPr>
        <w:ind w:left="200" w:right="360"/>
        <w:spacing w:after="0" w:line="302" w:lineRule="auto"/>
        <w:rPr>
          <w:sz w:val="20"/>
          <w:szCs w:val="20"/>
          <w:color w:val="auto"/>
        </w:rPr>
      </w:pPr>
      <w:r>
        <w:rPr>
          <w:rFonts w:ascii="Arial" w:cs="Arial" w:eastAsia="Arial" w:hAnsi="Arial"/>
          <w:sz w:val="16"/>
          <w:szCs w:val="16"/>
          <w:color w:val="auto"/>
        </w:rPr>
        <w:t>We expect our distribution model will service customers primarily through the DuPont Pioneer direct sales channel in key agricultural geographies, including the United States. In addition, we expect to supplement this approach with strong retail channels, including distributors, agricultural cooperatives and dealers, and with digital solutions that assist farmer decision-making with a view to optimize their product selection and maximize their yield and profitability. While we expect the indirect channels and our digital platform will extend our reach</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and increase exposure of our products to other potential customers, including smaller farmers or farmers in less concentrated areas, there can be no assurance that we will be successful in this regard. If a competitor were to successfully establish an intermediary platform for distribution of our products, especially with respect to our digital platform, it may disrupt our distribution model and inhibit our ability to provide a complete go-to-market strategy covering the direct, dealer and retail channels. In such a circumstance, our sales may be adversely affected.</w:t>
      </w:r>
    </w:p>
    <w:p>
      <w:pPr>
        <w:spacing w:after="0" w:line="28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Volatility in our input costs, which include raw materials and production costs, could have a significant impact on our business, results of operations and financial condition.</w:t>
      </w:r>
    </w:p>
    <w:p>
      <w:pPr>
        <w:spacing w:after="0" w:line="62"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Our input costs are variable based on the costs associated with production or with raw materials we use. For example, our production costs vary, especially on a seasonal basis where changes in weather influence supply and demand. In addition, our manufacturing processes consume significant amounts of raw materials, the costs of which are subject to worldwide supply and demand as well as other factors beyond our control. We refer to these costs collectively as input costs. Significant variations in input costs affect our operating results from period to period.</w:t>
      </w:r>
    </w:p>
    <w:p>
      <w:pPr>
        <w:spacing w:after="0" w:line="17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When possible, we purchase raw materials through negotiated long-term contracts to minimize the impact of price fluctuations. We also enter into over-the-counter and exchange traded derivative commodity instruments to hedge our exposure to price fluctuations on certain raw material purchases. In addition, we take actions to offset the effects of higher input costs through selling price increases, productivity improvements and cost reduction programs. Success in offsetting higher raw material costs with price increases is largely influenced by competitive and economic conditions and could vary significantly depending on the market served. If we are not able to fully offset the effects of higher input costs, it could have a significant impact on our financial results.</w:t>
      </w:r>
    </w:p>
    <w:p>
      <w:pPr>
        <w:spacing w:after="0" w:line="301" w:lineRule="exact"/>
        <w:rPr>
          <w:sz w:val="20"/>
          <w:szCs w:val="20"/>
          <w:color w:val="auto"/>
        </w:rPr>
      </w:pPr>
    </w:p>
    <w:p>
      <w:pPr>
        <w:jc w:val="both"/>
        <w:ind w:left="200" w:right="240"/>
        <w:spacing w:after="0" w:line="264" w:lineRule="auto"/>
        <w:rPr>
          <w:sz w:val="20"/>
          <w:szCs w:val="20"/>
          <w:color w:val="auto"/>
        </w:rPr>
      </w:pPr>
      <w:r>
        <w:rPr>
          <w:rFonts w:ascii="Arial" w:cs="Arial" w:eastAsia="Arial" w:hAnsi="Arial"/>
          <w:sz w:val="18"/>
          <w:szCs w:val="18"/>
          <w:b w:val="1"/>
          <w:bCs w:val="1"/>
          <w:i w:val="1"/>
          <w:iCs w:val="1"/>
          <w:color w:val="auto"/>
        </w:rPr>
        <w:t>We may be unable to achieve all the benefits that we expect to achieve from the Internal Reorganization. Combining the agriculture businesses of Historical DuPont and Historical Dow may be more difficult, costly or time-consuming than expected, which may adversely affect our results and negatively affect the value of Corteva common stock.</w:t>
      </w:r>
    </w:p>
    <w:p>
      <w:pPr>
        <w:spacing w:after="0" w:line="73"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Since the Merger, we have benefitted from and expect to continue to benefit from significant cost synergies through the DowDuPont Cost Synergy Program (the “Synergy Program”) which is designed to integrate and optimize the organization in preparation for the separation of DowDuPont’s materials science business through the separation and distribution of Dow (which occurred on April 1, 2019) and the intended separation of DowDuPont’s agriculture business through our separation and distribution. This integration and optimization is designed to be achieved through production cost efficiencies, enhancement of the agricultural supply chain, elimination of duplicative agricultural research and development programs, optimization of our global footprint across manufacturing, sales and research and development, the reduction of corporate and leveraged services costs, and the realization of significant procurement synergies. In addition, our management also expects we will achieve growth synergies and other meaningful savings and benefits as a result of our separation and distribution.</w:t>
      </w:r>
    </w:p>
    <w:p>
      <w:pPr>
        <w:spacing w:after="0" w:line="179" w:lineRule="exact"/>
        <w:rPr>
          <w:sz w:val="20"/>
          <w:szCs w:val="20"/>
          <w:color w:val="auto"/>
        </w:rPr>
      </w:pPr>
    </w:p>
    <w:p>
      <w:pPr>
        <w:jc w:val="both"/>
        <w:ind w:left="200" w:right="200"/>
        <w:spacing w:after="0" w:line="286" w:lineRule="auto"/>
        <w:rPr>
          <w:sz w:val="20"/>
          <w:szCs w:val="20"/>
          <w:color w:val="auto"/>
        </w:rPr>
      </w:pPr>
      <w:r>
        <w:rPr>
          <w:rFonts w:ascii="Arial" w:cs="Arial" w:eastAsia="Arial" w:hAnsi="Arial"/>
          <w:sz w:val="17"/>
          <w:szCs w:val="17"/>
          <w:color w:val="auto"/>
        </w:rPr>
        <w:t>Combining Historical DuPont and Historical Dow’s independent agriculture businesses and preparing for our separation and distribution are complex, costly and time-consuming processes and management may face significant challenges in implementing or realizing the currently expected synergies from our separation and distribution, many of which may be beyond the control of management, including, without limitation:</w:t>
      </w:r>
    </w:p>
    <w:p>
      <w:pPr>
        <w:spacing w:after="0" w:line="71" w:lineRule="exact"/>
        <w:rPr>
          <w:sz w:val="20"/>
          <w:szCs w:val="20"/>
          <w:color w:val="auto"/>
        </w:rPr>
      </w:pPr>
    </w:p>
    <w:p>
      <w:pPr>
        <w:ind w:left="1060" w:hanging="316"/>
        <w:spacing w:after="0"/>
        <w:tabs>
          <w:tab w:leader="none" w:pos="10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or separation process, including with respect to the intended tax efficient transactions;</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unanticipated issues in integrating, replicating or separating information technology, communications programs, financial procedures and operations, and other systems, procedures and policies;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addressing differences in business culture and retaining key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the operations of the combined agriculture company and the intended tax efficient separation transactions;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failing to successfully optimize our facilities footprint;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failing to take advantage of our global supply chain;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failing to identify and eliminate duplicative programs; and</w:t>
      </w:r>
    </w:p>
    <w:p>
      <w:pPr>
        <w:spacing w:after="0" w:line="130" w:lineRule="exact"/>
        <w:rPr>
          <w:rFonts w:ascii="Arial" w:cs="Arial" w:eastAsia="Arial" w:hAnsi="Arial"/>
          <w:sz w:val="18"/>
          <w:szCs w:val="18"/>
          <w:color w:val="auto"/>
        </w:rPr>
      </w:pPr>
    </w:p>
    <w:p>
      <w:pPr>
        <w:ind w:left="1060" w:right="680" w:hanging="316"/>
        <w:spacing w:after="0" w:line="277" w:lineRule="auto"/>
        <w:tabs>
          <w:tab w:leader="none" w:pos="1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failing to otherwise integrate Historical DuPont’s or Historical Dow’s respective agriculture businesses, including their technology platforms.</w:t>
      </w:r>
    </w:p>
    <w:p>
      <w:pPr>
        <w:spacing w:after="0" w:line="17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Some of these factors will be outside of our control and any one of them could result in increased costs and diversion of management’s time and energy, as well as decreases in the amount of expected revenue which could materially impact our business, financial condition and results of operations.</w:t>
      </w:r>
    </w:p>
    <w:p>
      <w:pPr>
        <w:spacing w:after="0" w:line="124" w:lineRule="exact"/>
        <w:rPr>
          <w:sz w:val="20"/>
          <w:szCs w:val="20"/>
          <w:color w:val="auto"/>
        </w:rPr>
      </w:pPr>
    </w:p>
    <w:p>
      <w:pPr>
        <w:ind w:left="200" w:right="380"/>
        <w:spacing w:after="0" w:line="312" w:lineRule="auto"/>
        <w:rPr>
          <w:sz w:val="20"/>
          <w:szCs w:val="20"/>
          <w:color w:val="auto"/>
        </w:rPr>
      </w:pPr>
      <w:r>
        <w:rPr>
          <w:rFonts w:ascii="Arial" w:cs="Arial" w:eastAsia="Arial" w:hAnsi="Arial"/>
          <w:sz w:val="16"/>
          <w:szCs w:val="16"/>
          <w:color w:val="auto"/>
        </w:rPr>
        <w:t>If the anticipated benefits and cost savings from the Synergy Program are not realized fully or take longer to realize than expected, the value of our common stock, our revenues, levels of expenses and results of operations may be affected adversely. There can be no assurance that we, as an independent, separate public company, will be able to sustain any or all the cost savings generated from actions under the Synergy Program.</w:t>
      </w:r>
    </w:p>
    <w:p>
      <w:pPr>
        <w:spacing w:after="0" w:line="25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Our liquidity, business, results of operations and financial condition could be impaired if we are unable to raise capital through the capital markets or short-term debt borrowings.</w:t>
      </w:r>
    </w:p>
    <w:p>
      <w:pPr>
        <w:spacing w:after="0" w:line="62"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Any limitation on our ability to raise money in the capital markets or through short-term debt borrowings could have a substantial negative effect on our liquidity. Our ability to affordably access the capital markets and/or borrow short-term debt in amounts adequate to finance our activities could be impaired as a result of a variety of factors, including factors that are not specific to us, such as a severe disruption of the financial markets and, in the case of debt securities or borrowings, interest rate fluctuations. Due to the seasonality of our business and the credit programs we may offer our customers, net working capital investment and corresponding debt levels will fluctuate over the course of the year.</w:t>
      </w:r>
    </w:p>
    <w:p>
      <w:pPr>
        <w:spacing w:after="0" w:line="173"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We regularly extend credit to our customers to enable them to purchase seeds or crop protection products at the beginning of the growing season. The customer receivables may be used as collateral for short-term financing programs. Any material adverse effect upon our ability to own or sell such customer receivables, including seasonal factors that may impact the amount of customer receivables we own, may materially impact our access to capital.</w:t>
      </w:r>
    </w:p>
    <w:p>
      <w:pPr>
        <w:spacing w:after="0" w:line="18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We have additional agreements with financial institutions to establish programs that provide financing for select customers of our seed and crop protection products in the United States, Latin America, Europe and Asia. The programs are renewed on an annual basis. In most cases, Historical DuPont or the agriculture business of Historical Dow guarantees the extension of such credit to such customers. If we are unable to renew these agreements or access the debt markets to support customer financing our sales may be negatively impacted, which could result in increased borrowing needs to fund working capital.</w:t>
      </w:r>
    </w:p>
    <w:p>
      <w:pPr>
        <w:spacing w:after="0" w:line="18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Our earnings, operations and business, among other things, will impact our credit ratings, costs and availability of financing. A decrease in the ratings assigned to us by the ratings agencies may negatively impact our access to the debt capital markets and increase our cost of borrowing and the financing of our seasonal working capital.</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60"/>
          </w:cols>
          <w:pgMar w:left="24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There can be no assurance that we will maintain our current or prospective credit ratings. Any actual or anticipated changes or downgrades in such credit ratings may have a negative impact on our liquidity, capital position or access to capital markets.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customers may be unable to pay their debts to us.</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We offer our customers financing programs with credit terms generally less than one year from invoicing in alignment with the growing season. Due to these credit practices as well as the seasonality of our operations, we may need to issue short-term debt at certain times of the year to fund our cash flow requirements. Our customers may be exposed to a variety of conditions that could adversely affect their ability to pay their debts. For example, customers in economies experiencing an economic downturn or in a region experiencing adverse growing conditions may be unable to repay their obligations to us, which could adversely affect our results.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Increases in pension and other post-employment benefit plan funding obligations may impair our liquidity or financial condition.</w:t>
      </w:r>
    </w:p>
    <w:p>
      <w:pPr>
        <w:spacing w:after="0" w:line="129"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Through our ownership of EID and other members of Historical DuPont, we maintain certain Historical DuPont defined benefit pension and other post-employment benefit plans. For some of these plans, including Historical DuPont’s principal U.S. pension plan, we will continue as sponsor for the entire plan regardless of whether participants, including retirees, are or were associated with Historical DuPont’s agriculture business. We use many assumptions in calculating our expected future payment obligations under these plans. Significant adverse changes in credit or market conditions could result in actual rates of returns on pension investments being lower than assumed. In addition, expected future payment obligations may be adversely impacted by changes in assumptions regarding participants, including retirees. We may be required to make significant contributions to our pension plans in the future, which could adversely affect our results of operations, liquidity and financial condition.</w:t>
      </w:r>
    </w:p>
    <w:p>
      <w:pPr>
        <w:spacing w:after="0" w:line="286"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could be adversely affected by environmental, litigation and other commitments and contingencies.</w:t>
      </w:r>
    </w:p>
    <w:p>
      <w:pPr>
        <w:spacing w:after="0" w:line="62"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As a result of our operations, including past operations and those related to divested businesses and discontinued operations of Historical DuPont, we incur environmental operating costs for pollution abatement activities including waste collection and disposal, installation and maintenance of air pollution controls and wastewater treatment, emissions testing and monitoring and obtaining permits. We also incur environmental operating costs related to environmental related research and development activities including environmental field and treatment studies as well as toxicity and degradation testing to evaluate the environmental impact of products and raw materials. In addition, we maintain and periodically review and adjust our accruals for probable environmental remediation and restoration costs.</w:t>
      </w:r>
    </w:p>
    <w:p>
      <w:pPr>
        <w:spacing w:after="0" w:line="178"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We expect to continue to incur environmental operating costs since we will operate global manufacturing, product handling and distribution facilities that are subject to a broad array of environmental laws and regulations. These rules are subject to change by the implementing governmental agency, which we monitor closely. Our policy will require that our operations fully meet or exceed legal and regulatory requirements. In addition, we expect to continue certain voluntary programs, and could consider additional voluntary actions, to reduce air emissions, minimize the generation of hazardous waste, decrease the volume of water use and discharges, increase the efficiency of energy use and reduce the generation of persistent, bioaccumulative and toxic materials. Costs to comply with complex environmental laws and regulations, as well as internal voluntary programs and goals, are significant and we expect these costs will continue to be significant for the foreseeable future. Over the long term, such expenditures are subject to considerable uncertainty and could fluctuate significantly.</w:t>
      </w:r>
    </w:p>
    <w:p>
      <w:pPr>
        <w:spacing w:after="0" w:line="179"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We accrue for environmental matters when it is probable that a liability has been incurred and the amount can be reasonably estimated. As remediation activities vary substantially in duration and cost from site to site, it is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difficult to develop precise estimates of future site remediation costs. We expect to base such estimates on several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Considerable uncertainty exists with respect to environmental remediation costs and, under adverse changes in circumstances, the potential liability may be materially higher than our accruals.</w:t>
      </w:r>
    </w:p>
    <w:p>
      <w:pPr>
        <w:spacing w:after="0" w:line="154"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We face risks arising from various unasserted and asserted litigation matters arising out of the normal course of our current and former business operations, including intellectual property, commercial, product liability, environmental and antitrust lawsuits. We have noted a trend in public and private suits being filed on behalf of states, counties, cities and utilities alleging harm to the general public and the environment, including waterways and watersheds. It is not possible to predict the outcome of these various proceedings. An adverse outcome in any one or more of these matters could be material to our financial results. Various factors or developments can lead to changes in current estimates of liabilities. Such factors and developments may include, but are not limited to, additional data, safety or risk assessments, as well as a final adverse judgment, significant settlement or changes in applicable law. A future adverse ruling or unfavorable development could result in future charges that could have a material adverse effect on us.</w:t>
      </w:r>
    </w:p>
    <w:p>
      <w:pPr>
        <w:spacing w:after="0" w:line="16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the ordinary course of business, we may make certain commitments, including representations, warranties and indemnities relating to current and past operations, including those related to divested businesses and issue guarantees of third party obligations. If we were required to make payments as a result, they could exceed the amounts accrued, thereby adversely affecting our results of operations.</w:t>
      </w:r>
    </w:p>
    <w:p>
      <w:pPr>
        <w:spacing w:after="0" w:line="289"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Our operations outside the United States are subject to risks and restrictions, which could negatively affect our business, results of operations and financial condition.</w:t>
      </w:r>
    </w:p>
    <w:p>
      <w:pPr>
        <w:spacing w:after="0" w:line="62"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Our operations outside the United States are subject to risks and restrictions, including fluctuations in foreign-currency exchange rates; exchange control regulations; changes in local political or economic conditions; import and trade restrictions; import or export licensing requirements and trade policy; and other potentially detrimental domestic and foreign governmental practices or policies affecting U.S. companies doing business abroad. Although we have operations throughout the world, pro forma sales outside the United States in 2018 were principally to customers in Eurozone countries, Brazil and Canada. Further, our largest currency exposures are the European euro and the Brazilian real. Market uncertainty or an economic downturn in these geographic areas could reduce demand for our products and result in decreased sales volume, which could have a negative impact on our results of operations. In addition, changes in exchange rates may affect our results of operations, financial condition and cash flows in future periods. We actively manage currency exposures that are associated with net monetary asset positions, committed currency purchases and sales, foreign currency-denominated revenues and other assets and liabilities created in the normal course of business.</w:t>
      </w:r>
    </w:p>
    <w:p>
      <w:pPr>
        <w:spacing w:after="0" w:line="16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Additionally, our ability to export our products and our sales outside the United States may be adversely affected by significant changes in trade, tax or other policies, including the risk that other countries may retaliate through the imposition of their own trade restrictions and/or increased tariffs in response to substantial changes to U.S. trade and tax policies.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Climate change and unpredictable seasonal and weather factors could impact our sales and earnings.</w:t>
      </w:r>
    </w:p>
    <w:p>
      <w:pPr>
        <w:spacing w:after="0" w:line="11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The agriculture industry is subject to seasonal and weather factors, which can vary unpredictably from period to period. Weather factors can affect the presence of disease and pests on a regional basis and, accordingly, can positively or adversely affect the demand for crop protection products, including the mix of products used. The weather also can affect the quality, volume and cost of seed produced for sale as well as demand and product mix. Seed yields can be higher or lower than planned, which could lead to higher inventory and related write-offs. Climate change may increase the frequency or intensity of extreme weather such as storms, floods, heat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60"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waves, droughts and other events that could affect the quality, volume and cost of seed produced for sale as well as demand and product mix. Climate change may also affect the availability and suitability of arable land and contribute to unpredictable shifts in the average growing season and types of crops produced.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may be adversely affected by the availability of counterfeit products.</w:t>
      </w:r>
    </w:p>
    <w:p>
      <w:pPr>
        <w:spacing w:after="0" w:line="117"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A counterfeit product is one that has been deliberately and fraudulently mislabeled as to its identity and source. A counterfeit Corteva product, therefore, is one manufactured by someone other than us, but which appears to be the same as an authentic Corteva product. The prevalence of counterfeit products is a significant and growing industry-wide issue due to a variety of factors, including, but not limited to, the following: the widespread use of the Internet, which has greatly facilitated the ease by which counterfeit products can be advertised, purchased and delivered to individual consumers; the availability of sophisticated technology that makes it easier for counterfeiters to make counterfeit products; and the relatively modest risk of penalties faced by counterfeiters compared to the large profits that can be earned by them from the sale of counterfeit products. Further, laws against counterfeiting vary greatly from country to country, and the enforcement of existing laws varies greatly from jurisdiction to jurisdiction. For example, in some countries, counterfeiting is not a crime; in others, it may result in only minimal sanctions. In addition, those involved in the distribution of counterfeit products use complex transport routes to evade customs controls by disguising the true source of their products.</w:t>
      </w:r>
    </w:p>
    <w:p>
      <w:pPr>
        <w:spacing w:after="0" w:line="167"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Our global reputation makes our products prime targets for counterfeiting organizations. Counterfeit products pose a risk to consumer health and safety because of the conditions under which they are manufactured (often in unregulated, unlicensed, uninspected and unsanitary sites) as well as the lack of regulation of their contents. Failure to mitigate the threat of counterfeit products, which is exacerbated by the complexity of the supply chain, could adversely impact our business by, among other things, causing the loss of consumer confidence in our name and in the integrity of our products, potentially resulting in lost sales and an increased threat of litigation.</w:t>
      </w:r>
    </w:p>
    <w:p>
      <w:pPr>
        <w:spacing w:after="0" w:line="173"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We undertake significant efforts to counteract the threats associated with counterfeit products, including, among other things, working with regulatory authorities and multinational coalitions to combat the counterfeiting of products and supporting efforts by law enforcement authorities to prosecute counterfeiters; assessing new and existing technologies to seek to make it more difficult for counterfeiters to copy our products and easier for consumers to distinguish authentic from counterfeit products; working diligently to raise public awareness about the dangers of counterfeit products; working collaboratively with wholesalers, customs offices and law enforcement agencies to increase inspection coverage, monitor distribution channels and improve surveillance of distributors; and working with other members of an international trade association of agrochemical companies to promote initiatives to combat counterfeiting activity. No assurance can be given, however, that our efforts and the efforts of others will be entirely successful, and the presence of counterfeit products may continue to increase.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Failure to effectively manage acquisitions, divestitures, alliances and other portfolio actions could adversely impact our future results.</w:t>
      </w:r>
    </w:p>
    <w:p>
      <w:pPr>
        <w:spacing w:after="0" w:line="129"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From time to time we evaluate acquisition candidates that may strategically fit our business and/or growth objectives. If we are unable to successfully integrate and develop acquired businesses, we could fail to achieve anticipated synergies and cost savings, including any expected increases in revenues and operating results, which could have a material adverse effect on our financial results. We continually review our portfolio of assets for contributions to our objectives and alignment with our growth strategy. However, we may not be successful in separating underperforming or non-strategic assets and gains or losses on the divestiture of, or lost operating income from, such assets may affect our earnings. Moreover, we might incur asset impairment charges related to acquisitions or divestitures that reduce our earnings. In addition, if the execution or implementation of acquisitions, divestitures, alliances, joint ventures and other portfolio actions is not successful, it could adversely impact our financial condition, cash flows and results of operations.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An impairment of goodwill or intangible assets could require us to record a significant non-cash charge and negatively impact our financial results.</w:t>
      </w:r>
    </w:p>
    <w:p>
      <w:pPr>
        <w:spacing w:after="0" w:line="152"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We assess both goodwill and indefinite-lived intangible assets for impairment on an annual basis, or more frequently if conditions indicate that an impairment may have occurred. An impairment is recorded when the carrying value of a reporting unit exceeds its fair value. As a result of the Merger, the carrying value of Historical DuPont net assets was adjusted from historical cost to fair value, therefore increasing the risk of impairments. Future impairments of goodwill or intangible assets could be recorded as a non-cash charge in results of operations due to changes in assumption, estimates or circumstances and there can be no assurance that such impairments would be immaterial to us. See “Management’s Discussion and Analysis of Financial Condition and Results of Operations—Critical Accounting Estimates of Historical DuPont” for a discussion of the impairment charge recorded for Historical DuPont during the year ended December 31, 2018.</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Separation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our separation from DowDuPont.</w:t>
      </w:r>
    </w:p>
    <w:p>
      <w:pPr>
        <w:spacing w:after="0" w:line="11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We believe that, as an independent, publicly traded company, we will be better positioned to, among other things, focus our financial and operational resources on our specific business, growth profile and strategic priorities, design and implement corporate strategies and policies targeted to our operational focus and strategic priorities, guide our processes and infrastructure to focus on our core strengths, implement and maintain a capital structure designed to meet our specific needs and more effectively respond to industry dynamics. However, we may be unable to achieve some or all of these benefits. For example, to position ourselves for the separation, we are undertaking a series of strategic, structural, process and system realignment and restructuring actions within our operations. These actions may not provide the benefits we currently expect, and could lead to disruption of our operations, loss of, or inability to recruit, key personnel needed to operate and grow our businesses following the separation, weakening of our system of internal controls or procedures and impairment of our key customer and supplier relationships. In addition, completion of the separation will require significant amounts of management’s time and effort, which may divert management’s attention from operating and growing our businesses. If we fail to achieve some or all of the benefits that we expect to achieve as an independent company, or do not achieve them in the time we expect, our business, financial condition and results of operations could be materially and adversely affected.</w:t>
      </w:r>
    </w:p>
    <w:p>
      <w:pPr>
        <w:spacing w:after="0" w:line="281" w:lineRule="exact"/>
        <w:rPr>
          <w:sz w:val="20"/>
          <w:szCs w:val="20"/>
          <w:color w:val="auto"/>
        </w:rPr>
      </w:pPr>
    </w:p>
    <w:p>
      <w:pPr>
        <w:ind w:left="200" w:right="580"/>
        <w:spacing w:after="0" w:line="264" w:lineRule="auto"/>
        <w:rPr>
          <w:sz w:val="20"/>
          <w:szCs w:val="20"/>
          <w:color w:val="auto"/>
        </w:rPr>
      </w:pPr>
      <w:r>
        <w:rPr>
          <w:rFonts w:ascii="Arial" w:cs="Arial" w:eastAsia="Arial" w:hAnsi="Arial"/>
          <w:sz w:val="18"/>
          <w:szCs w:val="18"/>
          <w:b w:val="1"/>
          <w:bCs w:val="1"/>
          <w:i w:val="1"/>
          <w:iCs w:val="1"/>
          <w:color w:val="auto"/>
        </w:rPr>
        <w:t>If the distribution, together with certain related transactions, were to fail to qualify for non-recognition treatment for U.S. federal income tax purposes, then we could be subject to significant tax and indemnification liability and stockholders receiving Corteva common stock in the distribution could be subject to significant tax liability.</w:t>
      </w:r>
    </w:p>
    <w:p>
      <w:pPr>
        <w:spacing w:after="0" w:line="73"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It is a condition to the distribution that DowDuPont receives the Tax Opinion from Skadden, in form and substance acceptable to DowDuPont, substantially to the effect that, among other things, the distribution and certain related transactions will qualify as a tax-free transaction under Section 355 and Section 368(a)(1)(D) of the Code. The Tax Opinion will rely on certain facts, assumptions, and undertakings, and certain representations from DowDuPont and us, regarding the past and future conduct of both respective businesses and other matters, including those discussed in the risk factor immediately below, as well as the IRS Ruling (as described below). Notwithstanding the Tax Opinion and the IRS Ruling, the IRS could determine on audit that the distribution or certain related transactions should be treated as a taxable transaction if it determines that any of these facts, assumptions, representations or undertakings are not correct or have been violated, or that the distribution should be taxable for other reasons, including if the IRS were to disagree with the conclusions of the Tax Opinion.</w:t>
      </w:r>
    </w:p>
    <w:p>
      <w:pPr>
        <w:spacing w:after="0" w:line="179"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If the distribution ultimately is determined to be taxable, then a stockholder of DowDuPont that received shares of Corteva common stock in the distribution would be treated as having received a distribution of property in an amount equal to the fair market value of such shares (including any fractional shares sold on behalf of such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stockholder) on the distribution date and could incur significant income tax liabilities. Such distribution would be taxable to such stockholder as a dividend to the extent of DowDuPont’s current and accumulated earnings and profits, which would include any earnings and profits attributable to the gain recognized by DowDuPont on the taxable distribution and could include earnings and profits attributable to certain internal transactions preceding the distribution. Any amount that exceeded DowDuPont’s earnings and profits would be treated first as a non-taxable return of capital to the extent of such stockholder’s tax basis in its shares of DowDuPont stock with any remaining amount being taxed as a gain on the DowDuPont stock. In the event the distribution is ultimately determined to be taxable, DowDuPont would recognize corporate level taxable gain on the distribution in an amount equal to the excess, if any, of the fair market value of Corteva common stock distributed to DowDuPont stockholders on the distribution date over DowDuPont’s tax basis in such stock. In addition, if certain related transactions fail to qualify for tax-free treatment under U.S. federal, state, local tax and/or foreign tax law, we and DowDuPont could incur significant tax liabilities under U.S. federal, state, local and/or foreign tax law. For a more detailed discussion, see the section entitled “Material U.S. Federal Income Tax Consequences of the Distribution.”</w:t>
      </w:r>
    </w:p>
    <w:p>
      <w:pPr>
        <w:spacing w:after="0" w:line="169"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Generally, taxes resulting from the failure of the separation and distribution to qualify for non-recognition treatment for U.S. federal income tax purposes would be imposed on DowDuPont or DowDuPont stockholders. Under the tax matters agreement that we entered into with DowDuPont and Dow, subject to the exceptions described below, we are generally obligated to indemnify DowDuPont against such taxes imposed on DowDuPont. However, if the distribution fails to qualify for non-recognition treatment for U.S. federal income tax purposes for certain reasons relating to the overall structure of the Merger and the distribution, then under the tax matters agreement, DowDuPont and Dow would share the tax liability resulting from such failure in accordance with their relative equity values on the first full trading day following the distribution of Dow. We and New DuPont will share any liabilities of DowDuPont described in the preceding sentence in accordance with our relative equity values on the first full trading day following the distribution of Corteva. Furthermore, under the terms of the tax matters agreement, we also generally will be responsible for any taxes imposed on New DuPont or Dow that arise from the failure of the distribution to qualify as tax-free for U.S. federal income tax purposes within the meaning of</w:t>
      </w:r>
    </w:p>
    <w:p>
      <w:pPr>
        <w:spacing w:after="0" w:line="7" w:lineRule="exact"/>
        <w:rPr>
          <w:sz w:val="20"/>
          <w:szCs w:val="20"/>
          <w:color w:val="auto"/>
        </w:rPr>
      </w:pPr>
    </w:p>
    <w:p>
      <w:pPr>
        <w:ind w:left="200" w:right="160"/>
        <w:spacing w:after="0" w:line="267" w:lineRule="auto"/>
        <w:rPr>
          <w:sz w:val="20"/>
          <w:szCs w:val="20"/>
          <w:color w:val="auto"/>
        </w:rPr>
      </w:pPr>
      <w:r>
        <w:rPr>
          <w:rFonts w:ascii="Arial" w:cs="Arial" w:eastAsia="Arial" w:hAnsi="Arial"/>
          <w:sz w:val="17"/>
          <w:szCs w:val="17"/>
          <w:color w:val="auto"/>
        </w:rPr>
        <w:t>Section 355 of the Code or the failure of certain related transactions to qualify for tax-free treatment, to the extent such failure to qualify is attributable to actions, events or transactions relating to our, or our affiliates’, stock, assets or business, or any breach of our representations made in any representation letter provided to Skadden in connection with the Tax Opinion. New DuPont and Dow will be separately responsible for any taxes imposed on Corteva that arise from the failure of the distribution to qualify as tax-free for U.S. federal income tax purposes within the meaning of Section 355 of the Code or the failure of certain related transactions to qualify for tax-free treatment, to the extent such failure to qualify is attributable to actions, events or transactions relating to such company’s or its affiliates’ stock, assets or business, or any breach of such company’s representations made in connection with the IRS Ruling or in the representation letter provided to counsel in connection with the Tax Opinion. Events triggering an indemnification obligation under the tax matters agreement include events occurring after the distribution that cause DowDuPont to recognize a gain under Section 355(e) of the Code, as discussed further below. Such tax amounts could be significant. To the extent that we are responsible for any liability under the tax matters agreement, there could be a material adverse impact on our business, financial condition, results of operations and cash flows in future reporting periods. For a more detailed discussion, see the section entitled “Our Relationship with New DuPont and Dow Following the Distribution—Tax Matters Agreement.”</w:t>
      </w:r>
    </w:p>
    <w:p>
      <w:pPr>
        <w:spacing w:after="0" w:line="29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The IRS may assert that the Merger causes the distributions and other related transactions to be taxable to DowDuPont, in which case we could be subject to significant indemnification liability.</w:t>
      </w:r>
    </w:p>
    <w:p>
      <w:pPr>
        <w:spacing w:after="0" w:line="62"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Even if the distribution otherwise constitutes a tax-free transaction to stockholders under Section 355 of the Code, DowDuPont may be required to recognize corporate level tax on the distribution and certain related transactions under Section 355(e) of the Code if, as a result of the Merger or other transactions considered part of a plan with the distribution, there is a 50 percent or greater change of ownership in DowDuPont or us. In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connection with the Merger, DowDuPont sought and received a private letter ruling from the IRS regarding the proper time, manner and methodology for measuring common ownership in the stock of DowDuPont, Historical DuPont and Historical Dow for purposes of determining whether there has been a 50 percent or greater change of ownership under Section 355(e) of the Code as a result of the Merger (the “IRS Ruling”). The Tax Opinion will rely on the continued validity of the IRS Ruling, as well as certain factual representations from DowDuPont as to the extent of common ownership in the stock of Historical DuPont and Historical Dow immediately prior to the Merger. In addition, it is a condition to the distribution that the IRS has not revoked the IRS Ruling. Based on the representations made by DowDuPont as to the common ownership in the stock of Historical DuPont and Historical Dow immediately prior to the Merger and assuming the continued validity of the IRS Ruling, the Tax Opinion will conclude that there was not a 50 percent or greater change of ownership in DowDuPont, Historical DuPont or Historical Dow for purposes of Section 355(e) as a result of the Merger. Notwithstanding the Tax Opinion and the IRS Ruling, the IRS could determine that the distribution or a related transaction should nevertheless be treated as a taxable transaction to DowDuPont if it determines that any of the facts, assumptions, representations or undertakings of DowDuPont is not correct or that the distribution should be taxable for other reasons, including if the IRS were to disagree with the conclusions in the Tax Opinion that are not covered by the IRS Ruling. If DowDuPont is required to recognize corporate level tax on the distribution and certain related transactions under Section 355(e) of the Code, then under the tax matters agreement, we may be required to indemnify New DuPont and/or Dow for all or a portion of such taxes, which could be a significant amount, if such taxes were the result of either direct or indirect transfers of Corteva common stock or certain reasons relating to the overall structure of the Merger and the distribution. For a more detailed description, see the section entitled “Our Relationship with New DuPont and Dow Following the Distribution—Tax Matters Agreement.”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be subject to continuing contingent tax-related liabilities of DowDuPont following the distribution.</w:t>
      </w:r>
    </w:p>
    <w:p>
      <w:pPr>
        <w:spacing w:after="0" w:line="117"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After the distribution, there will be several significant areas where the liabilities of DowDuPont may become our obligations either in whole or in part. For example, under the Code and the related rules and regulations, each corporation that was a member of DowDuPont’s consolidated tax reporting group during any taxable period or portion of any taxable period ending on or before the effective time of the distribution is jointly and severally liable for the U.S. federal income tax liability of the entire consolidated tax reporting group for such taxable period. Additionally, to the extent that any subsidiary of ours was included in the consolidated tax reporting group of either Historical DuPont or Historical Dow for any taxable period or portion of any taxable period ending on or before the effective date of the Merger, such subsidiary is jointly and severally liable for the U.S. federal income tax liability of the entire consolidated tax reporting group of Historical DuPont or Historical Dow, as applicable, for such taxable period. In connection with the distribution, and the distribution of Dow on April 1, 2019, we entered into a tax matters agreement with DowDuPont and Dow that allocates the responsibility for prior period consolidated taxes among Corteva, New DuPont and Dow. In connection with the distribution of Corteva, the parties intend to enter into an amendment to the tax matters agreement in order to allocate certain rights and obligations of DowDuPont between us and New DuPont. For a more detailed description, see the section entitled “Our Relationship with New DuPont and Dow Following the Distribution—Tax Matters Agreement.” If New DuPont or Dow were unable to pay any prior period taxes for which it is responsible, however, we could be required to pay the entire amount of such taxes, and such amounts could be significant. Other provisions of federal, state, local, or foreign law may establish similar liability for other matters, including laws governing tax-qualified pension plans, as well as other contingent liabilities.</w:t>
      </w:r>
    </w:p>
    <w:p>
      <w:pPr>
        <w:spacing w:after="0" w:line="28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We will agree to numerous restrictions to preserve the tax-free treatment of the transactions in the United States, which may reduce our strategic and operating flexibility.</w:t>
      </w:r>
    </w:p>
    <w:p>
      <w:pPr>
        <w:spacing w:after="0" w:line="62" w:lineRule="exact"/>
        <w:rPr>
          <w:sz w:val="20"/>
          <w:szCs w:val="20"/>
          <w:color w:val="auto"/>
        </w:rPr>
      </w:pPr>
    </w:p>
    <w:p>
      <w:pPr>
        <w:jc w:val="both"/>
        <w:ind w:left="200" w:right="280"/>
        <w:spacing w:after="0" w:line="279" w:lineRule="auto"/>
        <w:rPr>
          <w:sz w:val="20"/>
          <w:szCs w:val="20"/>
          <w:color w:val="auto"/>
        </w:rPr>
      </w:pPr>
      <w:r>
        <w:rPr>
          <w:rFonts w:ascii="Arial" w:cs="Arial" w:eastAsia="Arial" w:hAnsi="Arial"/>
          <w:sz w:val="17"/>
          <w:szCs w:val="17"/>
          <w:color w:val="auto"/>
        </w:rPr>
        <w:t>Our ability to engage in certain transactions could be limited or restricted after the distribution to preserve, for U.S. federal income tax purposes, the tax-free nature of the distribution by DowDuPont, and certain aspects of the Internal Reorganization and Business Realignment. As discussed above, even if the distribution otherwise qualifies for tax-free treatment under Section 355 of the Code, the distribution may result in corporate-level taxable gain to DowDuPont under Section 355(e) of the Code if a transaction results in a change of ownership 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91" w:lineRule="auto"/>
        <w:rPr>
          <w:sz w:val="20"/>
          <w:szCs w:val="20"/>
          <w:color w:val="auto"/>
        </w:rPr>
      </w:pPr>
      <w:r>
        <w:rPr>
          <w:rFonts w:ascii="Arial" w:cs="Arial" w:eastAsia="Arial" w:hAnsi="Arial"/>
          <w:sz w:val="16"/>
          <w:szCs w:val="16"/>
          <w:color w:val="auto"/>
        </w:rPr>
        <w:t>50 percent or greater in us as part of a plan or series of related transactions that includes the distribution. The process for determining whether an acquisition or issuance triggering these provisions has occurred, the extent to which any such acquisition or issuance results in a change of ownership and the cumulative effect of any such acquisition or issuance together with any prior acquisitions or issuances (including the Merger) is complex, inherently factual and subject to interpretation of the facts and circumstances of a particular case. Any acquisitions or issuances of Corteva common stock within a two-year period after the distribution generally are presumed to be part of such a plan that includes the distribution, although such presumption may be rebutted. As a result of these limitations, under the tax matters agreement that we entered into with DowDuPont and Dow, for the two-year period following the distribution, we are prohibited, except in certain circumstances, from, among other things:</w:t>
      </w:r>
    </w:p>
    <w:p>
      <w:pPr>
        <w:spacing w:after="0" w:line="73" w:lineRule="exact"/>
        <w:rPr>
          <w:sz w:val="20"/>
          <w:szCs w:val="20"/>
          <w:color w:val="auto"/>
        </w:rPr>
      </w:pPr>
    </w:p>
    <w:p>
      <w:pPr>
        <w:ind w:left="1060" w:hanging="316"/>
        <w:spacing w:after="0"/>
        <w:tabs>
          <w:tab w:leader="none" w:pos="1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entering into any transaction resulting in acquisitions of a certain percentage of our assets, whether by merger or otherwise;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dissolving, merging, consolidating or liquidating;</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undertaking or permitting any transaction relating to Corteva stock, including issuances, redemptions or repurchases other than certain, limited, permitted issuances and repurchases;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affecting the relative voting rights of Corteva stock, whether by amending Corteva Parent’s certificate of incorporation or otherwise;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ceasing to actively conduct our business.</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These restrictions may significantly limit our ability to pursue certain strategic transactions or other transactions that we may believe to otherwise be in the best interests of our stockholders or that might increase the value of our business.</w:t>
      </w:r>
    </w:p>
    <w:p>
      <w:pPr>
        <w:spacing w:after="0" w:line="279"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Following the separation and distribution we will need to provide or arrange for certain services to be provided that are currently provided by DowDuPont and/or Historical Dow.</w:t>
      </w:r>
    </w:p>
    <w:p>
      <w:pPr>
        <w:spacing w:after="0" w:line="62"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Following the separation and distribution, we will need to provide internally or obtain from unaffiliated third parties certain services we currently receive from DowDuPont and/or Historical Dow. These services include certain information technology, research and development, finance, legal, insurance, compliance and human resources activities, the effective and appropriate performance of which is critical to our operations. We may be unable to replace these services in a timely manner or on terms and conditions as favorable as those we currently receive from DowDuPont and/or Historical Dow. In particular, information technology networks and systems are complex and duplicating these networks and systems will be challenging. Because certain portions of our business previously received these services from DowDuPont and/or Historical Dow, we may be unable to successfully establish the infrastructure or implement the changes necessary to effectively perform these activities within the context of our consolidated business, or we may incur additional costs in doing so that could adversely affect our business. For example, following the separation and distribution, we will consist of three heritage organizations (DuPont Pioneer, Dow AgroSciences and DuPont Crop Protection) that will continue to operate on three different enterprise resource planning (“ERP”) systems, and we will incur incremental costs to operate the three ERP systems, as compared to what was historically allocated to the DowDuPont Agriculture Division (see “Management’s Discussion and Analysis of Financial Condition and Results of Operations”). In addition, if New DuPont and/or Dow do not continue to perform effectively the transition services and the other services that are called for under the services and other related agreements entered into in connection with the separation, we may not be able to operate our business effectively and our profitability may decline. If we fail to obtain the quality of administrative services necessary to operate effectively or incur greater costs in obtaining these services, our profitability, financial condition and results of operations may be materially and adversely affected.</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b w:val="1"/>
          <w:bCs w:val="1"/>
          <w:i w:val="1"/>
          <w:iCs w:val="1"/>
          <w:color w:val="auto"/>
        </w:rPr>
        <w:t>Neither Historical DuPont’s financial information nor our unaudited pro forma combined financial information are necessarily representative of the results we would have achieved as an independent, publicly traded company and may not be a reliable indicator of our future results.</w:t>
      </w:r>
    </w:p>
    <w:p>
      <w:pPr>
        <w:spacing w:after="0" w:line="1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financial information of Historical DuPont and the unaudited pro forma financial information included herein may not reflect what our financial condition, results of operations and cash flows would have been had we been an independent, publicly traded company comprised solely of DowDuPont’s agriculture business during the periods presented or what our financial condition, results of operations and cash flows will be in the future when we are an independent company. This is primarily because:</w:t>
      </w:r>
    </w:p>
    <w:p>
      <w:pPr>
        <w:spacing w:after="0" w:line="92" w:lineRule="exact"/>
        <w:rPr>
          <w:sz w:val="20"/>
          <w:szCs w:val="20"/>
          <w:color w:val="auto"/>
        </w:rPr>
      </w:pPr>
    </w:p>
    <w:p>
      <w:pPr>
        <w:jc w:val="both"/>
        <w:ind w:left="1060" w:right="480" w:hanging="316"/>
        <w:spacing w:after="0" w:line="264"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historical financial information of Historical DuPont reflects Historical DuPont and does not reflect the changes that we expect to experience in connection with the separation, including the distribution of Historical DuPont’s businesses aligned with DowDuPont’s non-agriculture businesses.</w:t>
      </w:r>
    </w:p>
    <w:p>
      <w:pPr>
        <w:spacing w:after="0" w:line="86" w:lineRule="exact"/>
        <w:rPr>
          <w:rFonts w:ascii="Arial" w:cs="Arial" w:eastAsia="Arial" w:hAnsi="Arial"/>
          <w:sz w:val="18"/>
          <w:szCs w:val="18"/>
          <w:color w:val="auto"/>
        </w:rPr>
      </w:pPr>
    </w:p>
    <w:p>
      <w:pPr>
        <w:ind w:left="1060" w:right="60" w:hanging="316"/>
        <w:spacing w:after="0" w:line="312" w:lineRule="auto"/>
        <w:tabs>
          <w:tab w:leader="none" w:pos="10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Prior to the separation, our business was operated under the corporate umbrella of DowDuPont. As part of the DowDuPont corporate organization, our business was principally operated by Historical DuPont, with certain portions of our business being operated by Historical Dow as part of its internal corporate organization, rather than our being operated as part of a consolidated agriculture business.</w:t>
      </w:r>
    </w:p>
    <w:p>
      <w:pPr>
        <w:spacing w:after="0" w:line="52" w:lineRule="exact"/>
        <w:rPr>
          <w:rFonts w:ascii="Arial" w:cs="Arial" w:eastAsia="Arial" w:hAnsi="Arial"/>
          <w:sz w:val="16"/>
          <w:szCs w:val="16"/>
          <w:color w:val="auto"/>
        </w:rPr>
      </w:pPr>
    </w:p>
    <w:p>
      <w:pPr>
        <w:jc w:val="both"/>
        <w:ind w:left="1060" w:right="20" w:hanging="316"/>
        <w:spacing w:after="0" w:line="264"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historical financial information of Historical DuPont and Dow AgroSciences reflects only corporate expenses of Historical DuPont and allocated corporate expenses from Historical Dow, and thus is not necessarily representative of the costs we will incur for similar services as an independent company following the separation and distribution.</w:t>
      </w:r>
    </w:p>
    <w:p>
      <w:pPr>
        <w:spacing w:after="0" w:line="86" w:lineRule="exact"/>
        <w:rPr>
          <w:rFonts w:ascii="Arial" w:cs="Arial" w:eastAsia="Arial" w:hAnsi="Arial"/>
          <w:sz w:val="18"/>
          <w:szCs w:val="18"/>
          <w:color w:val="auto"/>
        </w:rPr>
      </w:pPr>
    </w:p>
    <w:p>
      <w:pPr>
        <w:ind w:left="1060" w:right="80" w:hanging="316"/>
        <w:spacing w:after="0" w:line="272" w:lineRule="auto"/>
        <w:tabs>
          <w:tab w:leader="none" w:pos="10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Our business has historically principally satisfied our working capital requirements and obtained capital for our general corporate purposes, including acquisitions and capital expenditures, as part of Historical DuPont’s company-wide cash management practices, with certain portions of our business having satisfied such requirements through the practices of Historical Dow. Although these practices have historically generated sufficient cash to finance the working capital and other cash requirements of our business, following the separation and distribution, we will no longer have access to Historical Dow’s cash pools nor will our cash generating revenue streams mirror those of Historical DuPont and/or Historical Dow. We may therefore need to obtain additional financing from banks, through public offerings or private placements of debt or equity securities or other arrangements.</w:t>
      </w:r>
    </w:p>
    <w:p>
      <w:pPr>
        <w:spacing w:after="0" w:line="83" w:lineRule="exact"/>
        <w:rPr>
          <w:rFonts w:ascii="Arial" w:cs="Arial" w:eastAsia="Arial" w:hAnsi="Arial"/>
          <w:sz w:val="17"/>
          <w:szCs w:val="17"/>
          <w:color w:val="auto"/>
        </w:rPr>
      </w:pPr>
    </w:p>
    <w:p>
      <w:pPr>
        <w:ind w:left="1060" w:right="20" w:hanging="316"/>
        <w:spacing w:after="0" w:line="254"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Traditionally, our business has been operated under the umbrella of DowDuPont’s corporate organization, with portions of our businesses being integrated with the businesses of Historical DuPont and Historical Dow. This integration has historically permitted our business (or portions thereof) to enjoy economies of scope and scale in costs, employees, vendor relationships and customer relationships, both as part of the DowDuPont organization and within the Historical DuPont and Historical Dow internal corporate structures. Although we expect to enter into short-term transition agreements that will govern certain commercial and other relationships among us, New DuPont and Dow after the separation, those temporary arrangements may not capture the benefits our businesses have enjoyed in the past as a result of this integration. The loss of these benefits could have an adverse effect on our business, results of operations and financial condition following the completion of the separation.</w:t>
      </w:r>
    </w:p>
    <w:p>
      <w:pPr>
        <w:spacing w:after="0" w:line="97" w:lineRule="exact"/>
        <w:rPr>
          <w:rFonts w:ascii="Arial" w:cs="Arial" w:eastAsia="Arial" w:hAnsi="Arial"/>
          <w:sz w:val="18"/>
          <w:szCs w:val="18"/>
          <w:color w:val="auto"/>
        </w:rPr>
      </w:pPr>
    </w:p>
    <w:p>
      <w:pPr>
        <w:ind w:left="1060" w:hanging="316"/>
        <w:spacing w:after="0" w:line="308" w:lineRule="auto"/>
        <w:tabs>
          <w:tab w:leader="none" w:pos="10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We have entered and will enter into transactions with New DuPont and Dow that did not exist prior to the separation. See the section entitled “Our Relationship with New DuPont and Dow Following the Distribution” for information regarding these transactions.</w:t>
      </w:r>
    </w:p>
    <w:p>
      <w:pPr>
        <w:spacing w:after="0" w:line="51" w:lineRule="exact"/>
        <w:rPr>
          <w:rFonts w:ascii="Arial" w:cs="Arial" w:eastAsia="Arial" w:hAnsi="Arial"/>
          <w:sz w:val="17"/>
          <w:szCs w:val="17"/>
          <w:color w:val="auto"/>
        </w:rPr>
      </w:pPr>
    </w:p>
    <w:p>
      <w:pPr>
        <w:ind w:left="1060" w:right="160" w:hanging="316"/>
        <w:spacing w:after="0" w:line="277" w:lineRule="auto"/>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Other significant changes may occur in our cost structure, management, financing and business operations as a result of the separation and distribution and our operating as a company separate from DowDuPont.</w:t>
      </w:r>
    </w:p>
    <w:p>
      <w:pPr>
        <w:spacing w:after="0" w:line="17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In addition, the unaudited pro forma financial information included in this information statement is based on the best information available, which in part includes a number of estimates and assumptions. These estimates and assumptions may prove to be inaccurate, and accordingly, our unaudited pro forma financial information should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not be assumed to be indicative of what our financial condition or results of operations actually would have been as a standalone company during the time periods presented nor to be a reliable indicator of what our financial condition or results of operations actually may be in the future.</w:t>
      </w:r>
    </w:p>
    <w:p>
      <w:pPr>
        <w:spacing w:after="0" w:line="124" w:lineRule="exact"/>
        <w:rPr>
          <w:sz w:val="20"/>
          <w:szCs w:val="20"/>
          <w:color w:val="auto"/>
        </w:rPr>
      </w:pPr>
    </w:p>
    <w:p>
      <w:pPr>
        <w:ind w:left="200" w:right="260"/>
        <w:spacing w:after="0" w:line="312" w:lineRule="auto"/>
        <w:rPr>
          <w:sz w:val="20"/>
          <w:szCs w:val="20"/>
          <w:color w:val="auto"/>
        </w:rPr>
      </w:pPr>
      <w:r>
        <w:rPr>
          <w:rFonts w:ascii="Arial" w:cs="Arial" w:eastAsia="Arial" w:hAnsi="Arial"/>
          <w:sz w:val="16"/>
          <w:szCs w:val="16"/>
          <w:color w:val="auto"/>
        </w:rPr>
        <w:t>For additional information about the unaudited pro forma financial statements, Historical DuPont’s past financial performance and the basis of presentation of Historical DuPont’s financial statements, see the sections entitled “Unaudited Pro Forma Combined Financial Statements,” “Selected Historical Consolidated Financial Data” and “Management’s Discussion and Analysis of Financial Condition and Results of Operations.”</w:t>
      </w:r>
    </w:p>
    <w:p>
      <w:pPr>
        <w:spacing w:after="0" w:line="25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Following the separation and distribution, we may not enjoy the same benefits of diversity, leverage and market reputation that we enjoyed as a part of DowDuPont.</w:t>
      </w:r>
    </w:p>
    <w:p>
      <w:pPr>
        <w:spacing w:after="0" w:line="62"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Following the separation and distribution, we will hold DowDuPont’s agriculture business, while our business (or portions thereof) has historically benefited from DowDuPont’s (and, prior to the Merger, Historical DuPont’s and Historical Dow’s) operating diversity and purchasing power as well as opportunities to pursue integrated strategies with DowDuPont’s (and, prior to the Merger, Historical DuPont’s and Historical Dow’s) other businesses, including those businesses that form part of DowDuPont’s materials science and specialty products businesses that will be allocated to Dow and New DuPont, respectively, in connection with the separation. Following the separation and distribution, we will not have similar diversity or integration opportunities and may not have similar purchasing power or access to the capital markets.</w:t>
      </w:r>
    </w:p>
    <w:p>
      <w:pPr>
        <w:spacing w:after="0" w:line="178"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Additionally, following the separation and distribution, we may become more susceptible to market fluctuations and other adverse events than if we had remained part of the current DowDuPont organizational structure. As part of DowDuPont (and, prior to the Merger, as part of Historical DuPont and Historical Dow, as applicable), our business has been able to leverage the DowDuPont, Historical DuPont and Historical Dow historical market reputation and performance as well as those businesses’ brand identities, which has allowed us to, among other things, recruit and retain key personnel to run our business. Following the separation and distribution, we may not enjoy the same historical market reputation as DowDuPont or Historical DuPont nor the same performance or brand identity, which may make it more difficult for us to recruit or retain such key personnel.</w:t>
      </w:r>
    </w:p>
    <w:p>
      <w:pPr>
        <w:spacing w:after="0" w:line="273"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b w:val="1"/>
          <w:bCs w:val="1"/>
          <w:i w:val="1"/>
          <w:iCs w:val="1"/>
          <w:color w:val="auto"/>
        </w:rPr>
        <w:t>We will retain significant indebtedness in connection with the separation and distribution, and the degree to which we will be leveraged following completion of the distribution may materially and adversely affect our business, financial condition and results of operations.</w:t>
      </w:r>
    </w:p>
    <w:p>
      <w:pPr>
        <w:spacing w:after="0" w:line="16"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We will retain significant indebtedness in connection with the separation and distribution. Historical DuPont has historically satisfied its indebtedness obligations as well as its short-term working capital requirements and financial support functions through the earnings, assets and cash flows generated by Historical DuPont’s operations. Following the separation and distribution, however, we will not be able to rely on any of the earnings, assets or cash flows that are attributable to Historical DuPont’s materials science and specialty products businesses, which have been transferred from Historical DuPont to Dow and either have or will be transferred to the legal entities that will comprise New DuPont after the distribution of Corteva common stock, respectively, in connection with the Internal Reorganization and Business Realignment.</w:t>
      </w:r>
    </w:p>
    <w:p>
      <w:pPr>
        <w:spacing w:after="0" w:line="178"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Our ability to make payments on and to refinance our indebtedness, to obtain and maintain sufficient working capital, and to meet any dividend obligations will depend exclusively on our ability to generate cash in the future from our own operations, financings or asset sales following the separation and distribution. Our ability to generate cash is further subject to general economic, financial, competitive, legislative, regulatory and other factors that are beyond our control. We may not generate sufficient funds to service our debt and meet our business needs, such as funding working capital or the expansion of our operations. If we are not able to repay or refinance our debt as it becomes due, we may be forced to take disadvantageous actions, including reducing spending on marketing, retail trade incentives, advertising and new product innovation, reducing financing in the future for working capital, capital expenditures and general corporate purposes, selling assets or dedicating an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60"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unsustainable level of our cash flow from operations to the payment of principal and interest on our indebtedness. In addition, our ability to withstand competitive pressures and to react to changes in our industry could be impaired. The lenders who hold our debt could also accelerate amounts due in the event that we default, which could potentially trigger a default or acceleration of the maturity of our other debt.</w:t>
      </w:r>
    </w:p>
    <w:p>
      <w:pPr>
        <w:spacing w:after="0" w:line="27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Restrictions under the intellectual property cross-license agreements will limit our ability to develop and commercialize certain products and services and/or prosecute, maintain and enforce certain intellectual property.</w:t>
      </w:r>
    </w:p>
    <w:p>
      <w:pPr>
        <w:spacing w:after="0" w:line="62"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We will be dependent to a certain extent on New DuPont and Dow to maintain and enforce certain of the intellectual property licensed under the intellectual property cross-license agreements. For example, New DuPont and Dow will be responsible for filing, prosecuting and maintaining (at their respective discretion) patents on trade secrets and know-how that New DuPont and Dow, respectively, license to us. New DuPont or Dow, as applicable, will also have the first right to enforce their respective trade secrets and know-how licensed to us. If New DuPont or Dow, as applicable, fails to fulfill its obligations or chooses to not enforce the licensed patents, trade secrets or know-how under the intellectual property cross-license agreements, we may not be able to prevent competitors from making, using and selling competitive products and services.</w:t>
      </w:r>
    </w:p>
    <w:p>
      <w:pPr>
        <w:spacing w:after="0" w:line="17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 addition, our use of the intellectual property licensed to us under the intellectual property cross-license agreements is restricted to certain fields, which could limit our ability to develop and commercialize certain products and services. For example, the licenses granted to us under the agreement will not extend to all fields of use that we may in the future decide to enter into. These restrictions may make it more difficult, time consuming and/or expensive for us to develop and commercialize certain new products and services, or may result in certain of our products or services being later to market than those of our competitors.</w:t>
      </w:r>
    </w:p>
    <w:p>
      <w:pPr>
        <w:spacing w:after="0" w:line="296" w:lineRule="exact"/>
        <w:rPr>
          <w:sz w:val="20"/>
          <w:szCs w:val="20"/>
          <w:color w:val="auto"/>
        </w:rPr>
      </w:pPr>
    </w:p>
    <w:p>
      <w:pPr>
        <w:ind w:left="200" w:right="580"/>
        <w:spacing w:after="0" w:line="342" w:lineRule="auto"/>
        <w:rPr>
          <w:sz w:val="20"/>
          <w:szCs w:val="20"/>
          <w:color w:val="auto"/>
        </w:rPr>
      </w:pPr>
      <w:r>
        <w:rPr>
          <w:rFonts w:ascii="Arial" w:cs="Arial" w:eastAsia="Arial" w:hAnsi="Arial"/>
          <w:sz w:val="16"/>
          <w:szCs w:val="16"/>
          <w:b w:val="1"/>
          <w:bCs w:val="1"/>
          <w:i w:val="1"/>
          <w:iCs w:val="1"/>
          <w:color w:val="auto"/>
        </w:rPr>
        <w:t>Our customers, prospective customers, suppliers or other companies with whom we conduct business may need assurances that our financial stability on a standalone basis is sufficient to satisfy their requirements for doing or continuing to do business with them.</w:t>
      </w:r>
    </w:p>
    <w:p>
      <w:pPr>
        <w:spacing w:after="0" w:line="16"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Some of our customers, prospective customers, suppliers or other companies with whom we conduct business may need assurances that our financial stability on a standalone basis is sufficient to satisfy their requirements for doing or continuing to do business with them, and may require us to provide additional credit support, such as letters of credit or other financial guarantees. Any failure of parties to be satisfied with our financial stability could have a material adverse effect on our business, financial condition, results of operations and cash flows.</w:t>
      </w:r>
    </w:p>
    <w:p>
      <w:pPr>
        <w:spacing w:after="0" w:line="28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We may have received better terms from unaffiliated third parties than the terms received in the commercial agreements we will enter into with DowDuPont and Dow.</w:t>
      </w:r>
    </w:p>
    <w:p>
      <w:pPr>
        <w:spacing w:after="0" w:line="62"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In connection with the separation and distribution, we have entered and will enter into certain commercial agreements with DowDuPont and Dow, including, but not limited to, certain services, supply and real estate related agreements, which will govern the provision of services and use of assets following the separation and distribution that were previously provided within DowDuPont, Historical DuPont and/or Historical Dow. These agreements were negotiated in the context of the separation of Corteva and Dow from DowDuPont, while Corteva and Dow were each still part of DowDuPont and, accordingly, may not reflect terms that would have resulted from negotiations among unaffiliated third parties and we may have received better terms from third parties. See the section entitled “Our Relationship with New DuPont and Dow Following the Distribution.”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b w:val="1"/>
          <w:bCs w:val="1"/>
          <w:i w:val="1"/>
          <w:iCs w:val="1"/>
          <w:color w:val="auto"/>
        </w:rPr>
        <w:t>In connection with our separation we have assumed and will assume, and will indemnify New DuPont and Dow for, certain liabilities. If we are required to make payments pursuant to these indemnities, we may need to divert cash to meet those obligations and our financial results could be negatively impacted. In addition, New DuPont and Dow will indemnify us for certain liabilities. These indemnities may not be sufficient to insure us against the full amount of liabilities we incur, and New DuPont and/or Dow may not be able to satisfy their indemnification obligations in the future.</w:t>
      </w:r>
    </w:p>
    <w:p>
      <w:pPr>
        <w:spacing w:after="0" w:line="80"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Pursuant to the separation agreement, the employee matters agreement and the tax matters agreement with DowDuPont and Dow, we agreed to assume, and indemnify New DuPont and Dow for, certain liabilities for uncapped amounts, which may include, among other items, associated defense costs, settlement amounts and judgments, as discussed further in “Our Relationship with New DuPont and Dow Following the Distribution.” Payments pursuant to these indemnities may be significant and could negatively impact our business, particularly indemnities relating to our actions that could impact the tax-free nature of the distribution. Third parties could also seek to hold us responsible for any of the liabilities allocated to New DuPont and Dow, including those related to DowDuPont’s specialty products and/or materials science businesses, respectively, and those related to discontinued and/or divested businesses and operations of Historical Dow, which have been allocated to Dow. New DuPont and/or Dow, as applicable, will agree to indemnify us for such liabilities, but such indemnities may not be sufficient to protect us against the full amount of such liabilities. In addition, New DuPont and/or Dow, as applicable, may not be able to fully satisfy their indemnification obligations with respect to the liabilities we incur. Even if we ultimately succeed in recovering from New DuPont and/or Dow, as applicable, any amounts for which we are held liable, we may be temporarily required to bear these losses ourselves. Each of these risks could negatively affect our business, financial condition, results of operations and cash flows.</w:t>
      </w:r>
    </w:p>
    <w:p>
      <w:pPr>
        <w:spacing w:after="0" w:line="173"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Additionally, we generally have assumed and will assume and be responsible for the payment of our share of (i) certain liabilities of DowDuPont relating to, arising out of or resulting from certain general corporate matters of DowDuPont, (ii) certain liabilities of Historical DuPont relating to, arising out of or resulting from general corporate matters of Historical DuPont and discontinued and/or divested businesses and operations of Historical DuPont and (iii) certain separation expenses not otherwise allocated to New DuPont or Dow (or allocated specifically to us) pursuant to the separation agreement, and third parties could seek to hold us responsible for New DuPont’s or Dow’s share of any such liabilities. For more information, see the section entitled “Our Relationship with New DuPont and Dow Following the Distribution—Separation Agreement.” New DuPont and/or Dow, as applicable, will indemnify us for their share of any such liabilities; however, such indemnities may not be sufficient to protect us against the full amount of such liabilities, and/or New DuPont and/or Dow may not be able to fully satisfy their respective indemnification obligations. In addition, even if we ultimately succeed in recovering from New DuPont and/or Dow any amounts for which we are held liable in excess of our agreed share, we may be temporarily required to bear these losses ourselves. Each of these risks could negatively affect our business, financial condition, results of operations and cash flows.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Until the distribution occurs, DowDuPont has the sole discretion to change the terms of the distribution.</w:t>
      </w:r>
    </w:p>
    <w:p>
      <w:pPr>
        <w:spacing w:after="0" w:line="117"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Until the distribution occurs, DowDuPont will have the sole and absolute discretion to determine and change the terms of the distribution, including the establishment of the record date and distribution date. These changes could be unfavorable to us. In addition, DowDuPont may decide at any time not to proceed with the distribution.</w:t>
      </w:r>
    </w:p>
    <w:p>
      <w:pPr>
        <w:spacing w:after="0" w:line="289"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The business separation and related transactions may expose us to potential liabilities arising out of state and federal fraudulent conveyance laws and legal distribution requirements.</w:t>
      </w:r>
    </w:p>
    <w:p>
      <w:pPr>
        <w:spacing w:after="0" w:line="62"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Although we will receive a solvency opinion from an investment bank confirming that we and New DuPont will each be adequately capitalized following the distribution, the separation could be challenged under various state and federal fraudulent conveyance laws. Fraudulent conveyances or transfers are generally defined to include transfers made or obligations incurred with the actual intent to hinder, delay or defraud current or future creditors or transfers made or obligations incurred for less than reasonably equivalent value when the debtor was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insolvent, or that rendered the debtor insolvent, inadequately capitalized or unable to pay its debts as they become due. Any unpaid creditor could claim that DowDuPont did not receive fair consideration or reasonably equivalent value in the separation and distribution, and that the separation and distribution left New DuPont insolvent or with unreasonably small capital or that DowDuPont intended or believed it would incur debts beyond its ability to pay such debts as they mature. If a court were to agree with such a plaintiff, then such court could void the separation and distribution as a fraudulent transfer or impose substantial liabilities on us, which could adversely affect our financial condition and our results of operations. Among other things, the court could return some of our assets or your shares of Corteva common stock to New DuPont, provide New DuPont with a claim for money damages against us in an amount equal to the difference between the consideration received by New DuPont and the fair market value of us at the time of the distribution, or require us to fund liabilities of other companies involved in the Internal Reorganization and Business Realignment for the benefit of creditors.</w:t>
      </w:r>
    </w:p>
    <w:p>
      <w:pPr>
        <w:spacing w:after="0" w:line="19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distribution is also subject to review under state corporate distribution statutes. Under the Delaware General Corporation Law (the “DGCL”), a corporation may only pay dividends to its stockholders either (i) out of its surplus (net assets minus capital) or (ii) if there is no such surplus, out of its net profits for the fiscal year in which the dividend is declared and/or the preceding fiscal year. Although the DowDuPont board of directors intends to make the distribution out of DowDuPont’s surplus and will receive an opinion that DowDuPont has adequate surplus under Delaware law to declare the dividend of Corteva common stock in connection with the distribution, there can be no assurance that a court will not later determine that some or all of the distribution was unlawful.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Corteva Common Stock</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cannot be certain that an active trading market for Corteva common stock will develop or be sustained after the distribution, and following the distribution, our stock price may fluctuate significantly.</w:t>
      </w:r>
    </w:p>
    <w:p>
      <w:pPr>
        <w:spacing w:after="0" w:line="62"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A public market for Corteva common stock does not currently exist. We expect that a limited market, commonly known as a “when-issued” trading market, will develop as early as the trading day prior to the record date for the distribution, and we expect “regular-way” trading of Corteva common stock to begin on the distribution date (or, if the distribution date is not a trading day, the first trading day after the distribution date). However, we cannot guarantee that an active trading market will develop or be sustained for Corteva common stock after the distribution. If an active trading market does not develop, you may have difficulty selling your shares of common stock at an attractive price, or at all. In addition, we cannot predict the prices at which shares of Corteva common stock may trade after the distribution.</w:t>
      </w:r>
    </w:p>
    <w:p>
      <w:pPr>
        <w:spacing w:after="0" w:line="178"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Similarly, DowDuPont cannot predict the effect of the distribution on the trading prices of its common stock. Immediately following the distribution, you will own shares in both New DuPont and Corteva. We cannot predict the price at which Corteva common stock will trade after the distribution. After the distribution of the shares of Corteva common stock, the combined trading prices of Corteva common stock and DowDuPont common stock may not equal the “regular-way” trading price of a share of DowDuPont common stock immediately prior to the distribution of Corteva common stock. The price at which Corteva common stock trades may fluctuate significantly, particularly until an orderly public market develops. Trading prices for Corteva common stock will be determined in the public markets and may be influenced by many factors.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market price of Corteva common stock may fluctuate significantly due to a number of factors, some of which may be beyond our control, including:</w:t>
      </w:r>
    </w:p>
    <w:p>
      <w:pPr>
        <w:spacing w:after="0" w:line="154" w:lineRule="exact"/>
        <w:rPr>
          <w:sz w:val="20"/>
          <w:szCs w:val="20"/>
          <w:color w:val="auto"/>
        </w:rPr>
      </w:pPr>
    </w:p>
    <w:p>
      <w:pPr>
        <w:jc w:val="both"/>
        <w:ind w:left="1060" w:right="80" w:hanging="316"/>
        <w:spacing w:after="0" w:line="264" w:lineRule="auto"/>
        <w:tabs>
          <w:tab w:leader="none" w:pos="1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our business profile and market capitalization may not fit the investment objectives of DowDuPont’s current stockholders, causing a shift in our initial investor base, and Corteva common stock may not be included in some indices in which DowDuPont common stock is included, causing certain holders to be mandated to sell their shares of Corteva common stock;</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failure of securities analysts to cover Corteva common stock after the distribution;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 or our earnings guidance;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overall market fluctuations and domestic and worldwide economic conditions;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other factors described in these “Risk Factors” and elsewhere in this information statement.</w:t>
      </w:r>
    </w:p>
    <w:p>
      <w:pPr>
        <w:spacing w:after="0" w:line="22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may adversely affect the trading price of Corteva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number of shares of Corteva common stock are or will be eligible for future sale, which may cause our stock price to decline.</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Any sales of substantial amounts of shares of Corteva common stock in the public market or the perception that such sales might occur, in connection with the distribution or otherwise, may cause the market price of Corteva common stock to decline. Upon completion of the distribution, we expect that we will have an aggregate of approximately 750 million shares of Corteva common stock issued and outstanding. These shares will be freely tradable without restriction or further registration under the Securities Act of 1933, as amended (the “Securities Act”), unless the shares are owned by one of our “affiliates,” as that term is defined in Rule 405 under the Securities Act.</w:t>
      </w:r>
    </w:p>
    <w:p>
      <w:pPr>
        <w:spacing w:after="0" w:line="18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are unable to predict whether large amounts of Corteva common stock will be sold in the open market following the distribution. We are also unable to predict whether a sufficient number of buyers would be in the market at that time. In this regard, a portion of DowDuPont common stock is held by index funds tied to stock indices. If we are not included in these indices at the time of distribution, these index funds may be required to sell Corteva common stock.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guarantee the timing, amount or payment of dividends on Corteva common stock in the future.</w:t>
      </w:r>
    </w:p>
    <w:p>
      <w:pPr>
        <w:spacing w:after="0" w:line="117"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There can be no assurance that we will have sufficient surplus under Delaware law to be able to pay any dividends. We expect that we will pay a quarterly dividend following the distribution beginning in the third quarter of 2019 (as DowDuPont’s dividends for the first two quarters of 2019 included amounts attributable to Corteva). As an independent company following the distribution, we expect to pay quarterly dividends of approximately 25-35% of annual net income. We intend to issue annual dividend payouts of $400 million. However, there can be no assurance we will be able to pay such dividends. The declaration, payment and amount of any subsequent dividend will be subject to the sole discretion of our post-distribution, independent board of directors and, in the context of our financial policy, will depend upon many factors, including our financial condition and prospects, our capital requirements and access to capital markets, covenants associated with certain of our debt obligations, legal requirements and other factors that our board of directors may deem relevant, and there can be no assurances that we will continue to pay a dividend in the future. In addition there can be no assurance that, after the distribution, the combined annual dividends, if any, on Corteva common stock, New DuPont common stock and Dow common stock, will be at least equal to the annual dividends paid on DowDuPont common stock prior to the distribution of Dow and Corteva common stock. For more information, see the section entitled “Dividend Policy.”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Your percentage of ownership in us may be diluted in the future.</w:t>
      </w:r>
    </w:p>
    <w:p>
      <w:pPr>
        <w:spacing w:after="0" w:line="117"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Your percentage ownership in us may be diluted because of equity issuances for acquisitions, capital market transactions or otherwise, including, without limitation, equity awards that we may be granting to our directors,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60"/>
          </w:cols>
          <w:pgMar w:left="240" w:top="460"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officers and employees. Our employees may have options to purchase shares of Corteva common stock after the distribution as a result of conversion of their DowDuPont stock options (in whole or in part) to our stock options.</w:t>
      </w:r>
    </w:p>
    <w:p>
      <w:pPr>
        <w:spacing w:after="0" w:line="17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In addition, our amended and restated certificate of incorporation will authorize us to issue, without the approval of our stockholders, one or more classes or series of preferred stock having such designation, powers, preferences and relative, participating, optional and other special rights, including preferences over Corteva common stock with respect to dividends and distributions, as our board of directors generally may determine. The terms of one or more classes or series of preferred stock could dilute the voting power or reduce the value of Corteva common stock. For example, we could grant the holders of preferred stock the right to elect some number of our directors in all events or on the happening of specified events or to veto specified transactions. Similarly, the repurchase or redemption rights or liquidation preferences we could assign to holders of preferred stock could affect the residual value of Corteva common stock. See the section entitled “Description of Our Capital Stock.”</w:t>
      </w:r>
    </w:p>
    <w:p>
      <w:pPr>
        <w:spacing w:after="0" w:line="286" w:lineRule="exact"/>
        <w:rPr>
          <w:sz w:val="20"/>
          <w:szCs w:val="20"/>
          <w:color w:val="auto"/>
        </w:rPr>
      </w:pPr>
    </w:p>
    <w:p>
      <w:pPr>
        <w:ind w:left="200" w:right="560"/>
        <w:spacing w:after="0" w:line="308" w:lineRule="auto"/>
        <w:rPr>
          <w:sz w:val="20"/>
          <w:szCs w:val="20"/>
          <w:color w:val="auto"/>
        </w:rPr>
      </w:pPr>
      <w:r>
        <w:rPr>
          <w:rFonts w:ascii="Arial" w:cs="Arial" w:eastAsia="Arial" w:hAnsi="Arial"/>
          <w:sz w:val="17"/>
          <w:szCs w:val="17"/>
          <w:b w:val="1"/>
          <w:bCs w:val="1"/>
          <w:i w:val="1"/>
          <w:iCs w:val="1"/>
          <w:color w:val="auto"/>
        </w:rPr>
        <w:t>Certain provisions in our amended and restated certificate of incorporation and by-laws, Delaware law and in the tax matters agreement may prevent or delay an acquisition of us, which could decrease the trading price of Corteva common stock.</w:t>
      </w:r>
    </w:p>
    <w:p>
      <w:pPr>
        <w:spacing w:after="0" w:line="38" w:lineRule="exact"/>
        <w:rPr>
          <w:sz w:val="20"/>
          <w:szCs w:val="20"/>
          <w:color w:val="auto"/>
        </w:rPr>
      </w:pPr>
    </w:p>
    <w:p>
      <w:pPr>
        <w:ind w:left="200" w:right="520"/>
        <w:spacing w:after="0" w:line="312" w:lineRule="auto"/>
        <w:rPr>
          <w:sz w:val="20"/>
          <w:szCs w:val="20"/>
          <w:color w:val="auto"/>
        </w:rPr>
      </w:pPr>
      <w:r>
        <w:rPr>
          <w:rFonts w:ascii="Arial" w:cs="Arial" w:eastAsia="Arial" w:hAnsi="Arial"/>
          <w:sz w:val="16"/>
          <w:szCs w:val="16"/>
          <w:color w:val="auto"/>
        </w:rPr>
        <w:t>Our amended and restated certificate of incorporation and by-laws will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 among others:</w:t>
      </w:r>
    </w:p>
    <w:p>
      <w:pPr>
        <w:spacing w:after="0" w:line="52" w:lineRule="exact"/>
        <w:rPr>
          <w:sz w:val="20"/>
          <w:szCs w:val="20"/>
          <w:color w:val="auto"/>
        </w:rPr>
      </w:pPr>
    </w:p>
    <w:p>
      <w:pPr>
        <w:ind w:left="1060" w:hanging="316"/>
        <w:spacing w:after="0"/>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inability of our stockholders to act by written consent;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limited ability of our stockholders to call a special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 and</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ability of our directors, but not our stockholders, to expand the size of our board of directors and to fill vacancies on our board of directors (including those resulting from an enlargement of our board of directors).</w:t>
      </w:r>
    </w:p>
    <w:p>
      <w:pPr>
        <w:spacing w:after="0" w:line="170" w:lineRule="exact"/>
        <w:rPr>
          <w:sz w:val="20"/>
          <w:szCs w:val="20"/>
          <w:color w:val="auto"/>
        </w:rPr>
      </w:pPr>
    </w:p>
    <w:p>
      <w:pPr>
        <w:ind w:left="200" w:right="340"/>
        <w:spacing w:after="0" w:line="257" w:lineRule="auto"/>
        <w:rPr>
          <w:sz w:val="20"/>
          <w:szCs w:val="20"/>
          <w:color w:val="auto"/>
        </w:rPr>
      </w:pPr>
      <w:r>
        <w:rPr>
          <w:rFonts w:ascii="Arial" w:cs="Arial" w:eastAsia="Arial" w:hAnsi="Arial"/>
          <w:sz w:val="18"/>
          <w:szCs w:val="18"/>
          <w:color w:val="auto"/>
        </w:rPr>
        <w:t>In addition, following the distribution, we will be subject to Section 203 of the DGCL. Section 203 of the DGCL provides that, subject to limited exceptions, persons that (without prior board approval) acquire, or are affiliated with a person that acquires, more than 15 percent of the outstanding voting stock of a Delaware corporation shall not engage in any business combination with that corporation, including by merger, consolidation or acquisitions of additional shares, for a three-year period following the date on which that person or its affiliate becomes the holder of more than 15 percent of the corporation’s outstanding voting stock.</w:t>
      </w:r>
    </w:p>
    <w:p>
      <w:pPr>
        <w:spacing w:after="0" w:line="188"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us immune from takeovers. However, these provisions will apply even if an acquisition proposal or offer may be considered beneficial by some stockholders and could delay or prevent an acquisition that our board of directors determines is not in our and our stockholders’ best interests. These provisions may also prevent or discourage attempts to remove and replace incumbent directors.</w:t>
      </w:r>
    </w:p>
    <w:p>
      <w:pPr>
        <w:spacing w:after="0" w:line="173"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Several of the agreements that we have entered or will enter into with DowDuPont or Dow require DowDuPont’s or Dow’s consent to any assignment by us of our rights and obligations, or a change of control of us, under the agreements. The consent rights set forth in these agreements might discourage, delay or prevent a change of control that you may consider favorable. See the sections entitled “Our Relationship with New DuPont and Dow Following the Distribution” for a more detailed description of these agreements and provisions.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an acquisition or further issuance of our stock could trigger the application of Section 355(e) of the Code. For a discussion of</w:t>
      </w:r>
    </w:p>
    <w:p>
      <w:pPr>
        <w:spacing w:after="0" w:line="23"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Section 355(e), see the section entitled “Material U.S. Federal Income Tax Consequences of the Distribution.” Under the tax matters agreement, we would be required to indemnify New DuPont for the tax imposed under Section 355(e) of the Code resulting from an acquisition or issuance of our stock, even if we did not participate in or otherwise facilitate the acquisition, and this indemnity obligation might discourage, delay or prevent a change of control that you may consider favorable.</w:t>
      </w:r>
    </w:p>
    <w:p>
      <w:pPr>
        <w:spacing w:after="0" w:line="298"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b w:val="1"/>
          <w:bCs w:val="1"/>
          <w:i w:val="1"/>
          <w:iCs w:val="1"/>
          <w:color w:val="auto"/>
        </w:rPr>
        <w:t>Our amended and restated by-laws will provide that the Court of Chancery of the State of Delaware will be the exclusive forum for certain legal actions between us and our stockholders, which could limit our stockholders’ ability to obtain a judicial forum viewed by the stockholders as more favorable for disputes with us or our directors, officers or employees.</w:t>
      </w:r>
    </w:p>
    <w:p>
      <w:pPr>
        <w:spacing w:after="0" w:line="7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Our amended and restated by-laws will provide that unless we consent in writing to the selection of an alternative forum, the Court of Chancery of the State of Delaware will be the sole and exclusive forum for any derivative action or proceeding brought on behalf of us, any action asserting a claim of breach of a fiduciary duty owed by any of our directors, officers or other employees to us or our stockholders, any action asserting a claim arising pursuant to any provision of the DGCL, or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or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Our amended and restated by-laws will provide that the exclusive forum provision will not preclude or contract the scope of exclusive federal or concurrent jurisdiction for actions brought under the Exchange Act or the Securities Act or the respective rules and regulations promulgated thereunder.</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This information statement and other materials DowDuPont and we have filed or will file with the SEC contain, or will contain, forward-looking statements within the meaning of Section 21E of the Exchange Act and Section 27A of the Securities Act, which may be identified by their use of words like “plans,” “expects,” “will,” “anticipates,” “believes,” “intends,” “projects,” “estimates” or other words of similar meaning. All statements that address expectations or projections about the future, including statements about the company’s strategy for growth, product development, regulatory approval, market position, anticipated benefits of recent acquisitions, timing of anticipated benefits from restructuring actions, outcome of contingencies, such as litigation and environmental matters, expenditures, and financial results, and timing of, as well as expected benefits from, the separation of us and Dow from DowDuPont, are forward-looking statements.</w:t>
      </w:r>
    </w:p>
    <w:p>
      <w:pPr>
        <w:spacing w:after="0" w:line="189"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Forward-looking statements are based on certain assumptions and expectations of future events which may not be accurate or realized. Forward-looking statements also involve risks and uncertainties, many of which are beyond the company’s control.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our business, results of operations and financial condition. Some of the important factors that could cause the company’s actual results to differ materially from those projected in any such forward-looking statements are:</w:t>
      </w:r>
    </w:p>
    <w:p>
      <w:pPr>
        <w:spacing w:after="0" w:line="98" w:lineRule="exact"/>
        <w:rPr>
          <w:sz w:val="20"/>
          <w:szCs w:val="20"/>
          <w:color w:val="auto"/>
        </w:rPr>
      </w:pPr>
    </w:p>
    <w:p>
      <w:pPr>
        <w:ind w:left="1060" w:hanging="316"/>
        <w:spacing w:after="0"/>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effect of competition and consolidation in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pipeline;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failure to obtain or maintain the necessary regulatory approvals for some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failure to enforce our intellectual property rights or defend against intellectual property claims asserted by others;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effect of competition from manufacturers of generic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costs of complying with evolving regulatory requirements;</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effect of the degree of public understanding and acceptance or perceived public acceptance of our biotechnology and other agricultural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effect of changes in agricultural and related policies of governments and international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impact of our dependence on our relationships or contracts with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effect of disruptions to our supply chain, information technology or network systems;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effect of volatility in our input costs; and</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Internal Reorganization, including failure to benefit from significant cost synergies through the Synergy Program.</w:t>
      </w:r>
    </w:p>
    <w:p>
      <w:pPr>
        <w:spacing w:after="0" w:line="17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Additionally, there may be other risks and uncertainties that we are unable to currently identify or that we do not currently expect to have a material impact on our business.</w:t>
      </w:r>
    </w:p>
    <w:p>
      <w:pPr>
        <w:spacing w:after="0" w:line="170"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Where, in any forward-looking statement, an expectation or belief as to future results or events is expressed, such expectation or belief is based on the current plans and expectations of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under the sections entitled “Risk Factors,” “Business” and “Management’s Discussion and Analysis of Financial Condition and Results of Operations.” We disclaim and do not undertake any obligation to update or revise any forward-looking statement, except as required by applicable law.</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DISTRIBUTION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of the Distribution</w:t>
      </w:r>
    </w:p>
    <w:p>
      <w:pPr>
        <w:spacing w:after="0" w:line="121"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DowDuPont is a holding company comprised of Historical DuPont and Historical Dow. DowDuPont conducts its operations worldwide through the following eight segments: Agriculture; Performance Materials &amp; Coatings; Industrial Intermediates &amp; Infrastructure; Packaging &amp; Specialty Plastics; Electronics &amp; Imaging; Nutrition &amp; Biosciences; Transportation &amp; Advanced Polymers; and Safety &amp; Construction. DowDuPont has approximately 98,000 employees.</w:t>
      </w:r>
    </w:p>
    <w:p>
      <w:pPr>
        <w:spacing w:after="0" w:line="18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In connection with the signing of the merger agreement, Historical DuPont and Historical Dow announced their intention to pursue, subject to the approval of the DowDuPont board of directors and any required regulatory approvals, the separation of the combined company, DowDuPont, into three, independent publicly traded companies—one for each of its agriculture, materials science and specialty products businesses—with the belief that these companies would lead their respective industries through science-based innovation to meet the needs of customers and help solve global challenges. Upon the consummation of the Merger, DowDuPont reiterated this intention and the DowDuPont board of directors established three committees (collectively, the “advisory committees”), one to oversee the business and affairs of each of its agriculture, materials science and specialty products divisions, including each business’s preparation for the intended separations.</w:t>
      </w:r>
    </w:p>
    <w:p>
      <w:pPr>
        <w:spacing w:after="0" w:line="178"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On September 12, 2017, the DowDuPont board of directors announced the composition of the agriculture business, Corteva, which is expected to be the second business separated and will hold DowDuPont’s agriculture business.</w:t>
      </w:r>
    </w:p>
    <w:p>
      <w:pPr>
        <w:spacing w:after="0" w:line="17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distribution of Corteva common stock is expected to be the second of two distributions to effectuate DowDuPont’s plan to separate DowDuPont into three independent, publicly traded companies. The separation of Dow occurred on April 1, 2019. The separation of Dow was completed through the distribution to DowDuPont stockholders of all the then issued and outstanding shares of common stock of Dow, a wholly owned subsidiary of DowDuPont that at the time of Dow’s distribution held DowDuPont’s materials science business. The remaining company, which holds DowDuPont’s agriculture and specialty products business, is expected to, subject to the approval of its board of directors, complete the distribution of Corteva. The separation of Corteva is expected to be completed on June 1, 2019 through the distribution to DowDuPont stockholders of all the Corteva common stock.</w:t>
      </w:r>
    </w:p>
    <w:p>
      <w:pPr>
        <w:spacing w:after="0" w:line="189"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auto"/>
        </w:rPr>
        <w:t>Prior to these distributions, DowDuPont has completed the Internal Reorganization and will continue to undertake the Business Realignment, as described in the section entitled “Merger, Intended Separations, Reorganization and Financial Statement Presentation—Internal Reorganization” and as contemplated by the separation agreement, which is further discussed in the section entitled “Our Relationship with New DuPont and Dow Following the Distribution—Separation Agreement.” As a result of these transactions, at the time of its distribution, Dow held the assets and liabilities associated with DowDuPont’s materials science business (in addition to any assets and liabilities allocated to Dow pursuant to the separation agreement), Corteva will hold the assets and liabilities associated with DowDuPont’s agriculture business (in addition to any assets and liabilities allocated to Corteva pursuant to the separation agreement), and after the final distribution, New DuPont will continue to hold the assets and liabilities associated with DowDuPont’s specialty products business (in addition to any assets and liabilities allocated to New DuPont pursuant to the separation agreement).</w:t>
      </w:r>
    </w:p>
    <w:p>
      <w:pPr>
        <w:spacing w:after="0" w:line="166"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DowDuPont board of directors believes that the completion of these separations will result in three independent, publicly traded companies that will lead their respective industries through productive, science-based innovation to meet the needs of customers and help solve global challenges and is the best available opportunity to unlock the value of DowDuPont’s businesses.</w:t>
      </w:r>
    </w:p>
    <w:p>
      <w:pPr>
        <w:spacing w:after="0" w:line="181"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On May 6, 2019 the DowDuPont board of directors approved the distribution of all the then-issued and outstanding shares of Corteva common stock to DowDuPont stockholders on the basis of one share of Corteva common stock for every three shares of DowDuPont common stock held at the close of business on the record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date for the distribution. As a result of the distribution, Corteva will become an independent, publicly traded company. The distribution of Corteva common stock as described in this information statement is subject to the satisfaction or waiver of certain conditions. For a more detailed description of these conditions, see this section under “—Conditions to the Distribution.” DowDuPont stockholders may also receive cash in lieu of any fractional shares of Corteva common stock that they would have received in the distribution. The distribution is intended to be generally tax-free to DowDuPont stockholders for U.S. federal income tax purposes, except for any cash received in lieu of fractional shares. DowDuPont stockholders will not be required to make any payment, surrender or exchange their DowDuPont common stock or take any other action to receive their shares of Corteva common stock in the distribution.</w:t>
      </w:r>
    </w:p>
    <w:p>
      <w:pPr>
        <w:spacing w:after="0" w:line="18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DowDuPont board of directors has the discretion to abandon the intended distribution and to alter the terms of distribution. As a result, we cannot provide any assurances that the distribution will be completed.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Reasons for the Separation and Distribution</w:t>
      </w:r>
    </w:p>
    <w:p>
      <w:pPr>
        <w:spacing w:after="0" w:line="121"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Since the Merger, the DowDuPont board of directors has met regularly to review DowDuPont’s businesses, has consulted regularly with the advisory committees and has evaluated the strategic opportunities available to the combined company and its businesses. The DowDuPont board of directors believes that the separation of DowDuPont into three independent, publicly traded companies through the separation of its agriculture, materials science and specialty products businesses is the best available opportunity to unlock the value of DowDuPont. The DowDuPont board of directors, in consultation with the advisory committees, has considered a wide variety of factors in evaluating the separation and distribution of Dow and the planned separation and distribution of Corteva, including the risk that the distribution is abandoned and not completed. The DowDuPont board of directors believes that the potential benefits to DowDuPont stockholders of the separation of each of its three businesses into independent companies with their own distinctive business and capital structures and ability to focus on their respective specific growth plans will provide DowDuPont stockholders with certain opportunities and benefits not available to the combined company.</w:t>
      </w:r>
    </w:p>
    <w:p>
      <w:pPr>
        <w:spacing w:after="0" w:line="182"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The DowDuPont board of directors believes that the separation of the agriculture business from DowDuPont is in the best interests of DowDuPont and its stockholders. Among other things, the DowDuPont board of directors considered the following potential benefits of the separations and distributions:</w:t>
      </w:r>
    </w:p>
    <w:p>
      <w:pPr>
        <w:spacing w:after="0" w:line="29" w:lineRule="exact"/>
        <w:rPr>
          <w:sz w:val="20"/>
          <w:szCs w:val="20"/>
          <w:color w:val="auto"/>
        </w:rPr>
      </w:pPr>
    </w:p>
    <w:p>
      <w:pPr>
        <w:ind w:left="1060" w:hanging="316"/>
        <w:spacing w:after="0" w:line="286" w:lineRule="auto"/>
        <w:tabs>
          <w:tab w:leader="none" w:pos="1060"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Attractive Investment Profile</w:t>
      </w:r>
      <w:r>
        <w:rPr>
          <w:rFonts w:ascii="Arial" w:cs="Arial" w:eastAsia="Arial" w:hAnsi="Arial"/>
          <w:sz w:val="17"/>
          <w:szCs w:val="17"/>
          <w:color w:val="auto"/>
        </w:rPr>
        <w:t>. The creation of separate companies with strong, focused businesses and each with a distinct financial profile</w:t>
      </w:r>
      <w:r>
        <w:rPr>
          <w:rFonts w:ascii="Arial" w:cs="Arial" w:eastAsia="Arial" w:hAnsi="Arial"/>
          <w:sz w:val="17"/>
          <w:szCs w:val="17"/>
          <w:i w:val="1"/>
          <w:iCs w:val="1"/>
          <w:color w:val="auto"/>
        </w:rPr>
        <w:t xml:space="preserve"> </w:t>
      </w:r>
      <w:r>
        <w:rPr>
          <w:rFonts w:ascii="Arial" w:cs="Arial" w:eastAsia="Arial" w:hAnsi="Arial"/>
          <w:sz w:val="17"/>
          <w:szCs w:val="17"/>
          <w:color w:val="auto"/>
        </w:rPr>
        <w:t>and clear investment thesis is expected to drive significant long-term value for all stockholders and also reduce the complexities surrounding investor understanding, enabling investors to invest in each company separately based on its distinct characteristics.</w:t>
      </w:r>
    </w:p>
    <w:p>
      <w:pPr>
        <w:spacing w:after="0" w:line="70" w:lineRule="exact"/>
        <w:rPr>
          <w:rFonts w:ascii="Arial" w:cs="Arial" w:eastAsia="Arial" w:hAnsi="Arial"/>
          <w:sz w:val="17"/>
          <w:szCs w:val="17"/>
          <w:color w:val="auto"/>
        </w:rPr>
      </w:pPr>
    </w:p>
    <w:p>
      <w:pPr>
        <w:ind w:left="1060" w:right="80" w:hanging="316"/>
        <w:spacing w:after="0" w:line="279" w:lineRule="auto"/>
        <w:tabs>
          <w:tab w:leader="none" w:pos="1060"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Enhanced Means to Evaluate Financial Performance</w:t>
      </w:r>
      <w:r>
        <w:rPr>
          <w:rFonts w:ascii="Arial" w:cs="Arial" w:eastAsia="Arial" w:hAnsi="Arial"/>
          <w:sz w:val="17"/>
          <w:szCs w:val="17"/>
          <w:color w:val="auto"/>
        </w:rPr>
        <w:t>. Investors should be better able to evaluate the business condition, strategy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of each company within the context of its particular industry and markets. It is expected that, over time following the completion of the separations, the aggregate market value of us, Dow and New DuPont will be higher, on a fully distributed basis and assuming the same market conditions, than if DowDuPont were to remain under its current configuration.</w:t>
      </w:r>
    </w:p>
    <w:p>
      <w:pPr>
        <w:spacing w:after="0" w:line="76" w:lineRule="exact"/>
        <w:rPr>
          <w:rFonts w:ascii="Arial" w:cs="Arial" w:eastAsia="Arial" w:hAnsi="Arial"/>
          <w:sz w:val="17"/>
          <w:szCs w:val="17"/>
          <w:color w:val="auto"/>
        </w:rPr>
      </w:pPr>
    </w:p>
    <w:p>
      <w:pPr>
        <w:ind w:left="1060" w:right="100" w:hanging="316"/>
        <w:spacing w:after="0" w:line="273" w:lineRule="auto"/>
        <w:tabs>
          <w:tab w:leader="none" w:pos="1060"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Distinct Position</w:t>
      </w:r>
      <w:r>
        <w:rPr>
          <w:rFonts w:ascii="Arial" w:cs="Arial" w:eastAsia="Arial" w:hAnsi="Arial"/>
          <w:sz w:val="17"/>
          <w:szCs w:val="17"/>
          <w:color w:val="auto"/>
        </w:rPr>
        <w:t>. The separations are expected to create three independent companies with tailored growth strategies and differentiated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resulting in: Corteva, a leading global agricultural company with one of the most comprehensive and diverse portfolios in the industry; Dow, a leading global materials science company that will be a low-cost, innovation-driven leader; and New DuPont, a leading global specialty products company that will be a technology driven innovation leader. Each company will provide investors with a distinct investment option that may be more attractive to current investors and will allow the company to attract different investors than the current investment option available to DowDuPont stockholders of one combined company.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59" w:lineRule="auto"/>
        <w:tabs>
          <w:tab w:leader="none" w:pos="106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Focused Capital Allocation</w:t>
      </w:r>
      <w:r>
        <w:rPr>
          <w:rFonts w:ascii="Arial" w:cs="Arial" w:eastAsia="Arial" w:hAnsi="Arial"/>
          <w:sz w:val="18"/>
          <w:szCs w:val="18"/>
          <w:color w:val="auto"/>
        </w:rPr>
        <w:t>. Each independent, publicly traded company will have a capital structure that is expected to be best suited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needs and will be able to make capital allocation decisions that better align with its streamlined business. In addition, after the separations, the respective businesses within each company will no longer need to compete internally for capital and other corporate resources with businesses allocated to another company.</w:t>
      </w:r>
    </w:p>
    <w:p>
      <w:pPr>
        <w:spacing w:after="0" w:line="92" w:lineRule="exact"/>
        <w:rPr>
          <w:rFonts w:ascii="Arial" w:cs="Arial" w:eastAsia="Arial" w:hAnsi="Arial"/>
          <w:sz w:val="18"/>
          <w:szCs w:val="18"/>
          <w:color w:val="auto"/>
        </w:rPr>
      </w:pPr>
    </w:p>
    <w:p>
      <w:pPr>
        <w:ind w:left="1060" w:right="400" w:hanging="316"/>
        <w:spacing w:after="0" w:line="308" w:lineRule="auto"/>
        <w:tabs>
          <w:tab w:leader="none" w:pos="1060"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Ability to Adapt to Industry Changes</w:t>
      </w:r>
      <w:r>
        <w:rPr>
          <w:rFonts w:ascii="Arial" w:cs="Arial" w:eastAsia="Arial" w:hAnsi="Arial"/>
          <w:sz w:val="17"/>
          <w:szCs w:val="17"/>
          <w:color w:val="auto"/>
        </w:rPr>
        <w:t>. Each company is expected to be able to maintain a sharper focus on its core business and growth</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which will allow each company to respond better and more quickly to developments in its industry.</w:t>
      </w:r>
    </w:p>
    <w:p>
      <w:pPr>
        <w:spacing w:after="0" w:line="51" w:lineRule="exact"/>
        <w:rPr>
          <w:rFonts w:ascii="Arial" w:cs="Arial" w:eastAsia="Arial" w:hAnsi="Arial"/>
          <w:sz w:val="17"/>
          <w:szCs w:val="17"/>
          <w:color w:val="auto"/>
        </w:rPr>
      </w:pPr>
    </w:p>
    <w:p>
      <w:pPr>
        <w:ind w:left="1060" w:right="120" w:hanging="316"/>
        <w:spacing w:after="0" w:line="264" w:lineRule="auto"/>
        <w:tabs>
          <w:tab w:leader="none" w:pos="106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Dedicated Management Team with Enhanced Strategic Focus</w:t>
      </w:r>
      <w:r>
        <w:rPr>
          <w:rFonts w:ascii="Arial" w:cs="Arial" w:eastAsia="Arial" w:hAnsi="Arial"/>
          <w:sz w:val="18"/>
          <w:szCs w:val="18"/>
          <w:color w:val="auto"/>
        </w:rPr>
        <w:t>. Each company’s management team will be able to design and implement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policies and strategies that are tailored to such company’s specific business characteristics and to focus on maximizing the value of its business.</w:t>
      </w:r>
    </w:p>
    <w:p>
      <w:pPr>
        <w:spacing w:after="0" w:line="86" w:lineRule="exact"/>
        <w:rPr>
          <w:rFonts w:ascii="Arial" w:cs="Arial" w:eastAsia="Arial" w:hAnsi="Arial"/>
          <w:sz w:val="18"/>
          <w:szCs w:val="18"/>
          <w:color w:val="auto"/>
        </w:rPr>
      </w:pPr>
    </w:p>
    <w:p>
      <w:pPr>
        <w:ind w:left="1060" w:right="200" w:hanging="316"/>
        <w:spacing w:after="0" w:line="276" w:lineRule="auto"/>
        <w:tabs>
          <w:tab w:leader="none" w:pos="1060"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Improved Management Incentive Tools</w:t>
      </w:r>
      <w:r>
        <w:rPr>
          <w:rFonts w:ascii="Arial" w:cs="Arial" w:eastAsia="Arial" w:hAnsi="Arial"/>
          <w:sz w:val="17"/>
          <w:szCs w:val="17"/>
          <w:color w:val="auto"/>
        </w:rPr>
        <w:t>. The separation will permit the creation of equity securities, including options and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units, for each publicly traded company with values more closely linked to the performance of such company’s business than would be readily available under the current configuration of businesses within DowDuPont as a single public company. The DowDuPont board of directors believes such equity-based compensation arrangements should provide enhanced incentives for performance and improve the ability for each publicly traded company to attract, retain and motivate qualified personnel.</w:t>
      </w:r>
    </w:p>
    <w:p>
      <w:pPr>
        <w:spacing w:after="0" w:line="77" w:lineRule="exact"/>
        <w:rPr>
          <w:rFonts w:ascii="Arial" w:cs="Arial" w:eastAsia="Arial" w:hAnsi="Arial"/>
          <w:sz w:val="17"/>
          <w:szCs w:val="17"/>
          <w:color w:val="auto"/>
        </w:rPr>
      </w:pPr>
    </w:p>
    <w:p>
      <w:pPr>
        <w:ind w:left="1060" w:right="60" w:hanging="316"/>
        <w:spacing w:after="0" w:line="286" w:lineRule="auto"/>
        <w:tabs>
          <w:tab w:leader="none" w:pos="1060"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Direct Access to Capital Markets and Ability to Pursue Strategic Opportunities</w:t>
      </w:r>
      <w:r>
        <w:rPr>
          <w:rFonts w:ascii="Arial" w:cs="Arial" w:eastAsia="Arial" w:hAnsi="Arial"/>
          <w:sz w:val="17"/>
          <w:szCs w:val="17"/>
          <w:color w:val="auto"/>
        </w:rPr>
        <w:t>. Each company’s business will have direct access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markets, and is expected to be better situated to pursue future acquisitions, joint ventures and other strategic opportunities as well as internal expansion that is more closely aligned with such company’s strategic goals and expected growth opportunities.</w:t>
      </w:r>
    </w:p>
    <w:p>
      <w:pPr>
        <w:spacing w:after="0" w:line="166"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The DowDuPont board of directors also considered a number of potentially negative factors, including the loss of synergies and joint purchasing power from ceasing to operate as part of a larger, more diversified company, risks relating to the creation of a new public company, such as increased costs from operating as a separate public company, potential disruptions to the businesses and loss or dilution of brand identities, possible increased administrative costs and one-time separation costs, restrictions on each company’s ability to pursue certain opportunities that may have otherwise been available in order to preserve the tax-free nature of the distributions and related transactions for U.S. federal income tax purposes, the fact that each company will be less diversified than the current configuration of DowDuPont’s businesses prior to the separations and distributions and the potential inability to realize the anticipated benefit of the separation.</w:t>
      </w:r>
    </w:p>
    <w:p>
      <w:pPr>
        <w:spacing w:after="0" w:line="178"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The DowDuPont board of directors concluded that the potential benefits of pursuing each separation and distribution outweighed the potential negative factors in connection therewith. Neither DowDuPont nor we can assure you that, following the separation and distribution, any of the benefits described above or otherwise will be realized to the extent anticipated or at all. For more information see the section entitled “Risk Factors.”</w:t>
      </w:r>
    </w:p>
    <w:p>
      <w:pPr>
        <w:spacing w:after="0" w:line="14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DowDuPont board of directors also considered these potential benefits and potentially negative factors in light of the risk that one or more of the distributions is abandoned or otherwise not completed, resulting in DowDuPont separating into fewer than the intended three independent, publicly traded companies. The DowDuPont board of directors believes that the potential benefits to DowDuPont stockholders discussed above apply to the separation of each of the intended three businesses and that the creation of each independent company, with its distinctive business and capital structure and ability to focus on its specific growth plan, will provide DowDuPont stockholders with greater long-term value than retaining one investment in the combined company.</w:t>
      </w:r>
    </w:p>
    <w:p>
      <w:pPr>
        <w:spacing w:after="0" w:line="193" w:lineRule="exact"/>
        <w:rPr>
          <w:sz w:val="20"/>
          <w:szCs w:val="20"/>
          <w:color w:val="auto"/>
        </w:rPr>
      </w:pPr>
    </w:p>
    <w:p>
      <w:pPr>
        <w:ind w:left="200" w:right="660"/>
        <w:spacing w:after="0" w:line="312" w:lineRule="auto"/>
        <w:rPr>
          <w:sz w:val="20"/>
          <w:szCs w:val="20"/>
          <w:color w:val="auto"/>
        </w:rPr>
      </w:pPr>
      <w:r>
        <w:rPr>
          <w:rFonts w:ascii="Arial" w:cs="Arial" w:eastAsia="Arial" w:hAnsi="Arial"/>
          <w:sz w:val="16"/>
          <w:szCs w:val="16"/>
          <w:color w:val="auto"/>
        </w:rPr>
        <w:t>In view of the wide variety of factors considered in connection with the evaluation of the separation and the complexity of these matters, the DowDuPont board of directors did not find it useful to, and did not attempt to, quantify, rank or otherwise assign relative weights to the factors considered. The individual members of the DowDuPont board of directors may have given different weights to different factors.</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60"/>
          </w:cols>
          <w:pgMar w:left="240" w:top="460"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Corteva and Formation of a Holding Company Prior to the Distribution</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EID was initially incorporated in Delaware in 1915 as the successor to a company that was founded in 1802. On August 31, 2017, as a result of the completion of the Merger, Historical DuPont became a subsidiary of DowDuPont. Prior to the Merger, Historical DuPont was a publicly traded company that was listed on the NYSE and operated a global business that included agriculture, electronics and communications, industrial biosciences, nutrition and health, performance materials and protection solutions segments.</w:t>
      </w:r>
    </w:p>
    <w:p>
      <w:pPr>
        <w:spacing w:after="0" w:line="187"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As part of DowDuPont’s plan to separate its agriculture business, on March 16, 2018, DowDuPont formed Corteva Parent to serve as a holding company for Corteva. Corteva Parent is a direct, wholly owned subsidiary of DowDuPont and at the time of the distribution will be the direct parent of EID. In connection with the separation and distribution, DowDuPont has and will continue to transfer the assets and liabilities of the agriculture business not currently held by Corteva, to Corteva (see the sections entitled “Merger, Intended Separations, Reorganization and Financial Statement Presentation— Internal Reorganization” and “Our Relationship with New DuPont and Dow Following the Distribution—Separation Agreement”). DowDuPont will then complete the separation through a distribution of Corteva common stock by way of a pro rata dividend to DowDuPont stockholders as of the record date. Following the separation and distribution, Corteva will be a separate company and the remaining company, New DuPont, will not retain any ownership interest in Corteva. As a result of the Internal Reorganization and Business Realignment, at the time of the distribution, Corteva Parent will hold, among certain other assets and liabilities, the agriculture business of Historical DuPont (“Historical DuPont Agriculture”) and Dow AgroSciences (in addition to any assets and liabilities allocated to it pursuant to the separation agreement).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Number of Shares of Corteva Common Stock You Will Receive</w:t>
      </w:r>
    </w:p>
    <w:p>
      <w:pPr>
        <w:spacing w:after="0" w:line="121"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For every three shares of DowDuPont common stock that you own at the close of business on May 24, 2019, the record date, you will receive one share of Corteva common stock on the distribution date. DowDuPont will not distribute any fractional shares of Corteva common stock. Instead, if you are a registered holder, the distribution agent will aggregate fractional shares into whole shares, sell the whole shares in the open market at prevailing market prices and distribute the aggregate cash proceeds (net of discounts and commissions) of the sales pro rata (based on the fractional share such stockholder would otherwise have been entitled to receive) to each stockholder who otherwise would have been entitled to receive a fractional share in the distribution. The distribution agent, in its sole discretion, without any influence by DowDuPont or us, will determine when, how, through which broker-dealer and at what price to sell the whole shares. Neither we nor DowDuPont will be able to guarantee any minimum sale price in connection with the sale of these shares. Recipients of cash in lieu of fractional shares will not be entitled to any interest on the amounts received in lieu of fractional shares.</w:t>
      </w:r>
    </w:p>
    <w:p>
      <w:pPr>
        <w:spacing w:after="0" w:line="166"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aggregate net cash proceeds of these sales will be taxable for U.S. federal income tax purposes. See the section entitled “Material U.S. Federal Income Tax Consequences of the Distribution” for an explanation of the material U.S. federal income tax consequences of the distribution. If you are a registered holder of DowDuPont common stock, you will receive a check from the distribution agent in an amount equal to your pro rata share of the aggregate net cash proceeds of the sales. We estimate that it will take approximately two weeks from the distribution date for the distribution agent to complete the distributions of the aggregate net cash proceeds. If you hold your DowDuPont common stock through a bank or brokerage firm, your bank or brokerage firm will receive, on your behalf, your pro rata share of the aggregate net cash proceeds of the sales and will be responsible for transmitting to you your share of such proceeds.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When and How You Will Receive the Distribution</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With the assistance of the distribution agent, subject to the satisfaction or waiver of certain conditions, the distribution of Corteva common stock is expected to occur on June 1, 2019, the distribution date, to all holders of outstanding DowDuPont common stock on the record date. Computershare will serve as the distribution agent in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connection with the distribution, and will also serve as the transfer agent and registrar for the Corteva common stock. DowDuPont stockholders may receive cash in lieu of any fractional shares of Corteva common stock which they would have been entitled to receive.</w:t>
      </w:r>
    </w:p>
    <w:p>
      <w:pPr>
        <w:spacing w:after="0" w:line="14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If you own DowDuPont common stock as of the close of business on the record date, the shares of Corteva common stock that you are entitled to receive in the distribution will be issued to you electronically, as of the distribution date, in direct registration or book-entry form. If you are a registered holder, the distribution agent will credit the whole shares of Corteva common stock you receive in the distribution to a book-entry account with our transfer agent on or shortly following the distribution date. Approximately two weeks after the distribution date, the distribution agent will mail you a direct registration account statement that reflects the shares of Corteva common stock that have been registered in book-entry form in your name as well as a check reflecting any cash you are entitled to receive in lieu of fractional shares. “Direct registration form” refers to a method of recording share ownership when no physical share certificates are issued to stockholders, as is the case in this distribution.</w:t>
      </w:r>
    </w:p>
    <w:p>
      <w:pPr>
        <w:spacing w:after="0" w:line="178"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Most DowDuPont stockholders own their shares beneficially through a bank, broker or other nominee. In such cases, the bank, broker or other nominee would be said to hold the shares in “street name” and the shares of Corteva common stock you are entitled to receive in the distribution will be issued electronically to your bank or broker and your ownership would be recorded on the bank or brokerage firm’s books. If you hold your DowDuPont common stock through a bank, broker or other nominee, your bank or brokerage firm will credit your account for the shares of Corteva common stock that you are entitled to receive in the distribution, and will be responsible for transmitting to you any cash in lieu of fractional shares you are entitled to receive. If you have any questions concerning the mechanics of the distribution and you hold your shares of DowDuPont in street name, please contact your bank or brokerage firm.</w:t>
      </w:r>
    </w:p>
    <w:p>
      <w:pPr>
        <w:spacing w:after="0" w:line="18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If you sell your DowDuPont common stock in the “regular-way” market on or prior to the last trading day prior to the distribution date, you will be selling your right to receive shares of Corteva common stock in the distribution.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2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shares of Corteva common stock distributed to DowDuPont stockholders in connection with the distribution will be transferable without registration under the Securities Act, except for shares received by persons who may be deemed to be our affiliates. Persons who may be deemed to be our affiliates after the distribution generally include individuals or entities that control, are controlled by or are under common control with us, which may include certain of our executive officers, directors or principal stockholders. Securities held by Corteva affiliates will be subject to resale restrictions under the Securities Act. Corteva affiliates will be permitted to sell shares of Corteva common stock only pursuant to an effective registration statement or an exemption from the registration requirements of the Securities Act, such as the exemption afforded by Rule 144 under the Securities Act.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the Distribution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After our separation from DowDuPont, we will be an independent, publicly traded company. The actual number of shares to be distributed will be determined by DowDuPont at the close of business on the record date for the distribution based on the distribution ratio. The distribution will not affect the number of outstanding shares of DowDuPont common stock, which will now reflect ownership of New DuPont, or any rights of DowDuPont stockholders. DowDuPont will not distribute any fractional shares of Corteva common stock.</w:t>
      </w:r>
    </w:p>
    <w:p>
      <w:pPr>
        <w:spacing w:after="0" w:line="187"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auto"/>
        </w:rPr>
        <w:t>Substantially simultaneously with the distribution of Dow on April 1, 2019, we entered into the separation agreement with DowDuPont and Dow to effect the separation and provide a framework for our relationship with New DuPont and Dow after the separation and distribution. In connection with the separation and distribution, we have also entered and will also enter into various other agreements with DowDuPont and Dow, including a</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tax matters agreement, an employee matters agreement, intellectual property cross-license agreements, trademark license agreements and certain other intellectual property, services, supply and real estate-related agreements. These agreements collectively provide for the allocation among us, New DuPont and Dow of the assets, liabilities and obligations of DowDuPont and its subsidiaries (including its investments, property and employee benefits and tax-related assets and liabilities) attributable to periods prior to, at and after our and Dow’s respective separations from DowDuPont and will govern certain relationships among us, New DuPont and Dow. For a more detailed description of these agreements, see the sections entitled “Risk Factors— Risks Related to the Separation” and “Our Relationship with New DuPont and Dow Following the Distribution.”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for Corteva common stock</w:t>
      </w:r>
    </w:p>
    <w:p>
      <w:pPr>
        <w:spacing w:after="0" w:line="121"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color w:val="auto"/>
        </w:rPr>
        <w:t>There is currently no public trading market for Corteva common stock. Corteva common stock will be listed on the NYSE under the symbol “CTVA.” We have not and will not set the initial price of Corteva common stock. The initial price will be established by the public markets.</w:t>
      </w:r>
    </w:p>
    <w:p>
      <w:pPr>
        <w:spacing w:after="0" w:line="14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Corteva cannot predict the price at which its common stock will trade after the distribution. The combined trading prices, after the distribution, of the shares of Corteva common stock that each DowDuPont stockholder will receive in the distribution and the shares of DowDuPont common stock held at the record date may not equal the “regular-way” trading price of a share of DowDuPont common stock immediately prior to the distribution. The price at which Corteva common stock trades may fluctuate significantly, particularly until an orderly public trading market develops. Trading prices for Corteva common stock will be determined in the public markets and may be influenced by many factors. See the section entitled “Risk Factors—Risks Related to Corteva Common Stock.”</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Trading Between the Record Date and Distribution Date</w:t>
      </w:r>
    </w:p>
    <w:p>
      <w:pPr>
        <w:spacing w:after="0" w:line="121" w:lineRule="exact"/>
        <w:rPr>
          <w:sz w:val="20"/>
          <w:szCs w:val="20"/>
          <w:color w:val="auto"/>
        </w:rPr>
      </w:pPr>
    </w:p>
    <w:p>
      <w:pPr>
        <w:jc w:val="both"/>
        <w:ind w:left="200" w:right="60"/>
        <w:spacing w:after="0" w:line="253" w:lineRule="auto"/>
        <w:rPr>
          <w:sz w:val="20"/>
          <w:szCs w:val="20"/>
          <w:color w:val="auto"/>
        </w:rPr>
      </w:pPr>
      <w:r>
        <w:rPr>
          <w:rFonts w:ascii="Arial" w:cs="Arial" w:eastAsia="Arial" w:hAnsi="Arial"/>
          <w:sz w:val="18"/>
          <w:szCs w:val="18"/>
          <w:color w:val="auto"/>
        </w:rPr>
        <w:t>Beginning on or shortly before the record date and continuing through the last trading day prior to the distribution date, DowDuPont expects that there will be two markets in DowDuPont common stock: a “regular-way” market and an “ex-distribution” market. Shares of DowDuPont common stock that trade on the “regular-way” market will trade with an entitlement to receive the shares of Corteva common stock distributed pursuant to the distribution. Shares of DowDuPont common stock that trade on the “ex-distribution” market will trade without an entitlement to receive the Corteva common stock distributed pursuant to the distribution. Therefore, if you sell DowDuPont common stock in the “regular-way” market on or prior to the last trading day prior to the distribution date, you will be selling your right to receive Corteva common stock in the distribution. If you own DowDuPont common stock at the close of business on the record date and sell those shares on the “ex-distribution” market on or prior to the last trading day prior to the distribution date, you will receive the shares of Corteva common stock that you are entitled to receive pursuant to your ownership of DowDuPont common stock as of the record date.</w:t>
      </w:r>
    </w:p>
    <w:p>
      <w:pPr>
        <w:spacing w:after="0" w:line="19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Furthermore, we anticipate that trading in Corteva common stock will begin on a “when-issued” basis as early as the trading day prior to the record date for the distribution and will continue through the last trading day prior to the distribution date. “When-issued” trading in the context of a separation refers to a sale or purchase made conditionally on or before the distribution date because the securities of the separated entity have not yet been distributed. The “when-issued” trading market will be a market for Corteva common stock that will be distributed to holders of DowDuPont common stock on the distribution date. If you owned DowDuPont common stock at the close of business on the record date, you would be entitled to Corteva common stock distributed pursuant to the distribution. You may trade this entitlement to shares of Corteva common stock, without DowDuPont common stock you own, on the “when-issued” market. We anticipate that trading on a “when-issued” basis will continue through the last trading day prior to the distribution date. At the open of trading on the distribution date (or, if the distribution date is not a trading day, the first trading day after the distribution date), “regular-way” trading will begin.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the Distribution</w:t>
      </w:r>
    </w:p>
    <w:p>
      <w:pPr>
        <w:spacing w:after="0" w:line="121"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color w:val="auto"/>
        </w:rPr>
        <w:t>We expect that the distribution will be effective on June 1, 2019, the distribution date, provided that, among other conditions described in this information statement, the following conditions shall have been satisfied:</w:t>
      </w:r>
    </w:p>
    <w:p>
      <w:pPr>
        <w:spacing w:after="0" w:line="76" w:lineRule="exact"/>
        <w:rPr>
          <w:sz w:val="20"/>
          <w:szCs w:val="20"/>
          <w:color w:val="auto"/>
        </w:rPr>
      </w:pPr>
    </w:p>
    <w:p>
      <w:pPr>
        <w:ind w:left="1060" w:right="60" w:hanging="316"/>
        <w:spacing w:after="0" w:line="259" w:lineRule="auto"/>
        <w:tabs>
          <w:tab w:leader="none" w:pos="10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SEC having declared effective the Form 10 under the Exchange Act (or the Form 10 having otherwise become effective pursuant to and in accordance with Section 12(d) of the Exchange Act), no stop order relating to the Form 10 being in effect, no proceedings seeking such a stop order being pending before or threatened by the SEC and this information statement (or notice of interest availability hereof) having been distributed to DowDuPont stockholders;</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listing of Corteva common stock on the NYSE having been approved, subject to official notice of issuance;</w:t>
      </w:r>
    </w:p>
    <w:p>
      <w:pPr>
        <w:spacing w:after="0" w:line="130"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DowDuPont board of directors having received an opinion from a nationally recognized independent appraisal firm to the effect that, following the distribution, we and DowDuPont will each be solvent and adequately capitalized, and that DowDuPont has adequate surplus under Delaware law to declare the dividend of Corteva common stock;</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Internal Reorganization and Business Realignment as they relate to us having been effectuated prior to the distribution date;</w:t>
      </w:r>
    </w:p>
    <w:p>
      <w:pPr>
        <w:spacing w:after="0" w:line="142" w:lineRule="exact"/>
        <w:rPr>
          <w:rFonts w:ascii="Arial" w:cs="Arial" w:eastAsia="Arial" w:hAnsi="Arial"/>
          <w:sz w:val="17"/>
          <w:szCs w:val="17"/>
          <w:color w:val="auto"/>
        </w:rPr>
      </w:pPr>
    </w:p>
    <w:p>
      <w:pPr>
        <w:ind w:left="1060" w:hanging="316"/>
        <w:spacing w:after="0" w:line="264" w:lineRule="auto"/>
        <w:tabs>
          <w:tab w:leader="none" w:pos="10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DowDuPont board of directors having declared the dividend of Corteva common stock to effect the distribution and having approved the distribution and all related transactions, which approval may be given or withheld in the board’s absolute and sole discretion (and such declaration or approval not having been withdrawn);</w:t>
      </w:r>
    </w:p>
    <w:p>
      <w:pPr>
        <w:spacing w:after="0" w:line="86"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DowDuPont having elected the individuals to be members of our board of directors following the distribution, and certain directors as set forth in the separation agreement having resigned from the DowDuPont board of directors;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of us, DowDuPont and Dow and each of our or their applicable subsidiaries having entered into all ancillary agreements to which it and/or such subsidiary is contemplated to be a party;</w:t>
      </w:r>
    </w:p>
    <w:p>
      <w:pPr>
        <w:spacing w:after="0" w:line="75" w:lineRule="exact"/>
        <w:rPr>
          <w:rFonts w:ascii="Arial" w:cs="Arial" w:eastAsia="Arial" w:hAnsi="Arial"/>
          <w:sz w:val="18"/>
          <w:szCs w:val="18"/>
          <w:color w:val="auto"/>
        </w:rPr>
      </w:pPr>
    </w:p>
    <w:p>
      <w:pPr>
        <w:ind w:left="1060" w:right="760" w:hanging="316"/>
        <w:spacing w:after="0" w:line="277" w:lineRule="auto"/>
        <w:tabs>
          <w:tab w:leader="none" w:pos="10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events or developments having occurred or existing that make it inadvisable to effect the distribution or that would result in the distribution and related transactions not being in the best interest of DowDuPont or its stockholders;</w:t>
      </w:r>
    </w:p>
    <w:p>
      <w:pPr>
        <w:spacing w:after="0" w:line="75" w:lineRule="exact"/>
        <w:rPr>
          <w:rFonts w:ascii="Arial" w:cs="Arial" w:eastAsia="Arial" w:hAnsi="Arial"/>
          <w:sz w:val="18"/>
          <w:szCs w:val="18"/>
          <w:color w:val="auto"/>
        </w:rPr>
      </w:pPr>
    </w:p>
    <w:p>
      <w:pPr>
        <w:ind w:left="1060" w:right="460" w:hanging="316"/>
        <w:spacing w:after="0" w:line="259" w:lineRule="auto"/>
        <w:tabs>
          <w:tab w:leader="none" w:pos="10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order, injunction or decree by any governmental entity of competent jurisdiction or other legal restraint or prohibition preventing consummation of the distribution or any of the related transactions, including the transfers of assets and liabilities contemplated by the separation agreement, shall be pending, threatened, issued or in effect, and no other outside event having occured that prevents the consummation of the distribution;</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receipt by DowDuPont of the Tax Opinion;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IRS not having revoked the IRS Ruling (as described in the section entitled “Risk Factors—Risks Related to the Separation”).</w:t>
      </w:r>
    </w:p>
    <w:p>
      <w:pPr>
        <w:spacing w:after="0" w:line="23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fulfillment of the foregoing conditions does not create any obligations on DowDuPont’s part to effect the distribution, and the DowDuPont board of directors has the ability, in its sole discretion, to amend, modify or abandon the distribution and related transactions at any time prior to the distribution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We must complete the necessary registration under U.S. federal securities laws of Corteva common stock, as well as the applicable listing requirements of the NYSE for such shares.</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Other than the requirements discussed above, we do not believe that any other material governmental or regulatory filings or approvals will be necessary to consummate the distribution.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60"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DowDuPont stockholders will not have any appraisal rights in connection with the distribution.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Reasons for Furnishing this Information Statement</w:t>
      </w:r>
    </w:p>
    <w:p>
      <w:pPr>
        <w:spacing w:after="0" w:line="12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are furnishing this information statement solely to provide information to DowDuPont stockholders who will receive shares of Corteva common stock in the distribution. You should not construe this information statement as an inducement or encouragement to buy, hold or sell any of our securities or any securities of DowDuPont. We believe that the information contained in this information statement is accurate as of the date set forth on the cover. Changes to the information contained in this information statement may occur after that date, and neither DowDuPont nor we undertake any obligation to update the information except in the normal course of DowDuPont’s and our public disclosure obligations and practices.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expect that we will pay a quarterly dividend following the distribution beginning in the third quarter of 2019 (as DowDuPont’s dividends for the first two quarters of 2019 included amounts attributable to Corteva). Corteva is targeting a competitive dividend policy and expects to declare dividends of approximately 25-35% of annual net income. We intend to issue annual dividend payouts of $400 million. However, the declaration, payment and amount of any dividends following the distribution will be subject to the sole discretion of our post-distribution, independent board of directors and, in the context of our financial policy, will depend upon many factors, including our financial condition and prospects, our capital requirements and access to capital markets, covenants associated with certain of our debt obligations, legal requirements and other factors that our board of directors may deem relevant, and there can be no assurances that we will continue to pay a dividend in the future. In addition, there can be no assurance that, after the distribution, the combined annual dividends, if any, on the common stock of us, New DuPont and Dow will be at least equal to the annual dividends paid on DowDuPont common stock prior to the distribution of Dow and Corteva common stock.</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following table sets forth Corteva’s cash and cash equivalents and capitalization as of December 31, 2018, on a historical and on a pro forma basis giving effect to the Business Realignment, the Internal Reorganization, Debt Retirement Transactions (see further discussion in “Unaudited Pro Forma Combined Financial Statements”) and the separation and distribution, as if they occurred on December 31, 2018. The historical cash and cash equivalents and capitalization for Corteva are derived from the audited Historical DuPont consolidated balance sheet as of December 31, 2018. Explanations for the pro forma adjustments can be found under “Unaudited Pro Forma Combined Financial Statements.” The following table should be reviewed in conjunction with “Unaudited Pro Forma Combined Financial Statements,” “Management’s Discussion and Analysis of Financial Condition and Results of Operations,” and the consolidated financial statements and accompanying notes incorporated by reference herein and filed as Exhibit 99.2 to the Form 10 of which this information statement forms a part.</w:t>
      </w:r>
    </w:p>
    <w:p>
      <w:pPr>
        <w:spacing w:after="0" w:line="198"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9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Historical</w:t>
            </w:r>
            <w:r>
              <w:rPr>
                <w:rFonts w:ascii="Arial" w:cs="Arial" w:eastAsia="Arial" w:hAnsi="Arial"/>
                <w:sz w:val="12"/>
                <w:szCs w:val="12"/>
                <w:b w:val="1"/>
                <w:bCs w:val="1"/>
                <w:color w:val="auto"/>
              </w:rPr>
              <w:t>(1)</w:t>
            </w:r>
          </w:p>
        </w:tc>
        <w:tc>
          <w:tcPr>
            <w:tcW w:w="11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Borrowings and capital lease obligations: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Long-term</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 and capital lease obligations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(7,669)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Represents cash and cash equivalents, debt and equity of Historical DuPont, and is not indicative of Corteva’s future capitalization.</w:t>
      </w:r>
    </w:p>
    <w:p>
      <w:pPr>
        <w:spacing w:after="0" w:line="23" w:lineRule="exact"/>
        <w:rPr>
          <w:rFonts w:ascii="Arial" w:cs="Arial" w:eastAsia="Arial" w:hAnsi="Arial"/>
          <w:sz w:val="18"/>
          <w:szCs w:val="18"/>
          <w:color w:val="auto"/>
        </w:rPr>
      </w:pPr>
    </w:p>
    <w:p>
      <w:pPr>
        <w:ind w:left="640" w:right="60" w:hanging="436"/>
        <w:spacing w:after="0" w:line="261"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above pro forma amounts do not include approximately $6 billion of net defined pension plan and other post-employment benefit obligations, as of December 31, 2018, that are expected to be retained by Corteva.</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Historical DuPont operated a global business that included agriculture, materials science and specialty products businesses, and has been determined to best represent the predecessor entity to Corteva. As such, the unaudited pro forma combined financial statements (“pro forma financial statements”) are derived from the audited annual consolidated financial statements of Historical DuPont and the audited annual combined financial statements of Dow AgroSciences, which are incorporated by reference herein and filed as Exhibits 99.2 and 99.3, respectively, to the Form 10 of which this information statement forms a part.</w:t>
      </w:r>
    </w:p>
    <w:p>
      <w:pPr>
        <w:spacing w:after="0" w:line="188"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As part of the Internal Reorganization and Business Realignment, effective as of 5:00 p.m. ET on April 1, 2019, DowDuPont completed the separation of its materials science business into a separate and independent public company by way of the distribution of Dow through a pro rata dividend in-kind of all of the then-issued and outstanding shares of Dow’s common stock to holders of the DowDuPont’s common stock as of the close of business on March 21, 2019.</w:t>
      </w:r>
    </w:p>
    <w:p>
      <w:pPr>
        <w:spacing w:after="0" w:line="187"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Prior to the distribution of Dow, Historical Dow conveyed or transferred the assets and liabilities aligned with Historical Dow’s agriculture business to separate legal entities (the “Dow AgroSciences entities”) and the assets and liabilities associated with its specialty products business to separate legal entities (the “Dow Specialty Products entities”). On April 1, 2019, the Dow AgroSciences entities and the Dow Specialty Products entities were transferred and conveyed to DowDuPont. In furtherance of the Internal Reorganization and Business Realignment:</w:t>
      </w:r>
    </w:p>
    <w:p>
      <w:pPr>
        <w:spacing w:after="0" w:line="60" w:lineRule="exact"/>
        <w:rPr>
          <w:sz w:val="20"/>
          <w:szCs w:val="20"/>
          <w:color w:val="auto"/>
        </w:rPr>
      </w:pPr>
    </w:p>
    <w:p>
      <w:pPr>
        <w:jc w:val="both"/>
        <w:ind w:left="1060" w:right="200" w:hanging="316"/>
        <w:spacing w:after="0" w:line="286" w:lineRule="auto"/>
        <w:tabs>
          <w:tab w:leader="none" w:pos="10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assets and liabilities aligned with Historical DuPont’s materials science business, including Historical DuPont’s ethylene and ethylene copolymers business, excluding its ethylene acrylic elastomers business, (“ECP business”), were transferred or conveyed to separate legal entities (the “DuPont Materials Science entities”) that were ultimately conveyed by DowDuPont to Dow;</w:t>
      </w:r>
    </w:p>
    <w:p>
      <w:pPr>
        <w:spacing w:after="0" w:line="70" w:lineRule="exact"/>
        <w:rPr>
          <w:rFonts w:ascii="Arial" w:cs="Arial" w:eastAsia="Arial" w:hAnsi="Arial"/>
          <w:sz w:val="17"/>
          <w:szCs w:val="17"/>
          <w:color w:val="auto"/>
        </w:rPr>
      </w:pPr>
    </w:p>
    <w:p>
      <w:pPr>
        <w:ind w:left="1060" w:right="80" w:hanging="316"/>
        <w:spacing w:after="0" w:line="277" w:lineRule="auto"/>
        <w:tabs>
          <w:tab w:leader="none" w:pos="1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assets and liabilities aligned with Historical DuPont’s specialty products business were transferred or conveyed to separate legal entities (the “DuPont Specialty Products entities”) that were ultimately distributed to DowDuPont;</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on April 1, 2019, Historical DuPont distributed the DuPont Materials Science entities to DowDuPont, which DowDuPont then conveyed to Dow;</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on May 1, 2019, Historical DuPont distributed the DuPont Specialty Products entities to DowDuPont; and</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on May 2, 2019, DowDuPont conveyed the Dow AgroSciences entities to Historical DuPont; in connection with the foregoing, Historical DuPont issued additional shares of its common stock to DowDuPont.</w:t>
      </w:r>
    </w:p>
    <w:p>
      <w:pPr>
        <w:spacing w:after="0" w:line="17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As a result of the foregoing, at May 2, 2019, Historical DuPont held all or substantially all the assets and liabilities associated with DowDuPont’s combined agriculture business.</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 contemplation of the separations and distributions and to achieve the respective credit profiles of each of the intended future companies, DowDuPont completed a series of financing transactions, which included an offering of senior unsecured notes and the establishment of new term loan facilities (the “financing transactions”). DowDuPont has contributed a portion of the net proceeds of the notes offering to Historical DuPont to pay off or retire a portion of Historical DuPont’s existing debt liabilities (the “Debt Retirement Transactions”), with additional contributions to either Corteva or Historical DuPont expected before the separation and distribution.</w:t>
      </w:r>
    </w:p>
    <w:p>
      <w:pPr>
        <w:spacing w:after="0" w:line="18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following pro forma financial statements reflect the Historical DuPont materials science and specialty products divestitures as discontinued operations and the receipt of Dow AgroSciences as a common control combination. Beginning in the second quarter of 2019, the historical financial statements of Corteva will be recast to reflect the discontinued operations for each period presented, as well as to include Dow AgroSciences from the Effective Time of the Merger.</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auto"/>
        </w:rPr>
        <w:t>For purposes of DowDuPont’s financial statement presentation, Historical Dow was determined to be the accounting acquirer in the Merger and Historical DuPont’s assets and liabilities are reflected at fair value as of the close of the Merger in the historical financial statements of DowDuPont. In connection with the Merger and the related accounting determination, Historical DuPont elected to apply push down accounting and reflect in its historical financial statements the fair value of its assets and liabilities. For purposes of Historical DuPont’s financial statement presentation, periods following the closing of the Merger are labeled “Successor” and reflect DowDuPont’s basis in the fair values of the assets and liabilities of Historical DuPont. All periods prior to the closing of the Merger reflect the historical accounting basis in Historical DuPont’s assets and liabilities and are labeled “Predecessor.” Historical DuPont’s historical financial statements include a black line division between the columns titled “Predecessor” and “Successor” to signify that the amounts shown for the periods prior to and following the Merger are not comparable.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 forma financial statements give effect to the following:</w:t>
      </w:r>
    </w:p>
    <w:p>
      <w:pPr>
        <w:spacing w:after="0" w:line="131" w:lineRule="exact"/>
        <w:rPr>
          <w:sz w:val="20"/>
          <w:szCs w:val="20"/>
          <w:color w:val="auto"/>
        </w:rPr>
      </w:pPr>
    </w:p>
    <w:p>
      <w:pPr>
        <w:ind w:left="1060" w:right="60" w:hanging="316"/>
        <w:spacing w:after="0" w:line="342" w:lineRule="auto"/>
        <w:tabs>
          <w:tab w:leader="none" w:pos="10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unaudited pro forma combined balance sheet as of December 31, 2018 gives effect to the Business Realignment, Internal Reorganization, Debt Retirement Transactions and the separation and distribution as if they had been consummated on December 31, 2018.</w:t>
      </w:r>
    </w:p>
    <w:p>
      <w:pPr>
        <w:spacing w:after="0" w:line="29" w:lineRule="exact"/>
        <w:rPr>
          <w:rFonts w:ascii="Arial" w:cs="Arial" w:eastAsia="Arial" w:hAnsi="Arial"/>
          <w:sz w:val="16"/>
          <w:szCs w:val="16"/>
          <w:color w:val="auto"/>
        </w:rPr>
      </w:pPr>
    </w:p>
    <w:p>
      <w:pPr>
        <w:ind w:left="1060" w:right="80" w:hanging="316"/>
        <w:spacing w:after="0" w:line="264" w:lineRule="auto"/>
        <w:tabs>
          <w:tab w:leader="none" w:pos="10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unaudited pro forma combined statements of income for the years ended December 31, 2018, 2017 and 2016 give effect to the Merger, the Business Realignment, Internal Reorganization, Debt Retirement Transactions and the separation and distribution as if they had been consummated on January 1, 2016.</w:t>
      </w:r>
    </w:p>
    <w:p>
      <w:pPr>
        <w:spacing w:after="0" w:line="181"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The pro forma financial statements are presented for informational purposes only, and do not purport to represent what the results of operations or financial position would have been had the Merger, Business Realignment, Internal Reorganization, Debt Retirement Transactions and the separation and distribution been consummated on the dates indicated, nor do they purport to project the results of operations or financial position for any future period or as of any future date.</w:t>
      </w:r>
    </w:p>
    <w:p>
      <w:pPr>
        <w:spacing w:after="0" w:line="18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pro forma financial statements include leveraged functional costs previously allocated to Historical DuPont’s materials science and specialty products businesses that did not meet the definition of expenses from discontinued operations in accordance with Financial Accounting Standards Board (“FASB”) Accounting Standards Codification 205, “Presentation of Financial Statements” (“ASC 205”). Additionally, the financial statements of Dow AgroSciences include costs representing allocations of certain leveraged functional and corporate overhead expenses for services from Historical Dow. These costs of Historical DuPont and Dow AgroSciences include, but are not limited to, general corporate expenses related to finance, legal, information technology and human resources. Based on management’s current estimates of costs we expect to incur as a stand-alone company, we believe there are approximately $115 million to $135 million of annual leveraged functional and corporate expenses reflected in Corteva’s 2018 pro forma loss from continuing operations that are not expected to continue post-separation.</w:t>
      </w:r>
    </w:p>
    <w:p>
      <w:pPr>
        <w:spacing w:after="0" w:line="179"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One-time transaction-related costs incurred prior to, or concurrent with, the closing of the Merger and the expected distribution transactions are not included in the unaudited pro forma combined statements of income. The pro forma financial statements do not reflect restructuring or integration activities or other costs following the separation and distribution transactions that may be incurred to achieve cost or growth synergies of Corteva. As no assurance can be made that these costs will be incurred or the growth synergies will be achieved, no adjustment has been made.</w:t>
      </w:r>
    </w:p>
    <w:p>
      <w:pPr>
        <w:spacing w:after="0" w:line="154"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The unaudited pro forma combined balance sheet as of December 31, 2018 does not yet reflect certain tax asset and liability balances that may differ from balances presented in the unaudited pro forma combined balance sheet below, pursuant to the implementation of the tax matters agreement. In connection with the separation and distribution of Corteva, the parties have finalized the material terms of an amendment to the agreement to allocate certain liabilities and other items between Corteva and DowDuPont. An adjustment to reflect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60"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indemnification receivables and payables required under the terms of the tax matters agreement related to tax payables and receivables has been included in Corteva’s pro forma combined balance sheet as of December 31, 2018. See Note 3 for further details. Management anticipates additional impacts from the amendment to the tax matters agreement, however, the full financial impact cannot be determined at this time and will depend on, among other factors, the income of, and tax attributes generated and utilized by, each of Corteva, DowDuPont and their respective subsidiaries, which, in each case, will be determined on or before the filing of the consolidated U.S. federal income tax return for the 2018 calendar year.</w:t>
      </w:r>
    </w:p>
    <w:p>
      <w:pPr>
        <w:spacing w:after="0" w:line="9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40"/>
          </w:cols>
          <w:pgMar w:left="240" w:top="459" w:right="6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Corteva, Inc. Unaudited Pro Forma Combined Balance Sheet as of December 31, 2018</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4"/>
              </w:rPr>
              <w:t>Successor</w:t>
            </w:r>
          </w:p>
        </w:tc>
        <w:tc>
          <w:tcPr>
            <w:tcW w:w="24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Separation</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and Debt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Corteva</w:t>
            </w:r>
          </w:p>
        </w:tc>
        <w:tc>
          <w:tcPr>
            <w:tcW w:w="24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20" w:type="dxa"/>
            <w:vAlign w:val="bottom"/>
          </w:tcPr>
          <w:p>
            <w:pPr>
              <w:spacing w:after="0"/>
              <w:rPr>
                <w:sz w:val="12"/>
                <w:szCs w:val="12"/>
                <w:color w:val="auto"/>
              </w:rPr>
            </w:pPr>
          </w:p>
        </w:tc>
        <w:tc>
          <w:tcPr>
            <w:tcW w:w="10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Continuing</w:t>
            </w:r>
          </w:p>
        </w:tc>
        <w:tc>
          <w:tcPr>
            <w:tcW w:w="24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Pro Forma</w:t>
            </w:r>
          </w:p>
        </w:tc>
        <w:tc>
          <w:tcPr>
            <w:tcW w:w="7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40" w:type="dxa"/>
            <w:vAlign w:val="bottom"/>
            <w:gridSpan w:val="4"/>
          </w:tcPr>
          <w:p>
            <w:pPr>
              <w:spacing w:after="0"/>
              <w:rPr>
                <w:sz w:val="20"/>
                <w:szCs w:val="20"/>
                <w:color w:val="auto"/>
              </w:rPr>
            </w:pPr>
            <w:r>
              <w:rPr>
                <w:rFonts w:ascii="Arial" w:cs="Arial" w:eastAsia="Arial" w:hAnsi="Arial"/>
                <w:sz w:val="14"/>
                <w:szCs w:val="14"/>
                <w:i w:val="1"/>
                <w:iCs w:val="1"/>
                <w:color w:val="auto"/>
              </w:rPr>
              <w:t>(in millions)</w:t>
            </w:r>
          </w:p>
        </w:tc>
        <w:tc>
          <w:tcPr>
            <w:tcW w:w="2320" w:type="dxa"/>
            <w:vAlign w:val="bottom"/>
            <w:gridSpan w:val="4"/>
          </w:tcPr>
          <w:p>
            <w:pPr>
              <w:ind w:left="1180"/>
              <w:spacing w:after="0"/>
              <w:rPr>
                <w:sz w:val="20"/>
                <w:szCs w:val="20"/>
                <w:color w:val="auto"/>
              </w:rPr>
            </w:pPr>
            <w:r>
              <w:rPr>
                <w:rFonts w:ascii="Arial" w:cs="Arial" w:eastAsia="Arial" w:hAnsi="Arial"/>
                <w:sz w:val="14"/>
                <w:szCs w:val="14"/>
                <w:b w:val="1"/>
                <w:bCs w:val="1"/>
                <w:color w:val="auto"/>
              </w:rPr>
              <w:t>Operations</w:t>
            </w:r>
            <w:r>
              <w:rPr>
                <w:rFonts w:ascii="Arial" w:cs="Arial" w:eastAsia="Arial" w:hAnsi="Arial"/>
                <w:sz w:val="12"/>
                <w:szCs w:val="12"/>
                <w:b w:val="1"/>
                <w:bCs w:val="1"/>
                <w:color w:val="auto"/>
              </w:rPr>
              <w:t>(1)</w:t>
            </w:r>
          </w:p>
        </w:tc>
        <w:tc>
          <w:tcPr>
            <w:tcW w:w="1340" w:type="dxa"/>
            <w:vAlign w:val="bottom"/>
            <w:gridSpan w:val="4"/>
          </w:tcPr>
          <w:p>
            <w:pPr>
              <w:ind w:left="240"/>
              <w:spacing w:after="0"/>
              <w:rPr>
                <w:sz w:val="20"/>
                <w:szCs w:val="20"/>
                <w:color w:val="auto"/>
              </w:rPr>
            </w:pPr>
            <w:r>
              <w:rPr>
                <w:rFonts w:ascii="Arial" w:cs="Arial" w:eastAsia="Arial" w:hAnsi="Arial"/>
                <w:sz w:val="14"/>
                <w:szCs w:val="14"/>
                <w:b w:val="1"/>
                <w:bCs w:val="1"/>
                <w:color w:val="auto"/>
              </w:rPr>
              <w:t>Adjustments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Corteva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3"/>
              </w:rPr>
              <w:t>Note 6</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3"/>
              </w:rPr>
              <w:t>Note 3</w:t>
            </w:r>
          </w:p>
        </w:tc>
        <w:tc>
          <w:tcPr>
            <w:tcW w:w="3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3280" w:type="dxa"/>
            <w:vAlign w:val="bottom"/>
            <w:gridSpan w:val="2"/>
            <w:shd w:val="clear" w:color="auto" w:fill="CCEEFF"/>
          </w:tcPr>
          <w:p>
            <w:pPr>
              <w:jc w:val="center"/>
              <w:ind w:right="1600"/>
              <w:spacing w:after="0" w:line="196" w:lineRule="exact"/>
              <w:rPr>
                <w:sz w:val="20"/>
                <w:szCs w:val="20"/>
                <w:color w:val="auto"/>
              </w:rPr>
            </w:pPr>
            <w:r>
              <w:rPr>
                <w:rFonts w:ascii="Arial" w:cs="Arial" w:eastAsia="Arial" w:hAnsi="Arial"/>
                <w:sz w:val="18"/>
                <w:szCs w:val="18"/>
                <w:b w:val="1"/>
                <w:bCs w:val="1"/>
                <w:color w:val="auto"/>
                <w:w w:val="81"/>
              </w:rPr>
              <w:t>Assets</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Accounts and notes receivable—net</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720" w:type="dxa"/>
            <w:vAlign w:val="bottom"/>
          </w:tcPr>
          <w:p>
            <w:pPr>
              <w:ind w:left="24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Investment in nonconsolidated affiliates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Net property</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Other intangible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Other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6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3"/>
              </w:rPr>
              <w:t>Liabilities and Equity</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ind w:left="340"/>
              <w:spacing w:after="0"/>
              <w:rPr>
                <w:sz w:val="20"/>
                <w:szCs w:val="20"/>
                <w:color w:val="auto"/>
              </w:rPr>
            </w:pPr>
            <w:r>
              <w:rPr>
                <w:rFonts w:ascii="Arial" w:cs="Arial" w:eastAsia="Arial" w:hAnsi="Arial"/>
                <w:sz w:val="18"/>
                <w:szCs w:val="18"/>
                <w:color w:val="auto"/>
              </w:rPr>
              <w:t>Short-term borrowings and capital lease obligations</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2,153</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720" w:type="dxa"/>
            <w:vAlign w:val="bottom"/>
          </w:tcPr>
          <w:p>
            <w:pPr>
              <w:ind w:left="240"/>
              <w:spacing w:after="0"/>
              <w:rPr>
                <w:sz w:val="20"/>
                <w:szCs w:val="20"/>
                <w:color w:val="auto"/>
              </w:rPr>
            </w:pPr>
            <w:r>
              <w:rPr>
                <w:rFonts w:ascii="Arial" w:cs="Arial" w:eastAsia="Arial" w:hAnsi="Arial"/>
                <w:sz w:val="18"/>
                <w:szCs w:val="18"/>
                <w:color w:val="auto"/>
              </w:rPr>
              <w:t>(k)</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ind w:left="340"/>
              <w:spacing w:after="0"/>
              <w:rPr>
                <w:sz w:val="20"/>
                <w:szCs w:val="20"/>
                <w:color w:val="auto"/>
              </w:rPr>
            </w:pPr>
            <w:r>
              <w:rPr>
                <w:rFonts w:ascii="Arial" w:cs="Arial" w:eastAsia="Arial" w:hAnsi="Arial"/>
                <w:sz w:val="18"/>
                <w:szCs w:val="18"/>
                <w:color w:val="auto"/>
              </w:rPr>
              <w:t>Income taxes payable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720" w:type="dxa"/>
            <w:vAlign w:val="bottom"/>
          </w:tcPr>
          <w:p>
            <w:pPr>
              <w:ind w:left="240"/>
              <w:spacing w:after="0"/>
              <w:rPr>
                <w:sz w:val="20"/>
                <w:szCs w:val="20"/>
                <w:color w:val="auto"/>
              </w:rPr>
            </w:pPr>
            <w:r>
              <w:rPr>
                <w:rFonts w:ascii="Arial" w:cs="Arial" w:eastAsia="Arial" w:hAnsi="Arial"/>
                <w:sz w:val="18"/>
                <w:szCs w:val="18"/>
                <w:color w:val="auto"/>
              </w:rPr>
              <w: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Accrued and other current liabilities</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(5,605)</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Other noncurrent liabilities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 liabilities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ind w:left="340"/>
              <w:spacing w:after="0"/>
              <w:rPr>
                <w:sz w:val="20"/>
                <w:szCs w:val="20"/>
                <w:color w:val="auto"/>
              </w:rPr>
            </w:pPr>
            <w:r>
              <w:rPr>
                <w:rFonts w:ascii="Arial" w:cs="Arial" w:eastAsia="Arial" w:hAnsi="Arial"/>
                <w:sz w:val="18"/>
                <w:szCs w:val="18"/>
                <w:color w:val="auto"/>
              </w:rPr>
              <w:t>Pension and other postemployment benefits—noncurrent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720" w:type="dxa"/>
            <w:vAlign w:val="bottom"/>
          </w:tcPr>
          <w:p>
            <w:pPr>
              <w:ind w:left="240"/>
              <w:spacing w:after="0"/>
              <w:rPr>
                <w:sz w:val="20"/>
                <w:szCs w:val="20"/>
                <w:color w:val="auto"/>
              </w:rPr>
            </w:pPr>
            <w:r>
              <w:rPr>
                <w:rFonts w:ascii="Arial" w:cs="Arial" w:eastAsia="Arial" w:hAnsi="Arial"/>
                <w:sz w:val="18"/>
                <w:szCs w:val="18"/>
                <w:color w:val="auto"/>
              </w:rPr>
              <w:t>(d)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noncurrent obligations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ind w:left="700"/>
              <w:spacing w:after="0"/>
              <w:rPr>
                <w:sz w:val="20"/>
                <w:szCs w:val="20"/>
                <w:color w:val="auto"/>
              </w:rPr>
            </w:pPr>
            <w:r>
              <w:rPr>
                <w:rFonts w:ascii="Arial" w:cs="Arial" w:eastAsia="Arial" w:hAnsi="Arial"/>
                <w:sz w:val="18"/>
                <w:szCs w:val="18"/>
                <w:b w:val="1"/>
                <w:bCs w:val="1"/>
                <w:color w:val="auto"/>
              </w:rPr>
              <w:t>Total noncurrent liabilities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(5,653)</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Common stock</w:t>
            </w:r>
            <w:r>
              <w:rPr>
                <w:rFonts w:ascii="Arial" w:cs="Arial" w:eastAsia="Arial" w:hAnsi="Arial"/>
                <w:sz w:val="15"/>
                <w:szCs w:val="15"/>
                <w:color w:val="auto"/>
              </w:rPr>
              <w:t>(2)</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Additional paid-in capital</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(f)</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20,201</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(q)</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Retained earnings (accumulated deficit)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720" w:type="dxa"/>
            <w:vAlign w:val="bottom"/>
          </w:tcPr>
          <w:p>
            <w:pPr>
              <w:ind w:left="240"/>
              <w:spacing w:after="0"/>
              <w:rPr>
                <w:sz w:val="20"/>
                <w:szCs w:val="20"/>
                <w:color w:val="auto"/>
              </w:rPr>
            </w:pPr>
            <w:r>
              <w:rPr>
                <w:rFonts w:ascii="Arial" w:cs="Arial" w:eastAsia="Arial" w:hAnsi="Arial"/>
                <w:sz w:val="18"/>
                <w:szCs w:val="18"/>
                <w:color w:val="auto"/>
              </w:rPr>
              <w:t>(q)</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ind w:left="700"/>
              <w:spacing w:after="0"/>
              <w:rPr>
                <w:sz w:val="20"/>
                <w:szCs w:val="20"/>
                <w:color w:val="auto"/>
              </w:rPr>
            </w:pPr>
            <w:r>
              <w:rPr>
                <w:rFonts w:ascii="Arial" w:cs="Arial" w:eastAsia="Arial" w:hAnsi="Arial"/>
                <w:sz w:val="18"/>
                <w:szCs w:val="18"/>
                <w:color w:val="auto"/>
              </w:rPr>
              <w:t>Total stockholders’ equity</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5,711</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ind w:left="700"/>
              <w:spacing w:after="0"/>
              <w:rPr>
                <w:sz w:val="20"/>
                <w:szCs w:val="20"/>
                <w:color w:val="auto"/>
              </w:rPr>
            </w:pPr>
            <w:r>
              <w:rPr>
                <w:rFonts w:ascii="Arial" w:cs="Arial" w:eastAsia="Arial" w:hAnsi="Arial"/>
                <w:sz w:val="18"/>
                <w:szCs w:val="18"/>
                <w:color w:val="auto"/>
              </w:rPr>
              <w:t>Total equity</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5,711</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0" w:hanging="436"/>
        <w:spacing w:after="0" w:line="256"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Represents the company’s current best estimate of Corteva’s pro forma historical balance sheet, reflecting the discontinued operations of Historical DuPont’s materials science and specialty products businesses, as well as the common control combination of Dow AgroSciences. See note 6 for further details. Actual results could differ from these estimates.</w:t>
      </w:r>
    </w:p>
    <w:p>
      <w:pPr>
        <w:ind w:left="640" w:hanging="436"/>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Represents the expected common stock outstanding as of the record date of the distribution.</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Corteva, Inc. Unaudited Pro Forma Combined Statement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December 31,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Corteva</w:t>
            </w:r>
          </w:p>
        </w:tc>
        <w:tc>
          <w:tcPr>
            <w:tcW w:w="200" w:type="dxa"/>
            <w:vAlign w:val="bottom"/>
          </w:tcPr>
          <w:p>
            <w:pPr>
              <w:spacing w:after="0"/>
              <w:rPr>
                <w:sz w:val="12"/>
                <w:szCs w:val="12"/>
                <w:color w:val="auto"/>
              </w:rPr>
            </w:pPr>
          </w:p>
        </w:tc>
        <w:tc>
          <w:tcPr>
            <w:tcW w:w="10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9"/>
              </w:rPr>
              <w:t>Pro Forma</w:t>
            </w:r>
          </w:p>
        </w:tc>
        <w:tc>
          <w:tcPr>
            <w:tcW w:w="1540" w:type="dxa"/>
            <w:vAlign w:val="bottom"/>
          </w:tcPr>
          <w:p>
            <w:pPr>
              <w:spacing w:after="0"/>
              <w:rPr>
                <w:sz w:val="12"/>
                <w:szCs w:val="12"/>
                <w:color w:val="auto"/>
              </w:rPr>
            </w:pPr>
          </w:p>
        </w:tc>
        <w:tc>
          <w:tcPr>
            <w:tcW w:w="9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2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Operations</w:t>
            </w:r>
            <w:r>
              <w:rPr>
                <w:rFonts w:ascii="Arial" w:cs="Arial" w:eastAsia="Arial" w:hAnsi="Arial"/>
                <w:sz w:val="12"/>
                <w:szCs w:val="12"/>
                <w:b w:val="1"/>
                <w:bCs w:val="1"/>
                <w:color w:val="auto"/>
                <w:w w:val="92"/>
              </w:rPr>
              <w:t>(1)</w:t>
            </w:r>
          </w:p>
        </w:tc>
        <w:tc>
          <w:tcPr>
            <w:tcW w:w="1260" w:type="dxa"/>
            <w:vAlign w:val="bottom"/>
            <w:gridSpan w:val="4"/>
          </w:tcPr>
          <w:p>
            <w:pPr>
              <w:ind w:left="200"/>
              <w:spacing w:after="0"/>
              <w:rPr>
                <w:sz w:val="20"/>
                <w:szCs w:val="20"/>
                <w:color w:val="auto"/>
              </w:rPr>
            </w:pPr>
            <w:r>
              <w:rPr>
                <w:rFonts w:ascii="Arial" w:cs="Arial" w:eastAsia="Arial" w:hAnsi="Arial"/>
                <w:sz w:val="14"/>
                <w:szCs w:val="14"/>
                <w:b w:val="1"/>
                <w:bCs w:val="1"/>
                <w:color w:val="auto"/>
              </w:rPr>
              <w:t>Adjustments</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Corteva</w:t>
            </w: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8"/>
              </w:rPr>
              <w:t>Note 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3(a)</w:t>
            </w:r>
          </w:p>
        </w:tc>
        <w:tc>
          <w:tcPr>
            <w:tcW w:w="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(1,499)</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3(a)3(h)4(b)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3(a)3(h)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Restructuring and asset-related charges—net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Integration and separation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Goodwill impairment charge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Sundry income—net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3(o)</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(6,818)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(Benefit from) provision for income taxes on continuing operations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3(a)3(g)3(h)3(i)</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3(p)4(g)</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(Loss) income from continuing operations after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(6,784)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1,822</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income from continuing operations attributable to noncontrolling</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w w:val="95"/>
              </w:rPr>
              <w:t>Net (loss) income from continuing operations attributable to Corteva common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(6,813)</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1,822</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 from continuing operations (note 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Weighted average common shares outstanding (note 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380" w:hanging="436"/>
        <w:spacing w:after="0" w:line="256" w:lineRule="auto"/>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See note 6 for further details. Actual results could differ from these estimates.</w:t>
      </w:r>
    </w:p>
    <w:p>
      <w:pPr>
        <w:ind w:left="640" w:right="380" w:hanging="436"/>
        <w:spacing w:after="0" w:line="261" w:lineRule="auto"/>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Diluted earnings per share does not consider the impact of potentially dilutive securities because the inclusion of the potential common shares would have an anti-dilutive effect.</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Corteva, Inc. Unaudited Pro Forma Combined Statement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December 31, 2017</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Separation</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79"/>
              </w:rPr>
              <w:t>Successor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Adjusted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and Debt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Corteva</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Corteva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Dow</w:t>
            </w:r>
          </w:p>
        </w:tc>
        <w:tc>
          <w:tcPr>
            <w:tcW w:w="100" w:type="dxa"/>
            <w:vAlign w:val="bottom"/>
          </w:tcPr>
          <w:p>
            <w:pPr>
              <w:spacing w:after="0"/>
              <w:rPr>
                <w:sz w:val="11"/>
                <w:szCs w:val="11"/>
                <w:color w:val="auto"/>
              </w:rPr>
            </w:pPr>
          </w:p>
        </w:tc>
        <w:tc>
          <w:tcPr>
            <w:tcW w:w="8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Merger Pro</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Corteva</w:t>
            </w:r>
          </w:p>
        </w:tc>
        <w:tc>
          <w:tcPr>
            <w:tcW w:w="120" w:type="dxa"/>
            <w:vAlign w:val="bottom"/>
          </w:tcPr>
          <w:p>
            <w:pPr>
              <w:spacing w:after="0"/>
              <w:rPr>
                <w:sz w:val="11"/>
                <w:szCs w:val="11"/>
                <w:color w:val="auto"/>
              </w:rPr>
            </w:pPr>
          </w:p>
        </w:tc>
        <w:tc>
          <w:tcPr>
            <w:tcW w:w="8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Retirement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Continuing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Dow</w:t>
            </w:r>
          </w:p>
        </w:tc>
        <w:tc>
          <w:tcPr>
            <w:tcW w:w="12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Continuing</w:t>
            </w:r>
          </w:p>
        </w:tc>
        <w:tc>
          <w:tcPr>
            <w:tcW w:w="98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2"/>
              </w:rPr>
              <w:t>AgroSciences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Forma</w:t>
            </w:r>
          </w:p>
        </w:tc>
        <w:tc>
          <w:tcPr>
            <w:tcW w:w="400" w:type="dxa"/>
            <w:vAlign w:val="bottom"/>
          </w:tcPr>
          <w:p>
            <w:pPr>
              <w:spacing w:after="0"/>
              <w:rPr>
                <w:sz w:val="11"/>
                <w:szCs w:val="11"/>
                <w:color w:val="auto"/>
              </w:rPr>
            </w:pPr>
          </w:p>
        </w:tc>
        <w:tc>
          <w:tcPr>
            <w:tcW w:w="880" w:type="dxa"/>
            <w:vAlign w:val="bottom"/>
            <w:gridSpan w:val="4"/>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Continuing</w:t>
            </w:r>
          </w:p>
        </w:tc>
        <w:tc>
          <w:tcPr>
            <w:tcW w:w="120" w:type="dxa"/>
            <w:vAlign w:val="bottom"/>
          </w:tcPr>
          <w:p>
            <w:pPr>
              <w:spacing w:after="0"/>
              <w:rPr>
                <w:sz w:val="11"/>
                <w:szCs w:val="11"/>
                <w:color w:val="auto"/>
              </w:rPr>
            </w:pPr>
          </w:p>
        </w:tc>
        <w:tc>
          <w:tcPr>
            <w:tcW w:w="8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Pro Forma</w:t>
            </w:r>
          </w:p>
        </w:tc>
        <w:tc>
          <w:tcPr>
            <w:tcW w:w="400" w:type="dxa"/>
            <w:vAlign w:val="bottom"/>
          </w:tcPr>
          <w:p>
            <w:pPr>
              <w:spacing w:after="0"/>
              <w:rPr>
                <w:sz w:val="11"/>
                <w:szCs w:val="11"/>
                <w:color w:val="auto"/>
              </w:rPr>
            </w:pPr>
          </w:p>
        </w:tc>
        <w:tc>
          <w:tcPr>
            <w:tcW w:w="800" w:type="dxa"/>
            <w:vAlign w:val="bottom"/>
            <w:gridSpan w:val="4"/>
          </w:tcPr>
          <w:p>
            <w:pPr>
              <w:ind w:left="120"/>
              <w:spacing w:after="0" w:line="135"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3"/>
        </w:trPr>
        <w:tc>
          <w:tcPr>
            <w:tcW w:w="2580" w:type="dxa"/>
            <w:vAlign w:val="bottom"/>
            <w:gridSpan w:val="2"/>
          </w:tcPr>
          <w:p>
            <w:pPr>
              <w:spacing w:after="0"/>
              <w:rPr>
                <w:sz w:val="20"/>
                <w:szCs w:val="20"/>
                <w:color w:val="auto"/>
              </w:rPr>
            </w:pPr>
            <w:r>
              <w:rPr>
                <w:rFonts w:ascii="Arial" w:cs="Arial" w:eastAsia="Arial" w:hAnsi="Arial"/>
                <w:sz w:val="13"/>
                <w:szCs w:val="13"/>
                <w:i w:val="1"/>
                <w:iCs w:val="1"/>
                <w:color w:val="auto"/>
              </w:rPr>
              <w:t>(in millions, except</w:t>
            </w:r>
          </w:p>
        </w:tc>
        <w:tc>
          <w:tcPr>
            <w:tcW w:w="98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8"/>
              </w:rPr>
              <w:t>Operations</w:t>
            </w:r>
            <w:r>
              <w:rPr>
                <w:rFonts w:ascii="Arial" w:cs="Arial" w:eastAsia="Arial" w:hAnsi="Arial"/>
                <w:sz w:val="10"/>
                <w:szCs w:val="10"/>
                <w:b w:val="1"/>
                <w:bCs w:val="1"/>
                <w:color w:val="auto"/>
                <w:w w:val="88"/>
              </w:rPr>
              <w:t>(1)</w:t>
            </w:r>
          </w:p>
        </w:tc>
        <w:tc>
          <w:tcPr>
            <w:tcW w:w="1100" w:type="dxa"/>
            <w:vAlign w:val="bottom"/>
            <w:gridSpan w:val="4"/>
          </w:tcPr>
          <w:p>
            <w:pPr>
              <w:ind w:left="100"/>
              <w:spacing w:after="0"/>
              <w:rPr>
                <w:sz w:val="20"/>
                <w:szCs w:val="20"/>
                <w:color w:val="auto"/>
              </w:rPr>
            </w:pPr>
            <w:r>
              <w:rPr>
                <w:rFonts w:ascii="Arial" w:cs="Arial" w:eastAsia="Arial" w:hAnsi="Arial"/>
                <w:sz w:val="13"/>
                <w:szCs w:val="13"/>
                <w:b w:val="1"/>
                <w:bCs w:val="1"/>
                <w:color w:val="auto"/>
                <w:w w:val="99"/>
              </w:rPr>
              <w:t>AgroSciences</w:t>
            </w:r>
            <w:r>
              <w:rPr>
                <w:rFonts w:ascii="Arial" w:cs="Arial" w:eastAsia="Arial" w:hAnsi="Arial"/>
                <w:sz w:val="10"/>
                <w:szCs w:val="10"/>
                <w:b w:val="1"/>
                <w:bCs w:val="1"/>
                <w:color w:val="auto"/>
                <w:w w:val="99"/>
              </w:rPr>
              <w:t>(2)</w:t>
            </w:r>
          </w:p>
        </w:tc>
        <w:tc>
          <w:tcPr>
            <w:tcW w:w="10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8"/>
              </w:rPr>
              <w:t>Operations</w:t>
            </w:r>
            <w:r>
              <w:rPr>
                <w:rFonts w:ascii="Arial" w:cs="Arial" w:eastAsia="Arial" w:hAnsi="Arial"/>
                <w:sz w:val="10"/>
                <w:szCs w:val="10"/>
                <w:b w:val="1"/>
                <w:bCs w:val="1"/>
                <w:color w:val="auto"/>
                <w:w w:val="88"/>
              </w:rPr>
              <w:t>(3)</w:t>
            </w:r>
          </w:p>
        </w:tc>
        <w:tc>
          <w:tcPr>
            <w:tcW w:w="10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Adjustments</w:t>
            </w:r>
          </w:p>
        </w:tc>
        <w:tc>
          <w:tcPr>
            <w:tcW w:w="96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8"/>
              </w:rPr>
              <w:t>Adjustments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Operations</w:t>
            </w:r>
          </w:p>
        </w:tc>
        <w:tc>
          <w:tcPr>
            <w:tcW w:w="96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8"/>
              </w:rPr>
              <w:t>Adjustments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Corteva</w:t>
            </w:r>
          </w:p>
        </w:tc>
        <w:tc>
          <w:tcPr>
            <w:tcW w:w="0" w:type="dxa"/>
            <w:vAlign w:val="bottom"/>
          </w:tcPr>
          <w:p>
            <w:pPr>
              <w:spacing w:after="0"/>
              <w:rPr>
                <w:sz w:val="1"/>
                <w:szCs w:val="1"/>
                <w:color w:val="auto"/>
              </w:rPr>
            </w:pPr>
          </w:p>
        </w:tc>
      </w:tr>
      <w:tr>
        <w:trPr>
          <w:trHeight w:val="129"/>
        </w:trPr>
        <w:tc>
          <w:tcPr>
            <w:tcW w:w="2580" w:type="dxa"/>
            <w:vAlign w:val="bottom"/>
            <w:gridSpan w:val="2"/>
          </w:tcPr>
          <w:p>
            <w:pPr>
              <w:spacing w:after="0" w:line="129" w:lineRule="exact"/>
              <w:rPr>
                <w:sz w:val="20"/>
                <w:szCs w:val="20"/>
                <w:color w:val="auto"/>
              </w:rPr>
            </w:pPr>
            <w:r>
              <w:rPr>
                <w:rFonts w:ascii="Arial" w:cs="Arial" w:eastAsia="Arial" w:hAnsi="Arial"/>
                <w:sz w:val="13"/>
                <w:szCs w:val="13"/>
                <w:i w:val="1"/>
                <w:iCs w:val="1"/>
                <w:color w:val="auto"/>
              </w:rPr>
              <w:t>per share amounts)</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3"/>
                <w:szCs w:val="13"/>
                <w:b w:val="1"/>
                <w:bCs w:val="1"/>
                <w:color w:val="auto"/>
                <w:w w:val="90"/>
              </w:rPr>
              <w:t>Note 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3"/>
                <w:szCs w:val="13"/>
                <w:b w:val="1"/>
                <w:bCs w:val="1"/>
                <w:color w:val="auto"/>
                <w:w w:val="85"/>
              </w:rPr>
              <w:t>Note 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76"/>
              <w:spacing w:after="0" w:line="129" w:lineRule="exact"/>
              <w:rPr>
                <w:sz w:val="20"/>
                <w:szCs w:val="20"/>
                <w:color w:val="auto"/>
              </w:rPr>
            </w:pPr>
            <w:r>
              <w:rPr>
                <w:rFonts w:ascii="Arial" w:cs="Arial" w:eastAsia="Arial" w:hAnsi="Arial"/>
                <w:sz w:val="13"/>
                <w:szCs w:val="13"/>
                <w:b w:val="1"/>
                <w:bCs w:val="1"/>
                <w:color w:val="auto"/>
                <w:w w:val="90"/>
              </w:rPr>
              <w:t>Note 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3"/>
                <w:szCs w:val="13"/>
                <w:b w:val="1"/>
                <w:bCs w:val="1"/>
                <w:color w:val="auto"/>
                <w:w w:val="85"/>
              </w:rPr>
              <w:t>Note 4</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7"/>
              </w:rPr>
              <w:t>(subtotal)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3"/>
                <w:szCs w:val="13"/>
                <w:b w:val="1"/>
                <w:bCs w:val="1"/>
                <w:color w:val="auto"/>
                <w:w w:val="85"/>
              </w:rPr>
              <w:t>Note 3</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6,954</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gridSpan w:val="2"/>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3,761</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3,785</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w:t>
            </w:r>
          </w:p>
        </w:tc>
        <w:tc>
          <w:tcPr>
            <w:tcW w:w="1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(a)</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14,240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(a)</w:t>
            </w:r>
          </w:p>
        </w:tc>
        <w:tc>
          <w:tcPr>
            <w:tcW w:w="180" w:type="dxa"/>
            <w:vAlign w:val="bottom"/>
            <w:tcBorders>
              <w:top w:val="single" w:sz="8" w:color="CCEEFF"/>
            </w:tcBorders>
            <w:gridSpan w:val="2"/>
            <w:shd w:val="clear" w:color="auto" w:fill="CCEEFF"/>
          </w:tcPr>
          <w:p>
            <w:pPr>
              <w:ind w:left="100"/>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14,240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tcPr>
          <w:p>
            <w:pPr>
              <w:ind w:left="100"/>
              <w:spacing w:after="0" w:line="121" w:lineRule="exact"/>
              <w:rPr>
                <w:sz w:val="20"/>
                <w:szCs w:val="20"/>
                <w:color w:val="auto"/>
              </w:rPr>
            </w:pPr>
            <w:r>
              <w:rPr>
                <w:rFonts w:ascii="Arial" w:cs="Arial" w:eastAsia="Arial" w:hAnsi="Arial"/>
                <w:sz w:val="13"/>
                <w:szCs w:val="13"/>
                <w:color w:val="auto"/>
              </w:rPr>
              <w:t>Cost of goods sold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(a)</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(b)</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2,485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2,936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(465)</w:t>
            </w: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(c)</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8,347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c>
          <w:tcPr>
            <w:tcW w:w="160" w:type="dxa"/>
            <w:vAlign w:val="bottom"/>
          </w:tcPr>
          <w:p>
            <w:pPr>
              <w:spacing w:after="0"/>
              <w:rPr>
                <w:sz w:val="12"/>
                <w:szCs w:val="12"/>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(h)</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8,402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Research and development expense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(c)</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(a)</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tcPr>
          <w:p>
            <w:pPr>
              <w:ind w:left="100"/>
              <w:spacing w:after="0" w:line="121" w:lineRule="exact"/>
              <w:rPr>
                <w:sz w:val="20"/>
                <w:szCs w:val="20"/>
                <w:color w:val="auto"/>
              </w:rPr>
            </w:pPr>
            <w:r>
              <w:rPr>
                <w:rFonts w:ascii="Arial" w:cs="Arial" w:eastAsia="Arial" w:hAnsi="Arial"/>
                <w:sz w:val="13"/>
                <w:szCs w:val="13"/>
                <w:color w:val="auto"/>
                <w:w w:val="94"/>
              </w:rPr>
              <w:t>Selling, general and administrative expenses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(a)</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2"/>
                <w:szCs w:val="12"/>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(c)</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2,971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(h)</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Amortization of intangibles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tcPr>
          <w:p>
            <w:pPr>
              <w:ind w:left="100"/>
              <w:spacing w:after="0" w:line="121" w:lineRule="exact"/>
              <w:rPr>
                <w:sz w:val="20"/>
                <w:szCs w:val="20"/>
                <w:color w:val="auto"/>
              </w:rPr>
            </w:pPr>
            <w:r>
              <w:rPr>
                <w:rFonts w:ascii="Arial" w:cs="Arial" w:eastAsia="Arial" w:hAnsi="Arial"/>
                <w:sz w:val="13"/>
                <w:szCs w:val="13"/>
                <w:color w:val="auto"/>
              </w:rPr>
              <w:t>Restructuring and asset-related charges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40"/>
              <w:spacing w:after="0"/>
              <w:rPr>
                <w:sz w:val="20"/>
                <w:szCs w:val="20"/>
                <w:color w:val="auto"/>
              </w:rPr>
            </w:pPr>
            <w:r>
              <w:rPr>
                <w:rFonts w:ascii="Arial" w:cs="Arial" w:eastAsia="Arial" w:hAnsi="Arial"/>
                <w:sz w:val="13"/>
                <w:szCs w:val="13"/>
                <w:color w:val="auto"/>
              </w:rPr>
              <w:t>(benefit)—net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Integration and separation costs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(168)</w:t>
            </w:r>
          </w:p>
        </w:tc>
        <w:tc>
          <w:tcPr>
            <w:tcW w:w="400" w:type="dxa"/>
            <w:vAlign w:val="bottom"/>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(e)</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(249)</w:t>
            </w:r>
          </w:p>
        </w:tc>
        <w:tc>
          <w:tcPr>
            <w:tcW w:w="400" w:type="dxa"/>
            <w:vAlign w:val="bottom"/>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(g)</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00"/>
              <w:spacing w:after="0"/>
              <w:rPr>
                <w:sz w:val="20"/>
                <w:szCs w:val="20"/>
                <w:color w:val="auto"/>
              </w:rPr>
            </w:pPr>
            <w:r>
              <w:rPr>
                <w:rFonts w:ascii="Arial" w:cs="Arial" w:eastAsia="Arial" w:hAnsi="Arial"/>
                <w:sz w:val="13"/>
                <w:szCs w:val="13"/>
                <w:color w:val="auto"/>
              </w:rPr>
              <w:t>Sundry (expense) income—net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(80)</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(f)</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(217)</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(o)</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tcPr>
          <w:p>
            <w:pPr>
              <w:spacing w:after="0" w:line="121" w:lineRule="exact"/>
              <w:rPr>
                <w:sz w:val="20"/>
                <w:szCs w:val="20"/>
                <w:color w:val="auto"/>
              </w:rPr>
            </w:pPr>
            <w:r>
              <w:rPr>
                <w:rFonts w:ascii="Arial" w:cs="Arial" w:eastAsia="Arial" w:hAnsi="Arial"/>
                <w:sz w:val="13"/>
                <w:szCs w:val="13"/>
                <w:color w:val="auto"/>
                <w:w w:val="90"/>
              </w:rPr>
              <w:t>(Loss) Income from continuing operations before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520</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412</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00"/>
              <w:spacing w:after="0"/>
              <w:rPr>
                <w:sz w:val="20"/>
                <w:szCs w:val="20"/>
                <w:color w:val="auto"/>
              </w:rPr>
            </w:pPr>
            <w:r>
              <w:rPr>
                <w:rFonts w:ascii="Arial" w:cs="Arial" w:eastAsia="Arial" w:hAnsi="Arial"/>
                <w:sz w:val="13"/>
                <w:szCs w:val="13"/>
                <w:color w:val="auto"/>
              </w:rPr>
              <w:t>income taxes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8"/>
              </w:rPr>
              <w:t>(Benefit from) provision for income taxes</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(a)</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on continuing operations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(g)</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(h)</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(i)</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(g)</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(229)</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(p)</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(2,943)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tcPr>
          <w:p>
            <w:pPr>
              <w:spacing w:after="0" w:line="121" w:lineRule="exact"/>
              <w:rPr>
                <w:sz w:val="20"/>
                <w:szCs w:val="20"/>
                <w:color w:val="auto"/>
              </w:rPr>
            </w:pPr>
            <w:r>
              <w:rPr>
                <w:rFonts w:ascii="Arial" w:cs="Arial" w:eastAsia="Arial" w:hAnsi="Arial"/>
                <w:sz w:val="13"/>
                <w:szCs w:val="13"/>
                <w:color w:val="auto"/>
                <w:w w:val="96"/>
              </w:rPr>
              <w:t>Income (loss) from continuing operations after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00"/>
              <w:spacing w:after="0"/>
              <w:rPr>
                <w:sz w:val="20"/>
                <w:szCs w:val="20"/>
                <w:color w:val="auto"/>
              </w:rPr>
            </w:pPr>
            <w:r>
              <w:rPr>
                <w:rFonts w:ascii="Arial" w:cs="Arial" w:eastAsia="Arial" w:hAnsi="Arial"/>
                <w:sz w:val="13"/>
                <w:szCs w:val="13"/>
                <w:color w:val="auto"/>
              </w:rPr>
              <w:t>income taxes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347</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641</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Net income from continuing operations</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attributable to noncontrolling interests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tcPr>
          <w:p>
            <w:pPr>
              <w:spacing w:after="0" w:line="121" w:lineRule="exact"/>
              <w:rPr>
                <w:sz w:val="20"/>
                <w:szCs w:val="20"/>
                <w:color w:val="auto"/>
              </w:rPr>
            </w:pPr>
            <w:r>
              <w:rPr>
                <w:rFonts w:ascii="Arial" w:cs="Arial" w:eastAsia="Arial" w:hAnsi="Arial"/>
                <w:sz w:val="13"/>
                <w:szCs w:val="13"/>
                <w:color w:val="auto"/>
                <w:w w:val="98"/>
              </w:rPr>
              <w:t>Net income (loss) from continuing operations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00"/>
              <w:spacing w:after="0"/>
              <w:rPr>
                <w:sz w:val="20"/>
                <w:szCs w:val="20"/>
                <w:color w:val="auto"/>
              </w:rPr>
            </w:pPr>
            <w:r>
              <w:rPr>
                <w:rFonts w:ascii="Arial" w:cs="Arial" w:eastAsia="Arial" w:hAnsi="Arial"/>
                <w:sz w:val="13"/>
                <w:szCs w:val="13"/>
                <w:color w:val="auto"/>
                <w:w w:val="94"/>
              </w:rPr>
              <w:t>attributable to Corteva common stockholders</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352</w:t>
            </w:r>
          </w:p>
        </w:tc>
        <w:tc>
          <w:tcPr>
            <w:tcW w:w="140" w:type="dxa"/>
            <w:vAlign w:val="bottom"/>
          </w:tcPr>
          <w:p>
            <w:pPr>
              <w:spacing w:after="0"/>
              <w:rPr>
                <w:sz w:val="13"/>
                <w:szCs w:val="13"/>
                <w:color w:val="auto"/>
              </w:rPr>
            </w:pP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1,733</w:t>
            </w:r>
          </w:p>
        </w:tc>
        <w:tc>
          <w:tcPr>
            <w:tcW w:w="160" w:type="dxa"/>
            <w:vAlign w:val="bottom"/>
          </w:tcPr>
          <w:p>
            <w:pPr>
              <w:spacing w:after="0"/>
              <w:rPr>
                <w:sz w:val="13"/>
                <w:szCs w:val="13"/>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(462)</w:t>
            </w:r>
          </w:p>
        </w:tc>
        <w:tc>
          <w:tcPr>
            <w:tcW w:w="220" w:type="dxa"/>
            <w:vAlign w:val="bottom"/>
            <w:gridSpan w:val="2"/>
          </w:tcPr>
          <w:p>
            <w:pPr>
              <w:jc w:val="right"/>
              <w:ind w:right="5"/>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347</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1,893</w:t>
            </w:r>
          </w:p>
        </w:tc>
        <w:tc>
          <w:tcPr>
            <w:tcW w:w="1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641</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2,534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 w:type="dxa"/>
            <w:vAlign w:val="bottom"/>
            <w:vMerge w:val="restart"/>
          </w:tcPr>
          <w:p>
            <w:pPr>
              <w:spacing w:after="0"/>
              <w:rPr>
                <w:sz w:val="4"/>
                <w:szCs w:val="4"/>
                <w:color w:val="auto"/>
              </w:rPr>
            </w:pPr>
          </w:p>
        </w:tc>
        <w:tc>
          <w:tcPr>
            <w:tcW w:w="2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Earnings per common share from continuing</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operations (note 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ind w:left="240"/>
              <w:spacing w:after="0" w:line="135" w:lineRule="exact"/>
              <w:rPr>
                <w:sz w:val="20"/>
                <w:szCs w:val="20"/>
                <w:color w:val="auto"/>
              </w:rPr>
            </w:pPr>
            <w:r>
              <w:rPr>
                <w:rFonts w:ascii="Arial" w:cs="Arial" w:eastAsia="Arial" w:hAnsi="Arial"/>
                <w:sz w:val="13"/>
                <w:szCs w:val="13"/>
                <w:color w:val="auto"/>
              </w:rPr>
              <w:t>Basic</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tcPr>
          <w:p>
            <w:pPr>
              <w:spacing w:after="0" w:line="121" w:lineRule="exact"/>
              <w:rPr>
                <w:sz w:val="20"/>
                <w:szCs w:val="20"/>
                <w:color w:val="auto"/>
              </w:rPr>
            </w:pPr>
            <w:r>
              <w:rPr>
                <w:rFonts w:ascii="Arial" w:cs="Arial" w:eastAsia="Arial" w:hAnsi="Arial"/>
                <w:sz w:val="13"/>
                <w:szCs w:val="13"/>
                <w:color w:val="auto"/>
                <w:w w:val="93"/>
              </w:rPr>
              <w:t>Weighted average common shares outstanding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00"/>
              <w:spacing w:after="0"/>
              <w:rPr>
                <w:sz w:val="20"/>
                <w:szCs w:val="20"/>
                <w:color w:val="auto"/>
              </w:rPr>
            </w:pPr>
            <w:r>
              <w:rPr>
                <w:rFonts w:ascii="Arial" w:cs="Arial" w:eastAsia="Arial" w:hAnsi="Arial"/>
                <w:sz w:val="13"/>
                <w:szCs w:val="13"/>
                <w:color w:val="auto"/>
              </w:rPr>
              <w:t>(note 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240"/>
              <w:spacing w:after="0"/>
              <w:rPr>
                <w:sz w:val="20"/>
                <w:szCs w:val="20"/>
                <w:color w:val="auto"/>
              </w:rPr>
            </w:pPr>
            <w:r>
              <w:rPr>
                <w:rFonts w:ascii="Arial" w:cs="Arial" w:eastAsia="Arial" w:hAnsi="Arial"/>
                <w:sz w:val="13"/>
                <w:szCs w:val="13"/>
                <w:color w:val="auto"/>
              </w:rPr>
              <w:t>Diluted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754.6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78105</wp:posOffset>
            </wp:positionV>
            <wp:extent cx="6946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9" w:lineRule="exact"/>
        <w:rPr>
          <w:sz w:val="20"/>
          <w:szCs w:val="20"/>
          <w:color w:val="auto"/>
        </w:rPr>
      </w:pPr>
    </w:p>
    <w:p>
      <w:pPr>
        <w:jc w:val="both"/>
        <w:ind w:left="520" w:right="180" w:hanging="316"/>
        <w:spacing w:after="0" w:line="244" w:lineRule="auto"/>
        <w:tabs>
          <w:tab w:leader="none" w:pos="52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For the period January 1, 2017 through August 31, 2017. Represents the company’s current best estimate of Corteva’s retrospectively revised historical financial statements, reflecting the discontinued operations of Historical DuPont’s materials science and specialty products businesses; adjusted for certain reclassification adjustments to align the financial statement presentation of Historical DuPont to that of Corteva. See note 6 for further details. Actual results could differ from these estimates.</w:t>
      </w:r>
    </w:p>
    <w:p>
      <w:pPr>
        <w:spacing w:after="0" w:line="1" w:lineRule="exact"/>
        <w:rPr>
          <w:rFonts w:ascii="Arial" w:cs="Arial" w:eastAsia="Arial" w:hAnsi="Arial"/>
          <w:sz w:val="13"/>
          <w:szCs w:val="13"/>
          <w:color w:val="auto"/>
        </w:rPr>
      </w:pPr>
    </w:p>
    <w:p>
      <w:pPr>
        <w:ind w:left="520" w:hanging="316"/>
        <w:spacing w:after="0" w:line="221" w:lineRule="auto"/>
        <w:tabs>
          <w:tab w:leader="none" w:pos="52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For the period January 1, 2017 through August 31, 2017.</w:t>
      </w:r>
    </w:p>
    <w:p>
      <w:pPr>
        <w:ind w:left="520" w:right="60" w:hanging="316"/>
        <w:spacing w:after="0" w:line="232" w:lineRule="auto"/>
        <w:tabs>
          <w:tab w:leader="none" w:pos="52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For the period September 1, 2017 through December 31, 2017. 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See note 6 for further details. Actual results could differ from these estimates.</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Corteva, Inc. Unaudited Pro Forma Combined Statement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December 31, 2016</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6"/>
              </w:rPr>
              <w:t>Separation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Adjusted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and Debt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Corteva</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Dow</w:t>
            </w:r>
          </w:p>
        </w:tc>
        <w:tc>
          <w:tcPr>
            <w:tcW w:w="12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3"/>
              </w:rPr>
              <w:t>Merger Pro</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Corteva</w:t>
            </w:r>
          </w:p>
        </w:tc>
        <w:tc>
          <w:tcPr>
            <w:tcW w:w="120" w:type="dxa"/>
            <w:vAlign w:val="bottom"/>
          </w:tcPr>
          <w:p>
            <w:pPr>
              <w:spacing w:after="0"/>
              <w:rPr>
                <w:sz w:val="11"/>
                <w:szCs w:val="11"/>
                <w:color w:val="auto"/>
              </w:rPr>
            </w:pPr>
          </w:p>
        </w:tc>
        <w:tc>
          <w:tcPr>
            <w:tcW w:w="88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Retirement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Continuing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Dow</w:t>
            </w:r>
          </w:p>
        </w:tc>
        <w:tc>
          <w:tcPr>
            <w:tcW w:w="1000" w:type="dxa"/>
            <w:vAlign w:val="bottom"/>
            <w:gridSpan w:val="4"/>
          </w:tcPr>
          <w:p>
            <w:pPr>
              <w:ind w:left="120"/>
              <w:spacing w:after="0" w:line="135" w:lineRule="exact"/>
              <w:rPr>
                <w:sz w:val="20"/>
                <w:szCs w:val="20"/>
                <w:color w:val="auto"/>
              </w:rPr>
            </w:pPr>
            <w:r>
              <w:rPr>
                <w:rFonts w:ascii="Arial" w:cs="Arial" w:eastAsia="Arial" w:hAnsi="Arial"/>
                <w:sz w:val="13"/>
                <w:szCs w:val="13"/>
                <w:b w:val="1"/>
                <w:bCs w:val="1"/>
                <w:color w:val="auto"/>
                <w:w w:val="99"/>
              </w:rPr>
              <w:t>AgroSciences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Forma</w:t>
            </w:r>
          </w:p>
        </w:tc>
        <w:tc>
          <w:tcPr>
            <w:tcW w:w="400" w:type="dxa"/>
            <w:vAlign w:val="bottom"/>
          </w:tcPr>
          <w:p>
            <w:pPr>
              <w:spacing w:after="0"/>
              <w:rPr>
                <w:sz w:val="11"/>
                <w:szCs w:val="11"/>
                <w:color w:val="auto"/>
              </w:rPr>
            </w:pPr>
          </w:p>
        </w:tc>
        <w:tc>
          <w:tcPr>
            <w:tcW w:w="86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Continuing</w:t>
            </w:r>
          </w:p>
        </w:tc>
        <w:tc>
          <w:tcPr>
            <w:tcW w:w="120" w:type="dxa"/>
            <w:vAlign w:val="bottom"/>
          </w:tcPr>
          <w:p>
            <w:pPr>
              <w:spacing w:after="0"/>
              <w:rPr>
                <w:sz w:val="11"/>
                <w:szCs w:val="11"/>
                <w:color w:val="auto"/>
              </w:rPr>
            </w:pPr>
          </w:p>
        </w:tc>
        <w:tc>
          <w:tcPr>
            <w:tcW w:w="8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Pro Forma</w:t>
            </w:r>
          </w:p>
        </w:tc>
        <w:tc>
          <w:tcPr>
            <w:tcW w:w="440" w:type="dxa"/>
            <w:vAlign w:val="bottom"/>
          </w:tcPr>
          <w:p>
            <w:pPr>
              <w:spacing w:after="0"/>
              <w:rPr>
                <w:sz w:val="11"/>
                <w:szCs w:val="11"/>
                <w:color w:val="auto"/>
              </w:rPr>
            </w:pPr>
          </w:p>
        </w:tc>
        <w:tc>
          <w:tcPr>
            <w:tcW w:w="860" w:type="dxa"/>
            <w:vAlign w:val="bottom"/>
            <w:gridSpan w:val="4"/>
          </w:tcPr>
          <w:p>
            <w:pPr>
              <w:ind w:left="100"/>
              <w:spacing w:after="0" w:line="135"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3"/>
        </w:trPr>
        <w:tc>
          <w:tcPr>
            <w:tcW w:w="356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millions, except per share amounts)</w:t>
            </w:r>
          </w:p>
        </w:tc>
        <w:tc>
          <w:tcPr>
            <w:tcW w:w="9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Operations</w:t>
            </w:r>
            <w:r>
              <w:rPr>
                <w:rFonts w:ascii="Arial" w:cs="Arial" w:eastAsia="Arial" w:hAnsi="Arial"/>
                <w:sz w:val="10"/>
                <w:szCs w:val="10"/>
                <w:b w:val="1"/>
                <w:bCs w:val="1"/>
                <w:color w:val="auto"/>
                <w:w w:val="88"/>
              </w:rPr>
              <w:t>(1)</w:t>
            </w:r>
          </w:p>
        </w:tc>
        <w:tc>
          <w:tcPr>
            <w:tcW w:w="1000" w:type="dxa"/>
            <w:vAlign w:val="bottom"/>
            <w:gridSpan w:val="4"/>
          </w:tcPr>
          <w:p>
            <w:pPr>
              <w:ind w:left="120"/>
              <w:spacing w:after="0"/>
              <w:rPr>
                <w:sz w:val="20"/>
                <w:szCs w:val="20"/>
                <w:color w:val="auto"/>
              </w:rPr>
            </w:pPr>
            <w:r>
              <w:rPr>
                <w:rFonts w:ascii="Arial" w:cs="Arial" w:eastAsia="Arial" w:hAnsi="Arial"/>
                <w:sz w:val="13"/>
                <w:szCs w:val="13"/>
                <w:b w:val="1"/>
                <w:bCs w:val="1"/>
                <w:color w:val="auto"/>
                <w:w w:val="99"/>
              </w:rPr>
              <w:t>AgroSciences</w:t>
            </w:r>
          </w:p>
        </w:tc>
        <w:tc>
          <w:tcPr>
            <w:tcW w:w="12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9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6"/>
              </w:rPr>
              <w:t>Adjustments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Operations</w:t>
            </w:r>
          </w:p>
        </w:tc>
        <w:tc>
          <w:tcPr>
            <w:tcW w:w="10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6"/>
              </w:rPr>
              <w:t>Adjustments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Corteva</w:t>
            </w:r>
          </w:p>
        </w:tc>
        <w:tc>
          <w:tcPr>
            <w:tcW w:w="0" w:type="dxa"/>
            <w:vAlign w:val="bottom"/>
          </w:tcPr>
          <w:p>
            <w:pPr>
              <w:spacing w:after="0"/>
              <w:rPr>
                <w:sz w:val="1"/>
                <w:szCs w:val="1"/>
                <w:color w:val="auto"/>
              </w:rPr>
            </w:pPr>
          </w:p>
        </w:tc>
      </w:tr>
      <w:tr>
        <w:trPr>
          <w:trHeight w:val="129"/>
        </w:trPr>
        <w:tc>
          <w:tcPr>
            <w:tcW w:w="3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57"/>
              <w:spacing w:after="0" w:line="129" w:lineRule="exact"/>
              <w:rPr>
                <w:sz w:val="20"/>
                <w:szCs w:val="20"/>
                <w:color w:val="auto"/>
              </w:rPr>
            </w:pPr>
            <w:r>
              <w:rPr>
                <w:rFonts w:ascii="Arial" w:cs="Arial" w:eastAsia="Arial" w:hAnsi="Arial"/>
                <w:sz w:val="13"/>
                <w:szCs w:val="13"/>
                <w:b w:val="1"/>
                <w:bCs w:val="1"/>
                <w:color w:val="auto"/>
                <w:w w:val="90"/>
              </w:rPr>
              <w:t>Note 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7"/>
              </w:rPr>
              <w:t>As Reported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5"/>
              </w:rPr>
              <w:t>Note 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57"/>
              <w:spacing w:after="0" w:line="129" w:lineRule="exact"/>
              <w:rPr>
                <w:sz w:val="20"/>
                <w:szCs w:val="20"/>
                <w:color w:val="auto"/>
              </w:rPr>
            </w:pPr>
            <w:r>
              <w:rPr>
                <w:rFonts w:ascii="Arial" w:cs="Arial" w:eastAsia="Arial" w:hAnsi="Arial"/>
                <w:sz w:val="13"/>
                <w:szCs w:val="13"/>
                <w:b w:val="1"/>
                <w:bCs w:val="1"/>
                <w:color w:val="auto"/>
                <w:w w:val="90"/>
              </w:rPr>
              <w:t>Note 4</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4"/>
              </w:rPr>
              <w:t>(subtotal)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85"/>
              </w:rPr>
              <w:t>Note 3</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sales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14,041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(a)</w:t>
            </w:r>
          </w:p>
        </w:tc>
        <w:tc>
          <w:tcPr>
            <w:tcW w:w="2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14,041</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ind w:left="320"/>
              <w:spacing w:after="0" w:line="185" w:lineRule="exact"/>
              <w:rPr>
                <w:sz w:val="20"/>
                <w:szCs w:val="20"/>
                <w:color w:val="auto"/>
              </w:rPr>
            </w:pPr>
            <w:r>
              <w:rPr>
                <w:rFonts w:ascii="Arial" w:cs="Arial" w:eastAsia="Arial" w:hAnsi="Arial"/>
                <w:sz w:val="17"/>
                <w:szCs w:val="17"/>
                <w:color w:val="auto"/>
              </w:rPr>
              <w:t>Cost of goods sold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ind w:left="120"/>
              <w:spacing w:after="0" w:line="185" w:lineRule="exact"/>
              <w:rPr>
                <w:sz w:val="20"/>
                <w:szCs w:val="20"/>
                <w:color w:val="auto"/>
              </w:rPr>
            </w:pPr>
            <w:r>
              <w:rPr>
                <w:rFonts w:ascii="Arial" w:cs="Arial" w:eastAsia="Arial" w:hAnsi="Arial"/>
                <w:sz w:val="17"/>
                <w:szCs w:val="17"/>
                <w:color w:val="auto"/>
              </w:rPr>
              <w:t>(a)</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35"/>
              <w:spacing w:after="0" w:line="185" w:lineRule="exact"/>
              <w:rPr>
                <w:sz w:val="20"/>
                <w:szCs w:val="20"/>
                <w:color w:val="auto"/>
              </w:rPr>
            </w:pPr>
            <w:r>
              <w:rPr>
                <w:rFonts w:ascii="Arial" w:cs="Arial" w:eastAsia="Arial" w:hAnsi="Arial"/>
                <w:sz w:val="17"/>
                <w:szCs w:val="17"/>
                <w:color w:val="auto"/>
              </w:rPr>
              <w:t>(a)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c>
          <w:tcPr>
            <w:tcW w:w="400" w:type="dxa"/>
            <w:vAlign w:val="bottom"/>
          </w:tcPr>
          <w:p>
            <w:pPr>
              <w:ind w:left="120"/>
              <w:spacing w:after="0"/>
              <w:rPr>
                <w:sz w:val="20"/>
                <w:szCs w:val="20"/>
                <w:color w:val="auto"/>
              </w:rPr>
            </w:pPr>
            <w:r>
              <w:rPr>
                <w:rFonts w:ascii="Arial" w:cs="Arial" w:eastAsia="Arial" w:hAnsi="Arial"/>
                <w:sz w:val="17"/>
                <w:szCs w:val="17"/>
                <w:color w:val="auto"/>
              </w:rPr>
              <w:t>(c)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8,349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18"/>
                <w:szCs w:val="18"/>
                <w:color w:val="auto"/>
              </w:rPr>
            </w:pPr>
          </w:p>
        </w:tc>
        <w:tc>
          <w:tcPr>
            <w:tcW w:w="440" w:type="dxa"/>
            <w:vAlign w:val="bottom"/>
          </w:tcPr>
          <w:p>
            <w:pPr>
              <w:jc w:val="right"/>
              <w:ind w:right="35"/>
              <w:spacing w:after="0"/>
              <w:rPr>
                <w:sz w:val="20"/>
                <w:szCs w:val="20"/>
                <w:color w:val="auto"/>
              </w:rPr>
            </w:pPr>
            <w:r>
              <w:rPr>
                <w:rFonts w:ascii="Arial" w:cs="Arial" w:eastAsia="Arial" w:hAnsi="Arial"/>
                <w:sz w:val="17"/>
                <w:szCs w:val="17"/>
                <w:color w:val="auto"/>
              </w:rPr>
              <w: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8,391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 expense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(a)</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ind w:left="320"/>
              <w:spacing w:after="0" w:line="185" w:lineRule="exact"/>
              <w:rPr>
                <w:sz w:val="20"/>
                <w:szCs w:val="20"/>
                <w:color w:val="auto"/>
              </w:rPr>
            </w:pPr>
            <w:r>
              <w:rPr>
                <w:rFonts w:ascii="Arial" w:cs="Arial" w:eastAsia="Arial" w:hAnsi="Arial"/>
                <w:sz w:val="17"/>
                <w:szCs w:val="17"/>
                <w:color w:val="auto"/>
                <w:w w:val="94"/>
              </w:rPr>
              <w:t>Selling, general and administrative expenses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35"/>
              <w:spacing w:after="0" w:line="185" w:lineRule="exact"/>
              <w:rPr>
                <w:sz w:val="20"/>
                <w:szCs w:val="20"/>
                <w:color w:val="auto"/>
              </w:rPr>
            </w:pPr>
            <w:r>
              <w:rPr>
                <w:rFonts w:ascii="Arial" w:cs="Arial" w:eastAsia="Arial" w:hAnsi="Arial"/>
                <w:sz w:val="17"/>
                <w:szCs w:val="17"/>
                <w:color w:val="auto"/>
              </w:rPr>
              <w:t>(a)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7"/>
                <w:szCs w:val="17"/>
                <w:color w:val="auto"/>
              </w:rPr>
              <w:t>(c)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2,936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440" w:type="dxa"/>
            <w:vAlign w:val="bottom"/>
          </w:tcPr>
          <w:p>
            <w:pPr>
              <w:jc w:val="right"/>
              <w:ind w:right="35"/>
              <w:spacing w:after="0"/>
              <w:rPr>
                <w:sz w:val="20"/>
                <w:szCs w:val="20"/>
                <w:color w:val="auto"/>
              </w:rPr>
            </w:pPr>
            <w:r>
              <w:rPr>
                <w:rFonts w:ascii="Arial" w:cs="Arial" w:eastAsia="Arial" w:hAnsi="Arial"/>
                <w:sz w:val="17"/>
                <w:szCs w:val="17"/>
                <w:color w:val="auto"/>
              </w:rPr>
              <w: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2,937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intangibles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320"/>
              <w:spacing w:after="0"/>
              <w:rPr>
                <w:sz w:val="20"/>
                <w:szCs w:val="20"/>
                <w:color w:val="auto"/>
              </w:rPr>
            </w:pPr>
            <w:r>
              <w:rPr>
                <w:rFonts w:ascii="Arial" w:cs="Arial" w:eastAsia="Arial" w:hAnsi="Arial"/>
                <w:sz w:val="17"/>
                <w:szCs w:val="17"/>
                <w:color w:val="auto"/>
                <w:w w:val="93"/>
              </w:rPr>
              <w:t>Restructuring and asset-related charges—net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Integration and separation costs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w:t>
            </w:r>
          </w:p>
        </w:tc>
        <w:tc>
          <w:tcPr>
            <w:tcW w:w="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w:t>
            </w: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320"/>
              <w:spacing w:after="0"/>
              <w:rPr>
                <w:sz w:val="20"/>
                <w:szCs w:val="20"/>
                <w:color w:val="auto"/>
              </w:rPr>
            </w:pPr>
            <w:r>
              <w:rPr>
                <w:rFonts w:ascii="Arial" w:cs="Arial" w:eastAsia="Arial" w:hAnsi="Arial"/>
                <w:sz w:val="17"/>
                <w:szCs w:val="17"/>
                <w:color w:val="auto"/>
              </w:rPr>
              <w:t>Sundry expense—net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w:t>
            </w:r>
          </w:p>
        </w:tc>
        <w:tc>
          <w:tcPr>
            <w:tcW w:w="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w:t>
            </w: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(o)</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line="185" w:lineRule="exact"/>
              <w:rPr>
                <w:sz w:val="20"/>
                <w:szCs w:val="20"/>
                <w:color w:val="auto"/>
              </w:rPr>
            </w:pPr>
            <w:r>
              <w:rPr>
                <w:rFonts w:ascii="Arial" w:cs="Arial" w:eastAsia="Arial" w:hAnsi="Arial"/>
                <w:sz w:val="17"/>
                <w:szCs w:val="17"/>
                <w:color w:val="auto"/>
                <w:w w:val="96"/>
              </w:rPr>
              <w:t>(Loss) Income from continuing operations before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40" w:type="dxa"/>
            <w:vAlign w:val="bottom"/>
            <w:shd w:val="clear" w:color="auto" w:fill="CCEEFF"/>
          </w:tcPr>
          <w:p>
            <w:pPr>
              <w:ind w:left="660"/>
              <w:spacing w:after="0" w:line="187" w:lineRule="exact"/>
              <w:rPr>
                <w:sz w:val="20"/>
                <w:szCs w:val="20"/>
                <w:color w:val="auto"/>
              </w:rPr>
            </w:pPr>
            <w:r>
              <w:rPr>
                <w:rFonts w:ascii="Arial" w:cs="Arial" w:eastAsia="Arial" w:hAnsi="Arial"/>
                <w:sz w:val="17"/>
                <w:szCs w:val="17"/>
                <w:color w:val="auto"/>
              </w:rPr>
              <w:t>(Benefit from) provision for income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5"/>
              <w:spacing w:after="0" w:line="187" w:lineRule="exact"/>
              <w:rPr>
                <w:sz w:val="20"/>
                <w:szCs w:val="20"/>
                <w:color w:val="auto"/>
              </w:rPr>
            </w:pPr>
            <w:r>
              <w:rPr>
                <w:rFonts w:ascii="Arial" w:cs="Arial" w:eastAsia="Arial" w:hAnsi="Arial"/>
                <w:sz w:val="17"/>
                <w:szCs w:val="17"/>
                <w:color w:val="auto"/>
              </w:rPr>
              <w:t>(a)</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taxes on continuing operations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(h)</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(p)</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line="185" w:lineRule="exact"/>
              <w:rPr>
                <w:sz w:val="20"/>
                <w:szCs w:val="20"/>
                <w:color w:val="auto"/>
              </w:rPr>
            </w:pPr>
            <w:r>
              <w:rPr>
                <w:rFonts w:ascii="Arial" w:cs="Arial" w:eastAsia="Arial" w:hAnsi="Arial"/>
                <w:sz w:val="17"/>
                <w:szCs w:val="17"/>
                <w:color w:val="auto"/>
              </w:rPr>
              <w:t>(Loss) income from continuing operations after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40" w:type="dxa"/>
            <w:vAlign w:val="bottom"/>
            <w:shd w:val="clear" w:color="auto" w:fill="CCEEFF"/>
          </w:tcPr>
          <w:p>
            <w:pPr>
              <w:ind w:left="660"/>
              <w:spacing w:after="0" w:line="187" w:lineRule="exact"/>
              <w:rPr>
                <w:sz w:val="20"/>
                <w:szCs w:val="20"/>
                <w:color w:val="auto"/>
              </w:rPr>
            </w:pPr>
            <w:r>
              <w:rPr>
                <w:rFonts w:ascii="Arial" w:cs="Arial" w:eastAsia="Arial" w:hAnsi="Arial"/>
                <w:sz w:val="17"/>
                <w:szCs w:val="17"/>
                <w:color w:val="auto"/>
                <w:w w:val="98"/>
              </w:rPr>
              <w:t>Net income from continuing operations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4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4"/>
              </w:rPr>
              <w:t>attributable to noncontrolling interests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line="185" w:lineRule="exact"/>
              <w:rPr>
                <w:sz w:val="20"/>
                <w:szCs w:val="20"/>
                <w:color w:val="auto"/>
              </w:rPr>
            </w:pPr>
            <w:r>
              <w:rPr>
                <w:rFonts w:ascii="Arial" w:cs="Arial" w:eastAsia="Arial" w:hAnsi="Arial"/>
                <w:sz w:val="17"/>
                <w:szCs w:val="17"/>
                <w:color w:val="auto"/>
              </w:rPr>
              <w:t>Net (loss) income from continuing operations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w w:val="99"/>
              </w:rPr>
              <w:t>attributable to Corteva common stockholders</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(251)</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673</w:t>
            </w:r>
          </w:p>
        </w:tc>
        <w:tc>
          <w:tcPr>
            <w:tcW w:w="14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372</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Earnings per common share from continuing</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operations (note 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ind w:left="32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line="185" w:lineRule="exact"/>
              <w:rPr>
                <w:sz w:val="20"/>
                <w:szCs w:val="20"/>
                <w:color w:val="auto"/>
              </w:rPr>
            </w:pPr>
            <w:r>
              <w:rPr>
                <w:rFonts w:ascii="Arial" w:cs="Arial" w:eastAsia="Arial" w:hAnsi="Arial"/>
                <w:sz w:val="17"/>
                <w:szCs w:val="17"/>
                <w:color w:val="auto"/>
                <w:w w:val="98"/>
              </w:rPr>
              <w:t>Weighted average common shares outstanding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7"/>
                <w:szCs w:val="17"/>
                <w:color w:val="auto"/>
              </w:rPr>
              <w:t>(note 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20"/>
              <w:spacing w:after="0"/>
              <w:rPr>
                <w:sz w:val="20"/>
                <w:szCs w:val="20"/>
                <w:color w:val="auto"/>
              </w:rPr>
            </w:pPr>
            <w:r>
              <w:rPr>
                <w:rFonts w:ascii="Arial" w:cs="Arial" w:eastAsia="Arial" w:hAnsi="Arial"/>
                <w:sz w:val="17"/>
                <w:szCs w:val="17"/>
                <w:color w:val="auto"/>
              </w:rPr>
              <w:t>Diluted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hanging="436"/>
        <w:spacing w:after="0" w:line="285" w:lineRule="auto"/>
        <w:tabs>
          <w:tab w:leader="none" w:pos="6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Represents the company’s current best estimate of Corteva’s retrospectively revised historical financial statements, reflecting the discontinued operations of Historical DuPont’s materials science and specialty products businesses; adjusted for certain reclassification adjustments to align the financial statement presentation of Historical DuPont to that of Corteva. See note 6 for further details. Actual results could differ from these estimates.</w:t>
      </w:r>
    </w:p>
    <w:p>
      <w:pPr>
        <w:spacing w:after="0" w:line="1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PRO FORMA COMBINED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1—DESCRIPTION OF THE TRANSACTIONS AND BASIS OF PRESENTATION</w:t>
      </w:r>
    </w:p>
    <w:p>
      <w:pPr>
        <w:spacing w:after="0" w:line="121"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The pro forma financial statements include adjustments related to the Merger, the Business Realignment, the Internal Reorganization, the Debt Retirement Transactions and the separation and distribution, as required by Article 11 of SEC Regulation S-X. Historical DuPont has been determined to best represent the predecessor entity to Corteva. As a result, the historical financial statements of Corteva reflected in the pro forma financial statements are those of Historical DuPont. The historical consolidated financial information has been adjusted to give effect to events that are (1) directly attributable to the Merger, the Business Realignment, the Internal Reorganization, the Debt Retirement Transactions and the separation and distribution,</w:t>
      </w:r>
    </w:p>
    <w:p>
      <w:pPr>
        <w:spacing w:after="0" w:line="2" w:lineRule="exact"/>
        <w:rPr>
          <w:sz w:val="20"/>
          <w:szCs w:val="20"/>
          <w:color w:val="auto"/>
        </w:rPr>
      </w:pPr>
    </w:p>
    <w:p>
      <w:pPr>
        <w:ind w:left="200" w:right="60" w:firstLine="4"/>
        <w:spacing w:after="0" w:line="255" w:lineRule="auto"/>
        <w:tabs>
          <w:tab w:leader="none" w:pos="4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factually supportable and (3) with respect to the unaudited pro forma combined statements of income, expected to have a continuing impact on the consolidated results. Further, these pro forma adjustments contain estimates, which are based on information currently available to management and are subject to change, which could have a material impact on these pro forma financial statements.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Merger</w:t>
      </w:r>
    </w:p>
    <w:p>
      <w:pPr>
        <w:spacing w:after="0" w:line="117"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At the Effective Time of the Merger, pursuant to the merger agreement, Historical DuPont and Historical Dow each merged with subsidiaries of DowDuPont and, as a result, Historical DuPont and Historical Dow became subsidiaries of DowDuPont.</w:t>
      </w:r>
    </w:p>
    <w:p>
      <w:pPr>
        <w:spacing w:after="0" w:line="17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One-time transaction-related expenses incurred prior to, or concurrent with, the closing of the Merger are not included in the unaudited pro forma combined statements of income.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Internal Reorganization and the Business Realignment</w:t>
      </w:r>
    </w:p>
    <w:p>
      <w:pPr>
        <w:spacing w:after="0" w:line="117"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Historical DuPont was founded in 1802 and was incorporated in Delaware in 1915. Immediately prior to the Merger, Historical DuPont was comprised of agriculture, materials science and specialty products businesses. As a result of the Merger, these businesses, as well as the agriculture, materials science and specialty products businesses of Historical Dow were, prior to the distribution of Dow, held indirectly by DowDuPont through its combined ownership of Historical DuPont and Historical Dow. Through the Internal Reorganization, Historical DuPont and Historical Dow have realigned their respective businesses into three subgroups: agriculture, materials science and specialty products. DowDuPont, Historical DuPont and Historical Dow have and will continue to transfer and receive entities and businesses such that, prior to the Corteva distribution, Corteva will hold either directly or indirectly Historical DuPont Agriculture and Dow AgroSciences, along with the assets and liabilities allocated to each group pursuant to the separation agreement (as described in more detail in “Our Relationship with New DuPont and Dow Following the Distribution—Separation Agreement—Transfer of Assets and Assumption of Liabilities”).</w:t>
      </w:r>
    </w:p>
    <w:p>
      <w:pPr>
        <w:spacing w:after="0" w:line="182"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color w:val="auto"/>
        </w:rPr>
        <w:t>As a result of the Internal Reorganization and Business Realignment, Corteva will own 100% of the outstanding common stock of Historical DuPont. Preferred stockholders of Historical DuPont will continue to hold such shares following the separation and distribution. After the separation and distribution, Historical DuPont will remain a subsidiary of Corteva, will continue to be a reporting company and expects to comply with the requirements of the Exchange Act. Further, as a result of the Internal Reorganization, Historical DuPont will own 100% of Dow AgroSciences on a consolidated basis.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Distribution of Historical DuPont’s Materials Science and Specialty Products Businesses</w:t>
      </w:r>
    </w:p>
    <w:p>
      <w:pPr>
        <w:spacing w:after="0" w:line="117" w:lineRule="exact"/>
        <w:rPr>
          <w:sz w:val="20"/>
          <w:szCs w:val="20"/>
          <w:color w:val="auto"/>
        </w:rPr>
      </w:pPr>
    </w:p>
    <w:p>
      <w:pPr>
        <w:ind w:left="200" w:right="420"/>
        <w:spacing w:after="0" w:line="276" w:lineRule="auto"/>
        <w:rPr>
          <w:sz w:val="20"/>
          <w:szCs w:val="20"/>
          <w:color w:val="auto"/>
        </w:rPr>
      </w:pPr>
      <w:r>
        <w:rPr>
          <w:rFonts w:ascii="Arial" w:cs="Arial" w:eastAsia="Arial" w:hAnsi="Arial"/>
          <w:sz w:val="17"/>
          <w:szCs w:val="17"/>
          <w:color w:val="auto"/>
        </w:rPr>
        <w:t>Beginning in the second quarter of 2019, Corteva’s distributions of Historical DuPont’s materials science and specialty products businesses will be accounted for as discontinued operations. As such, pro forma adjustments related to the distributions have been prepared in accordance with the discontinued operations guidance in ASC 205 and therefore do not allocate any general corporate overhead expenses of Historical DuPont to the materials science and specialty products businesses and include only those costs that are directly related to the discontinued businesses and are not expected to continue. The company’s current estimates for discontinued operations are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preliminary and could change as the company finalizes discontinued operations accounting. As such, the pro forma financial statements do not reflect what Corteva’s results of operations or financial position would have been on a stand-alone basis and are not necessarily indicative of Corteva’s future results of operations. See note 6 for additional information.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Common Control Combination of Dow AgroSciences</w:t>
      </w:r>
    </w:p>
    <w:p>
      <w:pPr>
        <w:spacing w:after="0" w:line="117"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Corteva’s acquisition of Dow AgroSciences will be treated as a transfer between entities under common control. As such, the company will record the assets, liabilities, and equity of the Dow AgroSciences business on its balance sheet at their historical basis. Transfers of businesses between entities under common control requires the financial statements to be presented as if the transaction had occurred at the point at which common control first existed (the Effective Time of the Merger). Corteva’s historical financial statements and related notes will, beginning in the second quarter of 2019, be revised to include the historical balances of Dow AgroSciences from September 1, 2017 onward.</w:t>
      </w:r>
    </w:p>
    <w:p>
      <w:pPr>
        <w:spacing w:after="0" w:line="173"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unaudited pro forma combined balance sheet as of December 31, 2018 is presented as if the common control combination of Dow AgroSciences had occurred on December 31, 2018 and the unaudited pro forma combined statements of income are presented as if the common control combination of Dow AgroSciences had occurred on January 1, 2016. Transactions between Dow AgroSciences and Historical DuPont Agriculture have been eliminated as if Dow AgroSciences and Historical DuPont Agriculture were consolidated affiliates since January 1, 2016.</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Debt Retirement Transactions</w:t>
      </w:r>
    </w:p>
    <w:p>
      <w:pPr>
        <w:spacing w:after="0" w:line="117"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At the time of the separation and distribution, it is expected that Corteva will have a credit profile substantially similar to that of Historical DuPont prior to the Merger. Corteva is targeted to have an A- credit rating (expressed in Standard &amp; Poor’s (“S&amp;P”) nomenclature) primarily reflecting obligations relating to certain Historical DuPont defined pension plans, including Historical DuPont’s principal U.S. pension plan, certain non-U.S. pension plans and other post-employment benefit liabilities. In contemplation of the separations and distributions and in preparation to achieve the respective credit profiles of each of the intended future companies, DowDuPont completed a series of financing transactions, which included an offering of senior unsecured notes and the establishment of new term loan facilities. Corteva expects DowDuPont to use approximately $10.1 billion of the proceeds from its financing transactions to reduce Corteva’s outstanding liabilities in line with Corteva’s target credit profile (the “Liabilities Reduction”). Therefore, the unaudited pro forma combined balance sheet as of December 31, 2018 reflects adjustments assuming the Liabilities Reduction was achieved through the retirement of certain of Historical DuPont’s outstanding debt securities and term loans based on short-term and long-term debt balances and pension obligations outstanding as of December 31, 2018. The unaudited pro forma combined statements of income reflect adjustment assuming the Liabilities Reduction was achieved on January 1, 2016.</w:t>
      </w:r>
    </w:p>
    <w:p>
      <w:pPr>
        <w:spacing w:after="0" w:line="183"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Certain Debt Retirement Transactions were undertaken by Historical DuPont in November and December of 2018 as part of the Liabilities Reduction. Specifically, Historical DuPont offered to purchase for cash any and all outstanding debt securities listed in the table below from each registered holder of the applicable series of debt securities (the “Tender Offers”).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9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540" w:type="dxa"/>
            <w:vAlign w:val="bottom"/>
            <w:gridSpan w:val="4"/>
          </w:tcPr>
          <w:p>
            <w:pPr>
              <w:ind w:left="39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5.750%</w:t>
            </w:r>
          </w:p>
        </w:tc>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2019</w:t>
            </w:r>
          </w:p>
        </w:tc>
        <w:tc>
          <w:tcPr>
            <w:tcW w:w="3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4.625%</w:t>
            </w:r>
          </w:p>
        </w:tc>
        <w:tc>
          <w:tcPr>
            <w:tcW w:w="2360" w:type="dxa"/>
            <w:vAlign w:val="bottom"/>
          </w:tcPr>
          <w:p>
            <w:pPr>
              <w:ind w:left="20"/>
              <w:spacing w:after="0"/>
              <w:rPr>
                <w:sz w:val="20"/>
                <w:szCs w:val="20"/>
                <w:color w:val="auto"/>
              </w:rPr>
            </w:pPr>
            <w:r>
              <w:rPr>
                <w:rFonts w:ascii="Arial" w:cs="Arial" w:eastAsia="Arial" w:hAnsi="Arial"/>
                <w:sz w:val="18"/>
                <w:szCs w:val="18"/>
                <w:color w:val="auto"/>
              </w:rPr>
              <w:t>Senior Notes due 2020</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6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3.625%</w:t>
            </w: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4.250%</w:t>
            </w:r>
          </w:p>
        </w:tc>
        <w:tc>
          <w:tcPr>
            <w:tcW w:w="2360" w:type="dxa"/>
            <w:vAlign w:val="bottom"/>
          </w:tcPr>
          <w:p>
            <w:pPr>
              <w:ind w:left="20"/>
              <w:spacing w:after="0"/>
              <w:rPr>
                <w:sz w:val="20"/>
                <w:szCs w:val="20"/>
                <w:color w:val="auto"/>
              </w:rPr>
            </w:pPr>
            <w:r>
              <w:rPr>
                <w:rFonts w:ascii="Arial" w:cs="Arial" w:eastAsia="Arial" w:hAnsi="Arial"/>
                <w:sz w:val="18"/>
                <w:szCs w:val="18"/>
                <w:color w:val="auto"/>
              </w:rPr>
              <w:t>Notes due 2021</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2.800%</w:t>
            </w: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6.500%</w:t>
            </w:r>
          </w:p>
        </w:tc>
        <w:tc>
          <w:tcPr>
            <w:tcW w:w="2360" w:type="dxa"/>
            <w:vAlign w:val="bottom"/>
          </w:tcPr>
          <w:p>
            <w:pPr>
              <w:ind w:left="20"/>
              <w:spacing w:after="0"/>
              <w:rPr>
                <w:sz w:val="20"/>
                <w:szCs w:val="20"/>
                <w:color w:val="auto"/>
              </w:rPr>
            </w:pPr>
            <w:r>
              <w:rPr>
                <w:rFonts w:ascii="Arial" w:cs="Arial" w:eastAsia="Arial" w:hAnsi="Arial"/>
                <w:sz w:val="18"/>
                <w:szCs w:val="18"/>
                <w:color w:val="auto"/>
              </w:rPr>
              <w:t>Debentures due 2028</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5.600%</w:t>
            </w: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2036</w:t>
            </w:r>
          </w:p>
        </w:tc>
        <w:tc>
          <w:tcPr>
            <w:tcW w:w="3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4.900%</w:t>
            </w:r>
          </w:p>
        </w:tc>
        <w:tc>
          <w:tcPr>
            <w:tcW w:w="2360" w:type="dxa"/>
            <w:vAlign w:val="bottom"/>
          </w:tcPr>
          <w:p>
            <w:pPr>
              <w:ind w:left="20"/>
              <w:spacing w:after="0"/>
              <w:rPr>
                <w:sz w:val="20"/>
                <w:szCs w:val="20"/>
                <w:color w:val="auto"/>
              </w:rPr>
            </w:pPr>
            <w:r>
              <w:rPr>
                <w:rFonts w:ascii="Arial" w:cs="Arial" w:eastAsia="Arial" w:hAnsi="Arial"/>
                <w:sz w:val="18"/>
                <w:szCs w:val="18"/>
                <w:color w:val="auto"/>
              </w:rPr>
              <w:t>Notes due 2041</w:t>
            </w: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4.150%</w:t>
            </w: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2043</w:t>
            </w:r>
          </w:p>
        </w:tc>
        <w:tc>
          <w:tcPr>
            <w:tcW w:w="3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6,200</w:t>
            </w:r>
          </w:p>
        </w:tc>
        <w:tc>
          <w:tcPr>
            <w:tcW w:w="60" w:type="dxa"/>
            <w:vAlign w:val="bottom"/>
          </w:tcPr>
          <w:p>
            <w:pPr>
              <w:spacing w:after="0"/>
              <w:rPr>
                <w:sz w:val="19"/>
                <w:szCs w:val="19"/>
                <w:color w:val="auto"/>
              </w:rPr>
            </w:pPr>
          </w:p>
        </w:tc>
      </w:tr>
      <w:tr>
        <w:trPr>
          <w:trHeight w:val="364"/>
        </w:trPr>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980" w:type="dxa"/>
            <w:vAlign w:val="bottom"/>
          </w:tcPr>
          <w:p>
            <w:pPr>
              <w:jc w:val="right"/>
              <w:ind w:right="3019"/>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In the fourth quarter of 2018, Historical DuPont retired $4,409 million of such debt securities in connection with the Tender Offers, which expired on December 11, 2018. Historical DuPont paid a total of $4,849 million, which included breakage fees and all applicable accrued and unpaid interest. DowDuPont contributed cash (generated from the financing transactions) to Historical DuPont to fund the settlement of the Tender Offers and payment of associated fees.</w:t>
      </w:r>
    </w:p>
    <w:p>
      <w:pPr>
        <w:spacing w:after="0" w:line="187"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On March 22, 2019, Historical DuPont issued notices of redemption in full of all of its remaining outstanding fixed-rate notes other than the fixed-rate SMR Notes (as defined below) (the “Make Whole Notes”). The Make Whole Notes were redeemed on April 22, 2019 at the make-whole redemption prices set forth in the respective Make Whole Notes. On and after the date of redemption, the Make Whole Notes were no longer deemed outstanding, interest on the Make Whole Notes ceased to accrue and all rights of the holders of the Make Whole Notes were terminated.</w:t>
      </w:r>
    </w:p>
    <w:p>
      <w:pPr>
        <w:spacing w:after="0" w:line="154"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On May 2, 2019 Historical DuPont terminated its Term Loan Facility and repaid the aggregate outstanding principal amount of $3 billion plus accrued and unpaid interest through and including May 1, 2019.</w:t>
      </w:r>
    </w:p>
    <w:p>
      <w:pPr>
        <w:spacing w:after="0" w:line="17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connection with the foregoing, Historical DuPont paid a total of $4.6 billion, which included breakage fees and accrued and unpaid interest on the Make Whole Notes and Term Loan Facility. Historical DuPont funded the payments with cash from operations and cash contributions from DowDuPont to Corteva.</w:t>
      </w:r>
    </w:p>
    <w:p>
      <w:pPr>
        <w:spacing w:after="0" w:line="181"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In addition, as part of the separations and distribution, Historical DuPont’s $1,250 million aggregate principal amount of 2.200% Notes due 2020 and $750 million aggregate principal amount of Floating Rate Notes due 2020 (collectively, the “SMR Notes”) are expected to be redeemed. The date of redemption will be on or before May 24, 2019. On the date of redemption, Historical DuPont will be required to redeem all of the SMR Notes at a redemption price equal to 100% of the aggregate principal amount of the SMR Notes plus accrued and unpaid interest, if any, up to but excluding the date of redemption. Following the redemption, the SMR Notes will no longer be outstanding and will cease to bear interest and all rights of the holders of the SMR Notes will terminate.</w:t>
      </w:r>
    </w:p>
    <w:p>
      <w:pPr>
        <w:spacing w:after="0" w:line="193"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As noted above, for purposes of the pro forma financial statements in this presentation, Corteva has assumed that the remaining aggregate principal amount of these debt securities will be satisfied through future Debt Retirement Transactions. This illustrates a possible use of proceeds from the above financing transactions, however, the actual pay off or retirement across Historical DuPont’s outstanding liabilities could be different than the Debt Retirement Transactions described above. In furtherance of achieving the company’s credit profile target, Corteva and DowDuPont may take various steps, which may include further retirement of financial debt, maintenance of meaningful intra-year debt supporting seasonality and/or contributions of cash funded by DowDuPont. Any specific future actions, including an expected second quarter 2019 issuance of commercial paper by DowDuPont, related to the Liabilities Reduction will depend on various factors existing at that time, including results of operations, market conditions and capital structure considerations.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Separation and Distribution of Corteva</w:t>
      </w:r>
    </w:p>
    <w:p>
      <w:pPr>
        <w:spacing w:after="0" w:line="117"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The distribution of Corteva common stock will occur by way of a pro rata distribution to DowDuPont stockholders. Each DowDuPont stockholder will be entitled to receive one share of Corteva common stock for every three shares of DowDuPont common stock held by such stockholder at the close of business on May 24, 2019, the record date of the distribution. The actual number of shares of Corteva common stock that DowDuPont will distribute will depend on the number of shares of DowDuPont common stock outstanding on the record date.</w:t>
      </w:r>
    </w:p>
    <w:p>
      <w:pPr>
        <w:spacing w:after="0" w:line="171"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In connection with the separation and distribution, Corteva has entered into and will enter into certain agreements that will effect the separation and provide a framework for Corteva’s relationship with New DuPont and Dow. In connection with the separation and distribution, Corteva has entered and will enter into certain other agreements with DowDuPont and Dow, including a tax matters agreement, an employee matters agreement, intellectual property cross-license agreements, trademark license agreements and certain other intellectual property, services, supply and real</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estate-related agreements. These agreements will provide for the terms of the separation between Corteva, New DuPont and Dow of the assets, liabilities and obligations (including investments, property and employee benefits and tax-related assets and liabilities) of DowDuPont and its subsidiaries attributable to the periods prior to, at and after Corteva’s and Dow’s respective separations from DowDuPont and will govern the relationship among Corteva, New DuPont and Dow subsequent to the completion of the separations and distributions.</w:t>
      </w:r>
    </w:p>
    <w:p>
      <w:pPr>
        <w:spacing w:after="0" w:line="171"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One-time transaction-related expenses incurred relating to the separation and distribution of Corteva are not included in the unaudited pro forma combined statements of income.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2—DOW AGROSCIENCES ADJUSTMENTS</w:t>
      </w:r>
    </w:p>
    <w:p>
      <w:pPr>
        <w:spacing w:after="0" w:line="121"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As a condition of Brazil’s Administrative Council for Economic Defense regulatory approval of the Merger, Historical Dow divested a select portion of Dow AgroSciences’ corn seed business in Brazil, including some seed processing plants and seed research centers, a copy of Dow AgroSciences’ Brazilian corn germplasm bank, the Morgan™ brand and a license for the use of the Dow Sementes™ brand for a certain period of time (collectively, the “DAS Brazil Assets”). On July 11, 2017, Historical Dow announced it had entered into a definitive agreement to sell the DAS Brazil Assets to CITIC Agri Fund. During the fourth quarter of 2017, Dow AgroSciences completed the disposition of the DAS Brazil Assets. The below represents amounts that were removed from the unaudited pro forma combined statements of income to reflect this divestiture.</w:t>
      </w:r>
    </w:p>
    <w:p>
      <w:pPr>
        <w:spacing w:after="0" w:line="18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For the</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100" w:type="dxa"/>
            <w:vAlign w:val="bottom"/>
            <w:gridSpan w:val="4"/>
          </w:tcPr>
          <w:p>
            <w:pPr>
              <w:jc w:val="center"/>
              <w:ind w:left="1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4"/>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8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(144)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Sundry (expense) income—net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 on continuing operations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from continuing operations after income taxes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(462)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bl>
    <w:p>
      <w:pPr>
        <w:spacing w:after="0" w:line="187" w:lineRule="exact"/>
        <w:rPr>
          <w:sz w:val="20"/>
          <w:szCs w:val="20"/>
          <w:color w:val="auto"/>
        </w:rPr>
      </w:pPr>
    </w:p>
    <w:p>
      <w:pPr>
        <w:ind w:left="200" w:right="1020"/>
        <w:spacing w:after="0" w:line="308" w:lineRule="auto"/>
        <w:rPr>
          <w:sz w:val="20"/>
          <w:szCs w:val="20"/>
          <w:color w:val="auto"/>
        </w:rPr>
      </w:pPr>
      <w:r>
        <w:rPr>
          <w:rFonts w:ascii="Arial" w:cs="Arial" w:eastAsia="Arial" w:hAnsi="Arial"/>
          <w:sz w:val="17"/>
          <w:szCs w:val="17"/>
          <w:color w:val="auto"/>
        </w:rPr>
        <w:t>Additionally, in order to align the financial statement presentation of Dow AgroSciences to that of Corteva’s continuing operations, certain reclassification adjustments have been made to the unaudited pro forma combined statements of income as follows:</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4"/>
              </w:rPr>
              <w:t>For the Period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left="77"/>
              <w:spacing w:after="0" w:line="149" w:lineRule="exact"/>
              <w:rPr>
                <w:sz w:val="20"/>
                <w:szCs w:val="20"/>
                <w:color w:val="auto"/>
              </w:rPr>
            </w:pPr>
            <w:r>
              <w:rPr>
                <w:rFonts w:ascii="Arial" w:cs="Arial" w:eastAsia="Arial" w:hAnsi="Arial"/>
                <w:sz w:val="14"/>
                <w:szCs w:val="14"/>
                <w:b w:val="1"/>
                <w:bCs w:val="1"/>
                <w:color w:val="auto"/>
                <w:w w:val="95"/>
              </w:rPr>
              <w:t>January 1 –</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left="77"/>
              <w:spacing w:after="0" w:line="149" w:lineRule="exact"/>
              <w:rPr>
                <w:sz w:val="20"/>
                <w:szCs w:val="20"/>
                <w:color w:val="auto"/>
              </w:rPr>
            </w:pPr>
            <w:r>
              <w:rPr>
                <w:rFonts w:ascii="Arial" w:cs="Arial" w:eastAsia="Arial" w:hAnsi="Arial"/>
                <w:sz w:val="14"/>
                <w:szCs w:val="14"/>
                <w:b w:val="1"/>
                <w:bCs w:val="1"/>
                <w:color w:val="auto"/>
                <w:w w:val="92"/>
              </w:rPr>
              <w:t>August 31,</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53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ind w:right="13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asset-related charges – net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(12)</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Integration and separation costs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27</w:t>
            </w:r>
          </w:p>
        </w:tc>
        <w:tc>
          <w:tcPr>
            <w:tcW w:w="40" w:type="dxa"/>
            <w:vAlign w:val="bottom"/>
            <w:shd w:val="clear" w:color="auto" w:fill="CCEEFF"/>
          </w:tcPr>
          <w:p>
            <w:pPr>
              <w:spacing w:after="0"/>
              <w:rPr>
                <w:sz w:val="18"/>
                <w:szCs w:val="18"/>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color w:val="auto"/>
              </w:rPr>
              <w:t>Cost of goods sold</w:t>
            </w:r>
            <w:r>
              <w:rPr>
                <w:rFonts w:ascii="Arial" w:cs="Arial" w:eastAsia="Arial" w:hAnsi="Arial"/>
                <w:sz w:val="15"/>
                <w:szCs w:val="15"/>
                <w:color w:val="auto"/>
              </w:rPr>
              <w:t>(1)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(45)</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5"/>
                <w:szCs w:val="15"/>
                <w:color w:val="auto"/>
              </w:rPr>
              <w:t>(1)</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45</w:t>
            </w:r>
          </w:p>
        </w:tc>
        <w:tc>
          <w:tcPr>
            <w:tcW w:w="40" w:type="dxa"/>
            <w:vAlign w:val="bottom"/>
            <w:shd w:val="clear" w:color="auto" w:fill="CCEEFF"/>
          </w:tcPr>
          <w:p>
            <w:pPr>
              <w:spacing w:after="0"/>
              <w:rPr>
                <w:sz w:val="18"/>
                <w:szCs w:val="18"/>
                <w:color w:val="auto"/>
              </w:rPr>
            </w:pPr>
          </w:p>
        </w:tc>
      </w:tr>
    </w:tbl>
    <w:p>
      <w:pPr>
        <w:spacing w:after="0" w:line="224" w:lineRule="exact"/>
        <w:rPr>
          <w:sz w:val="20"/>
          <w:szCs w:val="20"/>
          <w:color w:val="auto"/>
        </w:rPr>
      </w:pPr>
    </w:p>
    <w:p>
      <w:pPr>
        <w:ind w:left="960" w:right="260" w:hanging="432"/>
        <w:spacing w:after="0" w:line="253" w:lineRule="auto"/>
        <w:tabs>
          <w:tab w:leader="none" w:pos="96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Reflects reclassification of certain allocated Historical Dow leveraged function costs out of cost of goods sold to selling, general and administrative expenses in order to align with Corteva’s presentation of similar costs.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3—SEPARATION AND DEBT RETIREMENT RELATED PRO FORMA ADJUSTMENTS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Separation Pro Forma Adjustments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 forma financial statements reflect the following adjustments related to the separation and distribution transactions:</w:t>
      </w:r>
    </w:p>
    <w:p>
      <w:pPr>
        <w:spacing w:after="0" w:line="131" w:lineRule="exact"/>
        <w:rPr>
          <w:sz w:val="20"/>
          <w:szCs w:val="20"/>
          <w:color w:val="auto"/>
        </w:rPr>
      </w:pPr>
    </w:p>
    <w:p>
      <w:pPr>
        <w:ind w:left="640" w:hanging="436"/>
        <w:spacing w:after="0" w:line="302" w:lineRule="auto"/>
        <w:tabs>
          <w:tab w:leader="none" w:pos="6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Telone</w:t>
      </w:r>
      <w:r>
        <w:rPr>
          <w:rFonts w:ascii="Arial" w:cs="Arial" w:eastAsia="Arial" w:hAnsi="Arial"/>
          <w:sz w:val="13"/>
          <w:szCs w:val="13"/>
          <w:color w:val="auto"/>
        </w:rPr>
        <w:t>®</w:t>
      </w:r>
      <w:r>
        <w:rPr>
          <w:rFonts w:ascii="Arial" w:cs="Arial" w:eastAsia="Arial" w:hAnsi="Arial"/>
          <w:sz w:val="16"/>
          <w:szCs w:val="16"/>
          <w:color w:val="auto"/>
        </w:rPr>
        <w:t xml:space="preserve"> Soil Fumigant business (“Telone</w:t>
      </w:r>
      <w:r>
        <w:rPr>
          <w:rFonts w:ascii="Arial" w:cs="Arial" w:eastAsia="Arial" w:hAnsi="Arial"/>
          <w:sz w:val="13"/>
          <w:szCs w:val="13"/>
          <w:color w:val="auto"/>
        </w:rPr>
        <w:t>®</w:t>
      </w:r>
      <w:r>
        <w:rPr>
          <w:rFonts w:ascii="Arial" w:cs="Arial" w:eastAsia="Arial" w:hAnsi="Arial"/>
          <w:sz w:val="16"/>
          <w:szCs w:val="16"/>
          <w:color w:val="auto"/>
        </w:rPr>
        <w:t>”) will not transfer to Corteva as part of the common control combination of Dow AgroSciences. A distribution agreement was entered into between Corteva and Dow that allows for Corteva to become the exclusive distributor of Telone</w:t>
      </w:r>
      <w:r>
        <w:rPr>
          <w:rFonts w:ascii="Arial" w:cs="Arial" w:eastAsia="Arial" w:hAnsi="Arial"/>
          <w:sz w:val="13"/>
          <w:szCs w:val="13"/>
          <w:color w:val="auto"/>
        </w:rPr>
        <w:t>®</w:t>
      </w:r>
      <w:r>
        <w:rPr>
          <w:rFonts w:ascii="Arial" w:cs="Arial" w:eastAsia="Arial" w:hAnsi="Arial"/>
          <w:sz w:val="16"/>
          <w:szCs w:val="16"/>
          <w:color w:val="auto"/>
        </w:rPr>
        <w:t xml:space="preserve"> products for Dow after the separation and distribution transactions. This adjustment reflects the impact to the pro forma financial statements of the removal of Telone</w:t>
      </w:r>
      <w:r>
        <w:rPr>
          <w:rFonts w:ascii="Arial" w:cs="Arial" w:eastAsia="Arial" w:hAnsi="Arial"/>
          <w:sz w:val="13"/>
          <w:szCs w:val="13"/>
          <w:color w:val="auto"/>
        </w:rPr>
        <w:t>®</w:t>
      </w:r>
      <w:r>
        <w:rPr>
          <w:rFonts w:ascii="Arial" w:cs="Arial" w:eastAsia="Arial" w:hAnsi="Arial"/>
          <w:sz w:val="16"/>
          <w:szCs w:val="16"/>
          <w:color w:val="auto"/>
        </w:rPr>
        <w:t xml:space="preserve"> balances that will not transfer to Corteva as well as the impact of the Telone</w:t>
      </w:r>
      <w:r>
        <w:rPr>
          <w:rFonts w:ascii="Arial" w:cs="Arial" w:eastAsia="Arial" w:hAnsi="Arial"/>
          <w:sz w:val="13"/>
          <w:szCs w:val="13"/>
          <w:color w:val="auto"/>
        </w:rPr>
        <w:t>®</w:t>
      </w:r>
      <w:r>
        <w:rPr>
          <w:rFonts w:ascii="Arial" w:cs="Arial" w:eastAsia="Arial" w:hAnsi="Arial"/>
          <w:sz w:val="16"/>
          <w:szCs w:val="16"/>
          <w:color w:val="auto"/>
        </w:rPr>
        <w:t xml:space="preserve"> distribution agreement.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below represents amounts that were removed from the pro forma financial statements: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Balance Sheet</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100" w:type="dxa"/>
            <w:vAlign w:val="bottom"/>
            <w:gridSpan w:val="4"/>
          </w:tcPr>
          <w:p>
            <w:pPr>
              <w:ind w:left="1800"/>
              <w:spacing w:after="0"/>
              <w:rPr>
                <w:sz w:val="20"/>
                <w:szCs w:val="20"/>
                <w:color w:val="auto"/>
              </w:rPr>
            </w:pPr>
            <w:r>
              <w:rPr>
                <w:rFonts w:ascii="Arial" w:cs="Arial" w:eastAsia="Arial" w:hAnsi="Arial"/>
                <w:sz w:val="14"/>
                <w:szCs w:val="14"/>
                <w:b w:val="1"/>
                <w:bCs w:val="1"/>
                <w:color w:val="auto"/>
                <w:w w:val="98"/>
              </w:rPr>
              <w:t>As of December 31,</w:t>
            </w:r>
          </w:p>
        </w:tc>
      </w:tr>
      <w:tr>
        <w:trPr>
          <w:trHeight w:val="171"/>
        </w:trPr>
        <w:tc>
          <w:tcPr>
            <w:tcW w:w="43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18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receivable—net</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Inventories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Accounts payable</w:t>
            </w:r>
          </w:p>
        </w:tc>
        <w:tc>
          <w:tcPr>
            <w:tcW w:w="20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Statements of Income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For the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For the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Year Ended</w:t>
            </w:r>
          </w:p>
        </w:tc>
        <w:tc>
          <w:tcPr>
            <w:tcW w:w="42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Year Ended</w:t>
            </w: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180" w:type="dxa"/>
            <w:vAlign w:val="bottom"/>
            <w:gridSpan w:val="4"/>
          </w:tcPr>
          <w:p>
            <w:pPr>
              <w:jc w:val="center"/>
              <w:ind w:left="31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7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gridSpan w:val="4"/>
          </w:tcPr>
          <w:p>
            <w:pPr>
              <w:jc w:val="center"/>
              <w:ind w:left="219"/>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2018</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Cost of goods sold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Provision for income taxes on continuing operations</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after income taxes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960" w:right="60" w:hanging="432"/>
        <w:spacing w:after="0" w:line="253" w:lineRule="auto"/>
        <w:tabs>
          <w:tab w:leader="none" w:pos="96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Adjustment to record the income tax impacts of the pro forma adjustments using a blended statutory tax rate of 25%. This rate does not reflect Corteva’s effective tax rate, which will include other items and may be significantly different than the rates assumed for purposes of preparing these pro forma financial statements.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below represents the impact of the related distribution agreement between Corteva and Dow:</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For the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For the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c>
          <w:tcPr>
            <w:tcW w:w="96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20" w:type="dxa"/>
            <w:vAlign w:val="bottom"/>
            <w:gridSpan w:val="3"/>
          </w:tcPr>
          <w:p>
            <w:pPr>
              <w:jc w:val="center"/>
              <w:ind w:left="109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760" w:type="dxa"/>
            <w:vAlign w:val="bottom"/>
            <w:gridSpan w:val="3"/>
          </w:tcPr>
          <w:p>
            <w:pPr>
              <w:jc w:val="center"/>
              <w:ind w:left="8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40" w:type="dxa"/>
            <w:vAlign w:val="bottom"/>
            <w:gridSpan w:val="4"/>
          </w:tcPr>
          <w:p>
            <w:pPr>
              <w:jc w:val="center"/>
              <w:ind w:left="799"/>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5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on continuing operations</w:t>
            </w:r>
            <w:r>
              <w:rPr>
                <w:rFonts w:ascii="Arial" w:cs="Arial" w:eastAsia="Arial" w:hAnsi="Arial"/>
                <w:sz w:val="15"/>
                <w:szCs w:val="15"/>
                <w:color w:val="auto"/>
              </w:rPr>
              <w:t>(1)</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from continuing operations after income taxes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180" w:type="dxa"/>
            <w:vAlign w:val="bottom"/>
          </w:tcPr>
          <w:p>
            <w:pPr>
              <w:jc w:val="right"/>
              <w:ind w:right="456"/>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60" w:right="20" w:hanging="432"/>
        <w:spacing w:after="0" w:line="253" w:lineRule="auto"/>
        <w:tabs>
          <w:tab w:leader="none" w:pos="96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Adjustment to record the income tax impacts of the pro forma adjustments using a blended statutory tax rate of 25%. This rate does not reflect Corteva’s effective tax rate, which will include other items and may be significantly different than the rates assumed for purposes of preparing these pro forma financial statements.</w:t>
      </w:r>
    </w:p>
    <w:p>
      <w:pPr>
        <w:spacing w:after="0" w:line="83" w:lineRule="exact"/>
        <w:rPr>
          <w:rFonts w:ascii="Arial" w:cs="Arial" w:eastAsia="Arial" w:hAnsi="Arial"/>
          <w:sz w:val="14"/>
          <w:szCs w:val="14"/>
          <w:color w:val="auto"/>
        </w:rPr>
      </w:pPr>
    </w:p>
    <w:p>
      <w:pPr>
        <w:ind w:left="640" w:hanging="436"/>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Adjustment to include a $63 million amount due to Dow related to an indemnification outlined in the Separation Agreement.</w:t>
      </w:r>
    </w:p>
    <w:p>
      <w:pPr>
        <w:spacing w:after="0" w:line="130" w:lineRule="exact"/>
        <w:rPr>
          <w:rFonts w:ascii="Arial" w:cs="Arial" w:eastAsia="Arial" w:hAnsi="Arial"/>
          <w:sz w:val="18"/>
          <w:szCs w:val="18"/>
          <w:color w:val="auto"/>
        </w:rPr>
      </w:pPr>
    </w:p>
    <w:p>
      <w:pPr>
        <w:ind w:left="640" w:right="120" w:hanging="436"/>
        <w:spacing w:after="0" w:line="277" w:lineRule="auto"/>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Adjustment to remove $3 million of liabilities related to litigation matters that are included in the financial statements of Dow AgroSciences, but will not transfer to Corteva as part of the common control combination.</w:t>
      </w:r>
    </w:p>
    <w:p>
      <w:pPr>
        <w:spacing w:after="0" w:line="75" w:lineRule="exact"/>
        <w:rPr>
          <w:rFonts w:ascii="Arial" w:cs="Arial" w:eastAsia="Arial" w:hAnsi="Arial"/>
          <w:sz w:val="18"/>
          <w:szCs w:val="18"/>
          <w:color w:val="auto"/>
        </w:rPr>
      </w:pPr>
    </w:p>
    <w:p>
      <w:pPr>
        <w:ind w:left="640" w:right="240" w:hanging="436"/>
        <w:spacing w:after="0" w:line="277" w:lineRule="auto"/>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Adjustment reflects removal of $71 million of pension and other employee liabilities and $11 million of related deferred tax assets that will not transfer between Corteva and Dow in connection with the separation.</w:t>
      </w:r>
    </w:p>
    <w:p>
      <w:pPr>
        <w:spacing w:after="0" w:line="75" w:lineRule="exact"/>
        <w:rPr>
          <w:rFonts w:ascii="Arial" w:cs="Arial" w:eastAsia="Arial" w:hAnsi="Arial"/>
          <w:sz w:val="18"/>
          <w:szCs w:val="18"/>
          <w:color w:val="auto"/>
        </w:rPr>
      </w:pPr>
    </w:p>
    <w:p>
      <w:pPr>
        <w:ind w:left="640" w:hanging="436"/>
        <w:spacing w:after="0" w:line="279" w:lineRule="auto"/>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Adjustment to include indemnification receivables and payables of $193 million recorded to accounts and notes receivable – net and $203 million recorded to accrued and other current liabilities, respectively, required under the terms of the tax matters agreement as well as to remove historical income tax receivables and payables of $14 million from accounts and notes receivable – net and $38 million from income taxes payable, respectively, for Dow AgroSciences that will not transfer to Corteva as part of the common control combination.</w:t>
      </w:r>
    </w:p>
    <w:p>
      <w:pPr>
        <w:spacing w:after="0" w:line="76" w:lineRule="exact"/>
        <w:rPr>
          <w:rFonts w:ascii="Arial" w:cs="Arial" w:eastAsia="Arial" w:hAnsi="Arial"/>
          <w:sz w:val="17"/>
          <w:szCs w:val="17"/>
          <w:color w:val="auto"/>
        </w:rPr>
      </w:pPr>
    </w:p>
    <w:p>
      <w:pPr>
        <w:ind w:left="640" w:right="80" w:hanging="436"/>
        <w:spacing w:after="0" w:line="286" w:lineRule="auto"/>
        <w:tabs>
          <w:tab w:leader="none" w:pos="6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Adjustment to reflect the number of common shares expected to be outstanding upon completion of the separation and related transactions. As of the distribution date, equity will be adjusted to reflect the distribution of Corteva shares of common stock to DowDuPont shareholders, at a distribution ratio of one share of Corteva common stock for every three shares of DowDuPont common stock.</w:t>
      </w:r>
    </w:p>
    <w:p>
      <w:pPr>
        <w:spacing w:after="0" w:line="70" w:lineRule="exact"/>
        <w:rPr>
          <w:rFonts w:ascii="Arial" w:cs="Arial" w:eastAsia="Arial" w:hAnsi="Arial"/>
          <w:sz w:val="17"/>
          <w:szCs w:val="17"/>
          <w:color w:val="auto"/>
        </w:rPr>
      </w:pPr>
    </w:p>
    <w:p>
      <w:pPr>
        <w:ind w:left="640" w:right="80" w:hanging="436"/>
        <w:spacing w:after="0" w:line="277" w:lineRule="auto"/>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Adjustment to eliminate one-time transaction costs directly attributable to the expected distribution transactions. The below represents the impact to the respective pro forma combined statements of income:</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For the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For the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Year Ended</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180" w:type="dxa"/>
            <w:vAlign w:val="bottom"/>
            <w:gridSpan w:val="4"/>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7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4"/>
          </w:tcPr>
          <w:p>
            <w:pPr>
              <w:jc w:val="center"/>
              <w:ind w:left="259"/>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8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2017</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Integration and separation costs</w:t>
            </w: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Provision for income taxes on continuing operations</w:t>
            </w:r>
            <w:r>
              <w:rPr>
                <w:rFonts w:ascii="Arial" w:cs="Arial" w:eastAsia="Arial" w:hAnsi="Arial"/>
                <w:sz w:val="15"/>
                <w:szCs w:val="15"/>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4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1060" w:hanging="424"/>
        <w:spacing w:after="0" w:line="253" w:lineRule="auto"/>
        <w:tabs>
          <w:tab w:leader="none" w:pos="1060" w:val="left"/>
        </w:tabs>
        <w:numPr>
          <w:ilvl w:val="1"/>
          <w:numId w:val="186"/>
        </w:numPr>
        <w:rPr>
          <w:rFonts w:ascii="Arial" w:cs="Arial" w:eastAsia="Arial" w:hAnsi="Arial"/>
          <w:sz w:val="14"/>
          <w:szCs w:val="14"/>
          <w:color w:val="auto"/>
        </w:rPr>
      </w:pPr>
      <w:r>
        <w:rPr>
          <w:rFonts w:ascii="Arial" w:cs="Arial" w:eastAsia="Arial" w:hAnsi="Arial"/>
          <w:sz w:val="14"/>
          <w:szCs w:val="14"/>
          <w:color w:val="auto"/>
        </w:rPr>
        <w:t>Represents the income tax effect of the elimination of one-time transaction costs directly attributable to the expected distribution transactions calculated using enacted statutory tax rates applicable in each period at the legal entity in which the pre-tax adjustments were made.</w:t>
      </w:r>
    </w:p>
    <w:p>
      <w:pPr>
        <w:spacing w:after="0" w:line="83" w:lineRule="exact"/>
        <w:rPr>
          <w:rFonts w:ascii="Arial" w:cs="Arial" w:eastAsia="Arial" w:hAnsi="Arial"/>
          <w:sz w:val="14"/>
          <w:szCs w:val="14"/>
          <w:color w:val="auto"/>
        </w:rPr>
      </w:pPr>
    </w:p>
    <w:p>
      <w:pPr>
        <w:ind w:left="640" w:hanging="436"/>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Adjustment reflects the impact of certain manufacturing, leasing and supply agreements executed in connection with the separation:</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For the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For the</w:t>
            </w: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4700" w:type="dxa"/>
            <w:vAlign w:val="bottom"/>
          </w:tcPr>
          <w:p>
            <w:pPr>
              <w:spacing w:after="0"/>
              <w:rPr>
                <w:sz w:val="12"/>
                <w:szCs w:val="12"/>
                <w:color w:val="auto"/>
              </w:rPr>
            </w:pP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60" w:type="dxa"/>
            <w:vAlign w:val="bottom"/>
          </w:tcPr>
          <w:p>
            <w:pPr>
              <w:spacing w:after="0"/>
              <w:rPr>
                <w:sz w:val="12"/>
                <w:szCs w:val="12"/>
                <w:color w:val="auto"/>
              </w:rPr>
            </w:pPr>
          </w:p>
        </w:tc>
        <w:tc>
          <w:tcPr>
            <w:tcW w:w="182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9"/>
        </w:trPr>
        <w:tc>
          <w:tcPr>
            <w:tcW w:w="47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2"/>
                <w:szCs w:val="12"/>
                <w:color w:val="auto"/>
              </w:rPr>
            </w:pP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7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2017</w:t>
            </w:r>
          </w:p>
        </w:tc>
        <w:tc>
          <w:tcPr>
            <w:tcW w:w="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02"/>
        </w:trPr>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for income taxes on continuing</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r>
              <w:rPr>
                <w:rFonts w:ascii="Arial" w:cs="Arial" w:eastAsia="Arial" w:hAnsi="Arial"/>
                <w:sz w:val="15"/>
                <w:szCs w:val="15"/>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7" w:lineRule="exact"/>
        <w:rPr>
          <w:sz w:val="20"/>
          <w:szCs w:val="20"/>
          <w:color w:val="auto"/>
        </w:rPr>
      </w:pPr>
    </w:p>
    <w:p>
      <w:pPr>
        <w:ind w:left="1060" w:right="560" w:hanging="424"/>
        <w:spacing w:after="0" w:line="253" w:lineRule="auto"/>
        <w:tabs>
          <w:tab w:leader="none" w:pos="1060" w:val="left"/>
        </w:tabs>
        <w:numPr>
          <w:ilvl w:val="1"/>
          <w:numId w:val="188"/>
        </w:numPr>
        <w:rPr>
          <w:rFonts w:ascii="Arial" w:cs="Arial" w:eastAsia="Arial" w:hAnsi="Arial"/>
          <w:sz w:val="14"/>
          <w:szCs w:val="14"/>
          <w:color w:val="auto"/>
        </w:rPr>
      </w:pPr>
      <w:r>
        <w:rPr>
          <w:rFonts w:ascii="Arial" w:cs="Arial" w:eastAsia="Arial" w:hAnsi="Arial"/>
          <w:sz w:val="14"/>
          <w:szCs w:val="14"/>
          <w:color w:val="auto"/>
        </w:rPr>
        <w:t>Represents the income tax effect of the supply agreements calculated using enacted statutory tax rates applicable in each period at the legal entity in which the pre-tax adjustments were made.</w:t>
      </w:r>
    </w:p>
    <w:p>
      <w:pPr>
        <w:spacing w:after="0" w:line="83" w:lineRule="exact"/>
        <w:rPr>
          <w:rFonts w:ascii="Arial" w:cs="Arial" w:eastAsia="Arial" w:hAnsi="Arial"/>
          <w:sz w:val="14"/>
          <w:szCs w:val="14"/>
          <w:color w:val="auto"/>
        </w:rPr>
      </w:pPr>
    </w:p>
    <w:p>
      <w:pPr>
        <w:ind w:left="640" w:right="120" w:hanging="436"/>
        <w:spacing w:after="0" w:line="279" w:lineRule="auto"/>
        <w:tabs>
          <w:tab w:leader="none" w:pos="6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Reflects the impact on the (benefit from) provision for income taxes on continuing operations for Corteva, as if Historical DuPont and Dow AgroSciences were consolidated affiliates for the Successor periods. For the year ended December 31, 2017, an income tax benefit was recorded to reflect the removal of a $378 million valuation allowance for Dow AgroSciences that was established during the period, and which will not transfer to Corteva as part of the common control combination of Dow AgroSciences. The valuation allowance was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312" w:lineRule="auto"/>
        <w:rPr>
          <w:sz w:val="20"/>
          <w:szCs w:val="20"/>
          <w:color w:val="auto"/>
        </w:rPr>
      </w:pPr>
      <w:r>
        <w:rPr>
          <w:rFonts w:ascii="Arial" w:cs="Arial" w:eastAsia="Arial" w:hAnsi="Arial"/>
          <w:sz w:val="16"/>
          <w:szCs w:val="16"/>
          <w:color w:val="auto"/>
        </w:rPr>
        <w:t>primarily related to a change in Dow AgroSciences’ ability, as a direct result of the Tax Cuts and Jobs Act (the “TCJA”), to generate and rely on sufficient levels of future foreign source income when assessing its foreign tax credits for realizability. For the year ended December 31, 2018, the consolidating adjustment reflects a benefit of $33 million resulting from the U.S. tax consolidation, inclusive of the impact of the TCJA.</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Debt Retirement Transactions Pro Forma Adjustments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 forma financial statements reflect the following adjustments related to the Debt Retirement Transactions:</w:t>
      </w:r>
    </w:p>
    <w:p>
      <w:pPr>
        <w:spacing w:after="0" w:line="131" w:lineRule="exact"/>
        <w:rPr>
          <w:sz w:val="20"/>
          <w:szCs w:val="20"/>
          <w:color w:val="auto"/>
        </w:rPr>
      </w:pPr>
    </w:p>
    <w:p>
      <w:pPr>
        <w:ind w:left="640" w:hanging="436"/>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Adjustment to cash represents the following:</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740" w:type="dxa"/>
            <w:vAlign w:val="bottom"/>
            <w:gridSpan w:val="4"/>
          </w:tcPr>
          <w:p>
            <w:pPr>
              <w:ind w:left="1440"/>
              <w:spacing w:after="0"/>
              <w:rPr>
                <w:sz w:val="20"/>
                <w:szCs w:val="20"/>
                <w:color w:val="auto"/>
              </w:rPr>
            </w:pPr>
            <w:r>
              <w:rPr>
                <w:rFonts w:ascii="Arial" w:cs="Arial" w:eastAsia="Arial" w:hAnsi="Arial"/>
                <w:sz w:val="14"/>
                <w:szCs w:val="14"/>
                <w:b w:val="1"/>
                <w:bCs w:val="1"/>
                <w:color w:val="auto"/>
                <w:w w:val="98"/>
              </w:rPr>
              <w:t>As of December 31,</w:t>
            </w:r>
          </w:p>
        </w:tc>
      </w:tr>
      <w:tr>
        <w:trPr>
          <w:trHeight w:val="171"/>
        </w:trPr>
        <w:tc>
          <w:tcPr>
            <w:tcW w:w="47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14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contribution from DowDuPont</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Payment of fees and expenses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Pay off or retirement of outstanding liabilities</w:t>
            </w:r>
          </w:p>
        </w:tc>
        <w:tc>
          <w:tcPr>
            <w:tcW w:w="17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Pay off of accrued interest</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adjustment to cash</w:t>
            </w:r>
          </w:p>
        </w:tc>
        <w:tc>
          <w:tcPr>
            <w:tcW w:w="17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r>
    </w:tbl>
    <w:p>
      <w:pPr>
        <w:spacing w:after="0" w:line="229" w:lineRule="exact"/>
        <w:rPr>
          <w:sz w:val="20"/>
          <w:szCs w:val="20"/>
          <w:color w:val="auto"/>
        </w:rPr>
      </w:pPr>
    </w:p>
    <w:p>
      <w:pPr>
        <w:ind w:left="640" w:hanging="436"/>
        <w:spacing w:after="0"/>
        <w:tabs>
          <w:tab w:leader="none" w:pos="6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Adjustment to short-term borrowings and capital lease obligations and long-term debt represents the following:</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1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62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 off of outstanding liabilities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Write-off of associated fair value adjustment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adjustment to short-term borrowings and capital lease obligations</w:t>
            </w:r>
          </w:p>
        </w:tc>
        <w:tc>
          <w:tcPr>
            <w:tcW w:w="10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Pay off of outstanding liabilities</w:t>
            </w:r>
          </w:p>
        </w:tc>
        <w:tc>
          <w:tcPr>
            <w:tcW w:w="10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(5,530)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Write-off of associated debt issuance costs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Write-off of associated fair value adjustment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adjustment to long-term debt</w:t>
            </w:r>
          </w:p>
        </w:tc>
        <w:tc>
          <w:tcPr>
            <w:tcW w:w="10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(5,605)</w:t>
            </w:r>
          </w:p>
        </w:tc>
      </w:tr>
    </w:tbl>
    <w:p>
      <w:pPr>
        <w:spacing w:after="0" w:line="107" w:lineRule="exact"/>
        <w:rPr>
          <w:sz w:val="20"/>
          <w:szCs w:val="20"/>
          <w:color w:val="auto"/>
        </w:rPr>
      </w:pPr>
    </w:p>
    <w:p>
      <w:pPr>
        <w:ind w:left="640" w:hanging="436"/>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pay off of $41 million of accrued interest related to the above noted outstanding liabilities.</w:t>
      </w:r>
    </w:p>
    <w:p>
      <w:pPr>
        <w:spacing w:after="0" w:line="130" w:lineRule="exact"/>
        <w:rPr>
          <w:rFonts w:ascii="Arial" w:cs="Arial" w:eastAsia="Arial" w:hAnsi="Arial"/>
          <w:sz w:val="18"/>
          <w:szCs w:val="18"/>
          <w:color w:val="auto"/>
        </w:rPr>
      </w:pPr>
    </w:p>
    <w:p>
      <w:pPr>
        <w:jc w:val="both"/>
        <w:ind w:left="640" w:right="140" w:hanging="436"/>
        <w:spacing w:after="0" w:line="264" w:lineRule="auto"/>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Adjustment to derecognize a $26 million deferred tax asset associated with the pay off of the company’s long-term borrowings. The deferred tax asset was recognized in relation to the fair value determination of the company’s long-term borrowings as a result of the Merger and is included within deferred tax liabilities of Historical DuPont due to jurisdictional netting.</w:t>
      </w:r>
    </w:p>
    <w:p>
      <w:pPr>
        <w:spacing w:after="0" w:line="86" w:lineRule="exact"/>
        <w:rPr>
          <w:rFonts w:ascii="Arial" w:cs="Arial" w:eastAsia="Arial" w:hAnsi="Arial"/>
          <w:sz w:val="18"/>
          <w:szCs w:val="18"/>
          <w:color w:val="auto"/>
        </w:rPr>
      </w:pPr>
    </w:p>
    <w:p>
      <w:pPr>
        <w:ind w:left="640" w:right="40" w:hanging="436"/>
        <w:spacing w:after="0" w:line="277" w:lineRule="auto"/>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Represents the removal of the loss on early debt extinguishment of $81 million for the year ended December 31, 2018, as it is directly attributable to the Debt Retirement Transactions and will not have a continuing impact.</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Adjustment to interest expense represents the following:</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For the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For the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820" w:type="dxa"/>
            <w:vAlign w:val="bottom"/>
            <w:gridSpan w:val="4"/>
          </w:tcPr>
          <w:p>
            <w:pPr>
              <w:jc w:val="center"/>
              <w:ind w:left="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gridSpan w:val="4"/>
          </w:tcPr>
          <w:p>
            <w:pPr>
              <w:jc w:val="center"/>
              <w:ind w:left="219"/>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3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2017</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Removal of amortization of the fair value adjustment to debt</w:t>
            </w:r>
            <w:r>
              <w:rPr>
                <w:rFonts w:ascii="Arial" w:cs="Arial" w:eastAsia="Arial" w:hAnsi="Arial"/>
                <w:sz w:val="15"/>
                <w:szCs w:val="15"/>
                <w:color w:val="auto"/>
              </w:rPr>
              <w:t>(1)</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Removal of Historical DuPont interest expense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(347)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Removal of amortization of Historical DuPont debt issuance costs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20"/>
                <w:szCs w:val="20"/>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Total adjustment to interest expense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(217)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960" w:hanging="432"/>
        <w:spacing w:after="0"/>
        <w:tabs>
          <w:tab w:leader="none" w:pos="96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See note 4(f) for further details regarding the merger related interest expense pro forma adjustments.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60"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hanging="436"/>
        <w:spacing w:after="0" w:line="277" w:lineRule="auto"/>
        <w:tabs>
          <w:tab w:leader="none" w:pos="6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Adjustment to record the income tax impact of the debt retirement pro forma adjustments using a blended federal and state rate of 23% for the year ended December 31, 2018 and 36% for the years ended December 31, 2017 and 2016.</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Adjustment to equity for the separation and Debt Retirement Transactions pro forma adjustments represents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As of December 31, 2018</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right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Retained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Additional</w:t>
            </w: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Common</w:t>
            </w:r>
          </w:p>
        </w:tc>
        <w:tc>
          <w:tcPr>
            <w:tcW w:w="40" w:type="dxa"/>
            <w:vAlign w:val="bottom"/>
          </w:tcPr>
          <w:p>
            <w:pPr>
              <w:spacing w:after="0"/>
              <w:rPr>
                <w:sz w:val="10"/>
                <w:szCs w:val="10"/>
                <w:color w:val="auto"/>
              </w:rPr>
            </w:pPr>
          </w:p>
        </w:tc>
      </w:tr>
      <w:tr>
        <w:trPr>
          <w:trHeight w:val="171"/>
        </w:trPr>
        <w:tc>
          <w:tcPr>
            <w:tcW w:w="41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Borders>
              <w:right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Earnings</w:t>
            </w:r>
          </w:p>
        </w:tc>
        <w:tc>
          <w:tcPr>
            <w:tcW w:w="21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Paid-In Capital</w:t>
            </w:r>
          </w:p>
        </w:tc>
        <w:tc>
          <w:tcPr>
            <w:tcW w:w="34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Removal of Telone</w:t>
            </w:r>
            <w:r>
              <w:rPr>
                <w:rFonts w:ascii="Arial" w:cs="Arial" w:eastAsia="Arial" w:hAnsi="Arial"/>
                <w:sz w:val="15"/>
                <w:szCs w:val="15"/>
                <w:color w:val="auto"/>
              </w:rPr>
              <w:t>®</w:t>
            </w:r>
            <w:r>
              <w:rPr>
                <w:rFonts w:ascii="Arial" w:cs="Arial" w:eastAsia="Arial" w:hAnsi="Arial"/>
                <w:sz w:val="18"/>
                <w:szCs w:val="18"/>
                <w:color w:val="auto"/>
              </w:rPr>
              <w:t xml:space="preserve"> business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tcBorders>
              <w:top w:val="single" w:sz="8" w:color="CCEEFF"/>
              <w:right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Adjustment to include amount due to Dow for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(63)</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Removal of Dow AgroSciences litigation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w w:val="96"/>
              </w:rPr>
              <w:t>Removal of Dow AgroSciences Pension Liability (net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of tax)</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to include tax indemnifications and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remove Dow AgroSciences tax receivables and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payables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tcBorders>
              <w:right w:val="single" w:sz="8" w:color="auto"/>
            </w:tcBorders>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Adjustment to include expected common 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contribution from DowDuPont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Payment of fees and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(79)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Write-off of associated fair value adjustment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0" w:type="dxa"/>
            <w:vAlign w:val="bottom"/>
            <w:tcBorders>
              <w:right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Write-off of unamortized debt issuance costs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Adjustment to deferred tax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Total adjustment to equity</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5,764</w:t>
            </w:r>
          </w:p>
        </w:tc>
        <w:tc>
          <w:tcPr>
            <w:tcW w:w="4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4—MERGER-RELATED PRO FORMA ADJUSTMENTS</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unaudited pro forma combined statements of income reflect the following adjustments that are directly attributable to the Merger and expected to have a continuing impact on Corteva:</w:t>
      </w:r>
    </w:p>
    <w:p>
      <w:pPr>
        <w:spacing w:after="0" w:line="76" w:lineRule="exact"/>
        <w:rPr>
          <w:sz w:val="20"/>
          <w:szCs w:val="20"/>
          <w:color w:val="auto"/>
        </w:rPr>
      </w:pPr>
    </w:p>
    <w:p>
      <w:pPr>
        <w:ind w:left="640" w:right="220" w:hanging="436"/>
        <w:spacing w:after="0" w:line="264" w:lineRule="auto"/>
        <w:tabs>
          <w:tab w:leader="none" w:pos="6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Transactions between Dow AgroSciences and Historical DuPont have been eliminated as if Dow AgroSciences and Historical DuPont were consolidated affiliates for the entire period presented. Adjustment reflects the elimination of sales and cost of goods sold of $60 million for the period January 1 through August 31, 2017 and $78 million for the year ended December 31, 2016.</w:t>
      </w:r>
    </w:p>
    <w:p>
      <w:pPr>
        <w:spacing w:after="0" w:line="86" w:lineRule="exact"/>
        <w:rPr>
          <w:rFonts w:ascii="Arial" w:cs="Arial" w:eastAsia="Arial" w:hAnsi="Arial"/>
          <w:sz w:val="18"/>
          <w:szCs w:val="18"/>
          <w:color w:val="auto"/>
        </w:rPr>
      </w:pPr>
    </w:p>
    <w:p>
      <w:pPr>
        <w:ind w:left="640" w:hanging="436"/>
        <w:spacing w:after="0" w:line="312" w:lineRule="auto"/>
        <w:tabs>
          <w:tab w:leader="none" w:pos="6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Represents the removal of cost of goods sold of $1,554 million for the year ended December 31, 2018 and $425 million for the period September 1 through December 31, 2017, related to the amortization of Historical DuPont’s agriculture business’ inventory step-up recognized in connection with the Merger, as the incremental amortization is directly attributable to the Merger and will not have a continuing impact.</w:t>
      </w:r>
    </w:p>
    <w:p>
      <w:pPr>
        <w:spacing w:after="0" w:line="52" w:lineRule="exact"/>
        <w:rPr>
          <w:rFonts w:ascii="Arial" w:cs="Arial" w:eastAsia="Arial" w:hAnsi="Arial"/>
          <w:sz w:val="16"/>
          <w:szCs w:val="16"/>
          <w:color w:val="auto"/>
        </w:rPr>
      </w:pPr>
    </w:p>
    <w:p>
      <w:pPr>
        <w:ind w:left="640" w:right="40" w:hanging="436"/>
        <w:spacing w:after="0" w:line="342" w:lineRule="auto"/>
        <w:tabs>
          <w:tab w:leader="none" w:pos="6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Represents estimated additional depreciation expense related to the fair value adjustment to net property, plant and equipment of Historical DuPont’s agriculture business. The table below is a summary of the information used to calculate the pro forma increase in depreciation expense.</w:t>
      </w:r>
    </w:p>
    <w:p>
      <w:pPr>
        <w:spacing w:after="0" w:line="13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For the Year</w:t>
            </w:r>
          </w:p>
        </w:tc>
      </w:tr>
      <w:tr>
        <w:trPr>
          <w:trHeight w:val="149"/>
        </w:trPr>
        <w:tc>
          <w:tcPr>
            <w:tcW w:w="3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5"/>
              </w:rPr>
              <w:t>January 1 –</w:t>
            </w: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3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2"/>
              </w:rPr>
              <w:t>August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38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2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560" w:type="dxa"/>
            <w:vAlign w:val="bottom"/>
            <w:gridSpan w:val="2"/>
          </w:tcPr>
          <w:p>
            <w:pPr>
              <w:ind w:left="2480"/>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1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560" w:type="dxa"/>
            <w:vAlign w:val="bottom"/>
            <w:gridSpan w:val="2"/>
            <w:shd w:val="clear" w:color="auto" w:fill="CCEEFF"/>
          </w:tcPr>
          <w:p>
            <w:pPr>
              <w:ind w:left="2480"/>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486"/>
        </w:trPr>
        <w:tc>
          <w:tcPr>
            <w:tcW w:w="3880" w:type="dxa"/>
            <w:vAlign w:val="bottom"/>
          </w:tcPr>
          <w:p>
            <w:pPr>
              <w:spacing w:after="0"/>
              <w:rPr>
                <w:sz w:val="24"/>
                <w:szCs w:val="24"/>
                <w:color w:val="auto"/>
              </w:rPr>
            </w:pPr>
          </w:p>
        </w:tc>
        <w:tc>
          <w:tcPr>
            <w:tcW w:w="2480" w:type="dxa"/>
            <w:vAlign w:val="bottom"/>
          </w:tcPr>
          <w:p>
            <w:pPr>
              <w:jc w:val="right"/>
              <w:ind w:right="156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240" w:top="460" w:right="5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308" w:lineRule="auto"/>
        <w:tabs>
          <w:tab w:leader="none" w:pos="6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Represents estimated additional amortization expense of $122 million for the period January 1 through August 31, 2017 and $184 million for the year ended December 31, 2016 related to the fair value adjustment to Historical DuPont’s agriculture business’ intangible assets.</w:t>
      </w:r>
    </w:p>
    <w:p>
      <w:pPr>
        <w:spacing w:after="0" w:line="51" w:lineRule="exact"/>
        <w:rPr>
          <w:rFonts w:ascii="Arial" w:cs="Arial" w:eastAsia="Arial" w:hAnsi="Arial"/>
          <w:sz w:val="17"/>
          <w:szCs w:val="17"/>
          <w:color w:val="auto"/>
        </w:rPr>
      </w:pPr>
    </w:p>
    <w:p>
      <w:pPr>
        <w:ind w:left="640" w:right="140" w:hanging="436"/>
        <w:spacing w:after="0" w:line="291" w:lineRule="auto"/>
        <w:tabs>
          <w:tab w:leader="none" w:pos="6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Represents the elimination of one-time transaction costs directly attributable to the Merger. Transaction costs of $168 million for the year ended December 31, 2017 and $147 million for the year ended December 31, 2016 were eliminated from integration and separation costs and</w:t>
      </w:r>
    </w:p>
    <w:p>
      <w:pPr>
        <w:ind w:left="640"/>
        <w:spacing w:after="0"/>
        <w:rPr>
          <w:rFonts w:ascii="Arial" w:cs="Arial" w:eastAsia="Arial" w:hAnsi="Arial"/>
          <w:sz w:val="16"/>
          <w:szCs w:val="16"/>
          <w:color w:val="auto"/>
        </w:rPr>
      </w:pPr>
      <w:r>
        <w:rPr>
          <w:rFonts w:ascii="Arial" w:cs="Arial" w:eastAsia="Arial" w:hAnsi="Arial"/>
          <w:sz w:val="17"/>
          <w:szCs w:val="17"/>
          <w:color w:val="auto"/>
        </w:rPr>
        <w:t>$10 million was eliminated from restructuring and asset-related charges (benefits)—net for the period January 1 through August 31, 2017.</w:t>
      </w:r>
    </w:p>
    <w:p>
      <w:pPr>
        <w:spacing w:after="0" w:line="127" w:lineRule="exact"/>
        <w:rPr>
          <w:rFonts w:ascii="Arial" w:cs="Arial" w:eastAsia="Arial" w:hAnsi="Arial"/>
          <w:sz w:val="16"/>
          <w:szCs w:val="16"/>
          <w:color w:val="auto"/>
        </w:rPr>
      </w:pPr>
    </w:p>
    <w:p>
      <w:pPr>
        <w:ind w:left="640" w:right="180" w:hanging="436"/>
        <w:spacing w:after="0" w:line="277" w:lineRule="auto"/>
        <w:tabs>
          <w:tab w:leader="none" w:pos="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Represents a reduction of interest expense of $80 million for the period January 1 through August 31, 2017 and $120 million for the year ended December 31, 2016 related to the amortization of the fair value adjustment to Historical DuPont’s long-term debt.</w:t>
      </w:r>
    </w:p>
    <w:p>
      <w:pPr>
        <w:spacing w:after="0" w:line="75" w:lineRule="exact"/>
        <w:rPr>
          <w:rFonts w:ascii="Arial" w:cs="Arial" w:eastAsia="Arial" w:hAnsi="Arial"/>
          <w:sz w:val="18"/>
          <w:szCs w:val="18"/>
          <w:color w:val="auto"/>
        </w:rPr>
      </w:pPr>
    </w:p>
    <w:p>
      <w:pPr>
        <w:ind w:left="640" w:hanging="436"/>
        <w:spacing w:after="0" w:line="277" w:lineRule="auto"/>
        <w:tabs>
          <w:tab w:leader="none" w:pos="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Represents the income tax effect of the pro forma adjustments related to the Merger calculated using enacted statutory tax rates applicable in each period at the legal entity in which the pre-tax adjustments were made.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5—CORTEVA EARNINGS (LOSS) PER SHARE INFORMATION</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Pro forma net income (loss) attributable to Corteva common stockholders is used as the numerator for basic and diluted pro forma net income (loss) per share in each respective period.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contain reconciliations of the denominator for basic and diluted earnings per share calculations for the periods indicated:</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4"/>
                <w:szCs w:val="14"/>
                <w:i w:val="1"/>
                <w:iCs w:val="1"/>
                <w:color w:val="auto"/>
                <w:w w:val="92"/>
              </w:rPr>
              <w:t>For the Year</w:t>
            </w: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i w:val="1"/>
                <w:iCs w:val="1"/>
                <w:color w:val="auto"/>
                <w:w w:val="92"/>
              </w:rPr>
              <w:t>For the Year</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w w:val="92"/>
              </w:rPr>
              <w:t>For the Year</w:t>
            </w:r>
          </w:p>
        </w:tc>
      </w:tr>
      <w:tr>
        <w:trPr>
          <w:trHeight w:val="149"/>
        </w:trPr>
        <w:tc>
          <w:tcPr>
            <w:tcW w:w="534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i w:val="1"/>
                <w:iCs w:val="1"/>
                <w:color w:val="auto"/>
                <w:w w:val="93"/>
              </w:rPr>
              <w:t>Ended</w:t>
            </w: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i w:val="1"/>
                <w:iCs w:val="1"/>
                <w:color w:val="auto"/>
                <w:w w:val="88"/>
              </w:rPr>
              <w:t>Ended</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i w:val="1"/>
                <w:iCs w:val="1"/>
                <w:color w:val="auto"/>
                <w:w w:val="88"/>
              </w:rPr>
              <w:t>Ended</w:t>
            </w:r>
          </w:p>
        </w:tc>
      </w:tr>
      <w:tr>
        <w:trPr>
          <w:trHeight w:val="149"/>
        </w:trPr>
        <w:tc>
          <w:tcPr>
            <w:tcW w:w="534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i w:val="1"/>
                <w:iCs w:val="1"/>
                <w:color w:val="auto"/>
                <w:w w:val="93"/>
              </w:rPr>
              <w:t>December 31,</w:t>
            </w: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i w:val="1"/>
                <w:iCs w:val="1"/>
                <w:color w:val="auto"/>
                <w:w w:val="90"/>
              </w:rPr>
              <w:t>December 31,</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i w:val="1"/>
                <w:iCs w:val="1"/>
                <w:color w:val="auto"/>
                <w:w w:val="90"/>
              </w:rPr>
              <w:t>December 31,</w:t>
            </w:r>
          </w:p>
        </w:tc>
      </w:tr>
      <w:tr>
        <w:trPr>
          <w:trHeight w:val="167"/>
        </w:trPr>
        <w:tc>
          <w:tcPr>
            <w:tcW w:w="5340" w:type="dxa"/>
            <w:vAlign w:val="bottom"/>
            <w:tcBorders>
              <w:bottom w:val="single" w:sz="8" w:color="CCEEFF"/>
            </w:tcBorders>
          </w:tcPr>
          <w:p>
            <w:pPr>
              <w:ind w:left="1780"/>
              <w:spacing w:after="0"/>
              <w:rPr>
                <w:sz w:val="20"/>
                <w:szCs w:val="20"/>
                <w:color w:val="auto"/>
              </w:rPr>
            </w:pPr>
            <w:r>
              <w:rPr>
                <w:rFonts w:ascii="Arial" w:cs="Arial" w:eastAsia="Arial" w:hAnsi="Arial"/>
                <w:sz w:val="14"/>
                <w:szCs w:val="14"/>
                <w:i w:val="1"/>
                <w:iCs w:val="1"/>
                <w:color w:val="auto"/>
              </w:rPr>
              <w:t>(Shares in millions)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6"/>
              </w:rPr>
              <w:t>2018</w:t>
            </w:r>
          </w:p>
        </w:tc>
        <w:tc>
          <w:tcPr>
            <w:tcW w:w="7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89"/>
              </w:rPr>
              <w:t>2017</w:t>
            </w:r>
          </w:p>
        </w:tc>
        <w:tc>
          <w:tcPr>
            <w:tcW w:w="7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89"/>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DowDuPont common shares outstanding</w:t>
            </w:r>
            <w:r>
              <w:rPr>
                <w:rFonts w:ascii="Arial" w:cs="Arial" w:eastAsia="Arial" w:hAnsi="Arial"/>
                <w:sz w:val="15"/>
                <w:szCs w:val="15"/>
                <w:color w:val="auto"/>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2,241.7</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2,241.7</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2,241.7</w:t>
            </w: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Distribution ratio</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7"/>
        </w:trPr>
        <w:tc>
          <w:tcPr>
            <w:tcW w:w="5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Corteva pro forma common shares outstanding – basic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747.2</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Dilutive impact of Historical Dow equity-based awards</w:t>
            </w:r>
            <w:r>
              <w:rPr>
                <w:rFonts w:ascii="Arial" w:cs="Arial" w:eastAsia="Arial" w:hAnsi="Arial"/>
                <w:sz w:val="15"/>
                <w:szCs w:val="15"/>
                <w:color w:val="auto"/>
              </w:rPr>
              <w:t>(2)</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7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Dilutive impact of Historical DuPont equity-based awards</w:t>
            </w:r>
            <w:r>
              <w:rPr>
                <w:rFonts w:ascii="Arial" w:cs="Arial" w:eastAsia="Arial" w:hAnsi="Arial"/>
                <w:sz w:val="15"/>
                <w:szCs w:val="15"/>
                <w:color w:val="auto"/>
              </w:rPr>
              <w:t>(3)</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Dilutive impact of DowDuPont equity-based awards</w:t>
            </w:r>
            <w:r>
              <w:rPr>
                <w:rFonts w:ascii="Arial" w:cs="Arial" w:eastAsia="Arial" w:hAnsi="Arial"/>
                <w:sz w:val="15"/>
                <w:szCs w:val="15"/>
                <w:color w:val="auto"/>
              </w:rPr>
              <w:t>(4)</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diluted impact of DowDuPont common shares</w:t>
            </w: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Distribution ratio</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1:3</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diluted impact of Corteva common shares</w:t>
            </w: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r>
              <w:rPr>
                <w:rFonts w:ascii="Arial" w:cs="Arial" w:eastAsia="Arial" w:hAnsi="Arial"/>
                <w:sz w:val="15"/>
                <w:szCs w:val="15"/>
                <w:color w:val="auto"/>
              </w:rPr>
              <w:t>(5)</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05"/>
        </w:trPr>
        <w:tc>
          <w:tcPr>
            <w:tcW w:w="5340" w:type="dxa"/>
            <w:vAlign w:val="bottom"/>
          </w:tcPr>
          <w:p>
            <w:pPr>
              <w:ind w:left="360"/>
              <w:spacing w:after="0" w:line="205" w:lineRule="exact"/>
              <w:rPr>
                <w:sz w:val="20"/>
                <w:szCs w:val="20"/>
                <w:color w:val="auto"/>
              </w:rPr>
            </w:pPr>
            <w:r>
              <w:rPr>
                <w:rFonts w:ascii="Arial" w:cs="Arial" w:eastAsia="Arial" w:hAnsi="Arial"/>
                <w:sz w:val="18"/>
                <w:szCs w:val="18"/>
                <w:b w:val="1"/>
                <w:bCs w:val="1"/>
                <w:color w:val="auto"/>
              </w:rPr>
              <w:t>Corteva pro forma common shares outstanding –</w:t>
            </w:r>
          </w:p>
        </w:tc>
        <w:tc>
          <w:tcPr>
            <w:tcW w:w="82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340" w:type="dxa"/>
            <w:vAlign w:val="bottom"/>
          </w:tcPr>
          <w:p>
            <w:pPr>
              <w:ind w:left="540"/>
              <w:spacing w:after="0"/>
              <w:rPr>
                <w:sz w:val="20"/>
                <w:szCs w:val="20"/>
                <w:color w:val="auto"/>
              </w:rPr>
            </w:pPr>
            <w:r>
              <w:rPr>
                <w:rFonts w:ascii="Arial" w:cs="Arial" w:eastAsia="Arial" w:hAnsi="Arial"/>
                <w:sz w:val="18"/>
                <w:szCs w:val="18"/>
                <w:b w:val="1"/>
                <w:bCs w:val="1"/>
                <w:color w:val="auto"/>
              </w:rPr>
              <w:t>diluted</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747.2</w:t>
            </w:r>
          </w:p>
        </w:tc>
        <w:tc>
          <w:tcPr>
            <w:tcW w:w="820" w:type="dxa"/>
            <w:vAlign w:val="bottom"/>
          </w:tcPr>
          <w:p>
            <w:pPr>
              <w:jc w:val="right"/>
              <w:spacing w:after="0"/>
              <w:rPr>
                <w:sz w:val="20"/>
                <w:szCs w:val="20"/>
                <w:color w:val="auto"/>
              </w:rPr>
            </w:pPr>
            <w:r>
              <w:rPr>
                <w:rFonts w:ascii="Arial" w:cs="Arial" w:eastAsia="Arial" w:hAnsi="Arial"/>
                <w:sz w:val="18"/>
                <w:szCs w:val="18"/>
                <w:color w:val="auto"/>
              </w:rPr>
              <w:t>754.6</w:t>
            </w:r>
          </w:p>
        </w:tc>
        <w:tc>
          <w:tcPr>
            <w:tcW w:w="7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960" w:right="540" w:hanging="432"/>
        <w:spacing w:after="0" w:line="230" w:lineRule="auto"/>
        <w:tabs>
          <w:tab w:leader="none" w:pos="96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Based on 2,246.3 million DowDuPont common shares outstanding at March 31, 2019, less 4.6 million ESOP shares that had not been released and were not considered outstanding.</w:t>
      </w:r>
    </w:p>
    <w:p>
      <w:pPr>
        <w:ind w:left="960" w:right="40" w:hanging="432"/>
        <w:spacing w:after="0" w:line="238" w:lineRule="auto"/>
        <w:tabs>
          <w:tab w:leader="none" w:pos="96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Reflects share amounts as reported by Historical Dow for the periods presented. The share amount in the year ended December 31, 2017, reflects a weighted averaging effect of Historical Dow shares outstanding prior to August 31, 2017. On December 30, 2016, Historical Dow converted 4 million shares of Historical Dow preferred stock into</w:t>
      </w:r>
    </w:p>
    <w:p>
      <w:pPr>
        <w:ind w:left="960"/>
        <w:spacing w:after="0"/>
        <w:rPr>
          <w:rFonts w:ascii="Arial" w:cs="Arial" w:eastAsia="Arial" w:hAnsi="Arial"/>
          <w:sz w:val="13"/>
          <w:szCs w:val="13"/>
          <w:color w:val="auto"/>
        </w:rPr>
      </w:pPr>
      <w:r>
        <w:rPr>
          <w:rFonts w:ascii="Arial" w:cs="Arial" w:eastAsia="Arial" w:hAnsi="Arial"/>
          <w:sz w:val="14"/>
          <w:szCs w:val="14"/>
          <w:color w:val="auto"/>
        </w:rPr>
        <w:t>96.8 million shares of Historical Dow common stock.</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240" w:top="459" w:right="5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960" w:right="140" w:hanging="432"/>
        <w:spacing w:after="0" w:line="248" w:lineRule="auto"/>
        <w:tabs>
          <w:tab w:leader="none" w:pos="96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Reflects share amounts as reported by Historical DuPont in its Annual Report on Form 10-K for the periods presented, multiplied by the merger agreement conversion ratio of 1.2820. The share amount shown in the year ended December 31, 2017, reflects a weighted averaging effect of Historical DuPont shares outstanding prior to August 31, 2017.</w:t>
      </w:r>
    </w:p>
    <w:p>
      <w:pPr>
        <w:ind w:left="960" w:hanging="432"/>
        <w:spacing w:after="0"/>
        <w:tabs>
          <w:tab w:leader="none" w:pos="960" w:val="left"/>
        </w:tabs>
        <w:numPr>
          <w:ilvl w:val="0"/>
          <w:numId w:val="198"/>
        </w:numPr>
        <w:rPr>
          <w:rFonts w:ascii="Arial" w:cs="Arial" w:eastAsia="Arial" w:hAnsi="Arial"/>
          <w:sz w:val="13"/>
          <w:szCs w:val="13"/>
          <w:color w:val="auto"/>
        </w:rPr>
      </w:pPr>
      <w:r>
        <w:rPr>
          <w:rFonts w:ascii="Arial" w:cs="Arial" w:eastAsia="Arial" w:hAnsi="Arial"/>
          <w:sz w:val="13"/>
          <w:szCs w:val="13"/>
          <w:color w:val="auto"/>
        </w:rPr>
        <w:t>The DowDuPont share amount for the year ended December 31, 2017, reflects a weighted averaging effect of DowDuPont shares outstanding after August 31, 2017.</w:t>
      </w:r>
    </w:p>
    <w:p>
      <w:pPr>
        <w:ind w:left="960" w:right="140" w:hanging="432"/>
        <w:spacing w:after="0" w:line="237" w:lineRule="auto"/>
        <w:tabs>
          <w:tab w:leader="none" w:pos="96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For the year ended December 31, 2018, diluted earnings per share does not consider the impact of potentially dilutive securities because the inclusion of the potential common shares would have an anti-dilutive effect.</w:t>
      </w:r>
    </w:p>
    <w:p>
      <w:pPr>
        <w:spacing w:after="0" w:line="188" w:lineRule="exact"/>
        <w:rPr>
          <w:sz w:val="20"/>
          <w:szCs w:val="20"/>
          <w:color w:val="auto"/>
        </w:rPr>
      </w:pPr>
    </w:p>
    <w:p>
      <w:pPr>
        <w:ind w:left="200" w:right="120"/>
        <w:spacing w:after="0" w:line="270" w:lineRule="auto"/>
        <w:rPr>
          <w:sz w:val="20"/>
          <w:szCs w:val="20"/>
          <w:color w:val="auto"/>
        </w:rPr>
      </w:pPr>
      <w:r>
        <w:rPr>
          <w:rFonts w:ascii="Arial" w:cs="Arial" w:eastAsia="Arial" w:hAnsi="Arial"/>
          <w:sz w:val="17"/>
          <w:szCs w:val="17"/>
          <w:color w:val="auto"/>
        </w:rPr>
        <w:t>The unaudited pro forma diluted earnings per common share and pro forma weighted-average diluted shares outstanding give effect to the potential dilution from common shares related to stock-based awards granted to our employees under Historical Dow and Historical DuPont’s stock-based compensation programs for periods prior to the Merger, and under DowDuPont’s stock-based compensation programs for periods subsequent to the consummation of the Merger. This calculation may not be indicative of the dilutive effect that will actually result from Corteva’s stock-based awards issued in connection with the adjustment of outstanding DowDuPont stock-based awards or the grant of new stock-based awards. The number of dilutive shares of common stock underlying Corteva’s stock-based awards issued in connection with the adjustment of outstanding DowDuPont stock-based awards will not be determined until the distribution date or shortly thereafter. For the purposes of preparing the unaudited pro forma diluted earnings per common share and pro forma weighted-average diluted shares, we believe an estimate based on applying the distribution ratio to the weighted-average pro forma DowDuPont diluted shares outstanding for each respective period provides a reasonable approximation of the potential dilutive effect of the stock-based awards.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6—INTERNAL REORGANIZATION AND BUSINESS REALIGNMENT</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pro forma financial statements, as shown below, present the pro forma results of operations and financial position of Historical DuPont, after giving effect to the following transactions:</w:t>
      </w:r>
    </w:p>
    <w:p>
      <w:pPr>
        <w:spacing w:after="0" w:line="76" w:lineRule="exact"/>
        <w:rPr>
          <w:sz w:val="20"/>
          <w:szCs w:val="20"/>
          <w:color w:val="auto"/>
        </w:rPr>
      </w:pPr>
    </w:p>
    <w:p>
      <w:pPr>
        <w:ind w:left="1060" w:right="240" w:hanging="316"/>
        <w:spacing w:after="0" w:line="277" w:lineRule="auto"/>
        <w:tabs>
          <w:tab w:leader="none" w:pos="10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Internal Reorganization and Business Realignment of Historical DuPont’s materials science and specialty products businesses, which are reflected in all periods below as discontinued operations, in accordance with ASC 205.</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Acquisition of Dow AgroSciences, which is reflected from September 1, 2017 onward as a transfer between entities under common control.</w:t>
      </w:r>
    </w:p>
    <w:p>
      <w:pPr>
        <w:spacing w:after="0" w:line="248"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Pro forma adjustments reflecting the above transactions are expected to be reflected in Corteva’s retrospectively revised historical financial statements, beginning in the second quarter of 2019. The pro forma financial statements do not reflect what Corteva’s results of operations or financial position would have been on a stand-alone basis and are not necessarily indicative of Corteva’s future results of operations or financial position.</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60"/>
          </w:cols>
          <w:pgMar w:left="240" w:top="460"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Corteva, Inc. Unaudited Pro Forma Combined Balance Sheet as of December 31, 2018</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Dow</w:t>
            </w:r>
          </w:p>
        </w:tc>
        <w:tc>
          <w:tcPr>
            <w:tcW w:w="11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Discontinued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Historical</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Corteva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71"/>
        </w:trPr>
        <w:tc>
          <w:tcPr>
            <w:tcW w:w="4740" w:type="dxa"/>
            <w:vAlign w:val="bottom"/>
            <w:gridSpan w:val="6"/>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DuPont</w:t>
            </w:r>
          </w:p>
        </w:tc>
        <w:tc>
          <w:tcPr>
            <w:tcW w:w="1140" w:type="dxa"/>
            <w:vAlign w:val="bottom"/>
            <w:gridSpan w:val="4"/>
          </w:tcPr>
          <w:p>
            <w:pPr>
              <w:ind w:left="120"/>
              <w:spacing w:after="0"/>
              <w:rPr>
                <w:sz w:val="20"/>
                <w:szCs w:val="20"/>
                <w:color w:val="auto"/>
              </w:rPr>
            </w:pPr>
            <w:r>
              <w:rPr>
                <w:rFonts w:ascii="Arial" w:cs="Arial" w:eastAsia="Arial" w:hAnsi="Arial"/>
                <w:sz w:val="14"/>
                <w:szCs w:val="14"/>
                <w:b w:val="1"/>
                <w:bCs w:val="1"/>
                <w:color w:val="auto"/>
              </w:rPr>
              <w:t>AgroSciences</w:t>
            </w:r>
          </w:p>
        </w:tc>
        <w:tc>
          <w:tcPr>
            <w:tcW w:w="12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Operations</w:t>
            </w:r>
          </w:p>
        </w:tc>
        <w:tc>
          <w:tcPr>
            <w:tcW w:w="1280" w:type="dxa"/>
            <w:vAlign w:val="bottom"/>
            <w:gridSpan w:val="4"/>
          </w:tcPr>
          <w:p>
            <w:pPr>
              <w:ind w:left="14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(1)</w:t>
            </w:r>
          </w:p>
        </w:tc>
        <w:tc>
          <w:tcPr>
            <w:tcW w:w="500" w:type="dxa"/>
            <w:vAlign w:val="bottom"/>
          </w:tcPr>
          <w:p>
            <w:pPr>
              <w:spacing w:after="0"/>
              <w:rPr>
                <w:sz w:val="14"/>
                <w:szCs w:val="14"/>
                <w:color w:val="auto"/>
              </w:rPr>
            </w:pP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rPr>
              <w:t>Operations</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As Reported</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As Reported</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jc w:val="center"/>
              <w:ind w:right="2100"/>
              <w:spacing w:after="0" w:line="156" w:lineRule="exact"/>
              <w:rPr>
                <w:sz w:val="20"/>
                <w:szCs w:val="20"/>
                <w:color w:val="auto"/>
              </w:rPr>
            </w:pPr>
            <w:r>
              <w:rPr>
                <w:rFonts w:ascii="Arial" w:cs="Arial" w:eastAsia="Arial" w:hAnsi="Arial"/>
                <w:sz w:val="18"/>
                <w:szCs w:val="18"/>
                <w:b w:val="1"/>
                <w:bCs w:val="1"/>
                <w:color w:val="auto"/>
                <w:w w:val="81"/>
              </w:rPr>
              <w:t>Assets</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tcPr>
          <w:p>
            <w:pPr>
              <w:spacing w:after="0"/>
              <w:rPr>
                <w:sz w:val="18"/>
                <w:szCs w:val="18"/>
                <w:color w:val="auto"/>
              </w:rPr>
            </w:pPr>
          </w:p>
        </w:tc>
        <w:tc>
          <w:tcPr>
            <w:tcW w:w="210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ind w:left="3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5"/>
            <w:shd w:val="clear" w:color="auto" w:fill="CCEEFF"/>
          </w:tcPr>
          <w:p>
            <w:pPr>
              <w:ind w:left="340"/>
              <w:spacing w:after="0" w:line="201" w:lineRule="exact"/>
              <w:rPr>
                <w:sz w:val="20"/>
                <w:szCs w:val="20"/>
                <w:color w:val="auto"/>
              </w:rPr>
            </w:pPr>
            <w:r>
              <w:rPr>
                <w:rFonts w:ascii="Arial" w:cs="Arial" w:eastAsia="Arial" w:hAnsi="Arial"/>
                <w:sz w:val="18"/>
                <w:szCs w:val="18"/>
                <w:color w:val="auto"/>
              </w:rPr>
              <w:t>Accounts and notes receivable—net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ind w:left="3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Investment in nonconsolidated affiliates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b w:val="1"/>
                <w:bCs w:val="1"/>
                <w:color w:val="auto"/>
              </w:rPr>
              <w:t>Net property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b w:val="1"/>
                <w:bCs w:val="1"/>
                <w:color w:val="auto"/>
              </w:rPr>
              <w:t>Other intangible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(14,181)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101,025</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(65,558)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7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Liabilities and Equity</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ind w:left="340"/>
              <w:spacing w:after="0"/>
              <w:rPr>
                <w:sz w:val="20"/>
                <w:szCs w:val="20"/>
                <w:color w:val="auto"/>
              </w:rPr>
            </w:pPr>
            <w:r>
              <w:rPr>
                <w:rFonts w:ascii="Arial" w:cs="Arial" w:eastAsia="Arial" w:hAnsi="Arial"/>
                <w:sz w:val="18"/>
                <w:szCs w:val="18"/>
                <w:color w:val="auto"/>
              </w:rPr>
              <w:t>Short-term borrowings and capital lease obligations</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2,160</w:t>
            </w:r>
          </w:p>
        </w:tc>
        <w:tc>
          <w:tcPr>
            <w:tcW w:w="1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ind w:left="3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5"/>
            <w:shd w:val="clear" w:color="auto" w:fill="CCEEFF"/>
          </w:tcPr>
          <w:p>
            <w:pPr>
              <w:ind w:left="340"/>
              <w:spacing w:after="0" w:line="201" w:lineRule="exact"/>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b w:val="1"/>
                <w:bCs w:val="1"/>
                <w:color w:val="auto"/>
              </w:rPr>
              <w:t>Other noncurrent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income tax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ind w:left="340"/>
              <w:spacing w:after="0"/>
              <w:rPr>
                <w:sz w:val="20"/>
                <w:szCs w:val="20"/>
                <w:color w:val="auto"/>
              </w:rPr>
            </w:pPr>
            <w:r>
              <w:rPr>
                <w:rFonts w:ascii="Arial" w:cs="Arial" w:eastAsia="Arial" w:hAnsi="Arial"/>
                <w:sz w:val="18"/>
                <w:szCs w:val="18"/>
                <w:color w:val="auto"/>
                <w:w w:val="95"/>
              </w:rPr>
              <w:t>Pension and other postemployment benefits—noncurrent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Other noncurrent obligations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ind w:left="700"/>
              <w:spacing w:after="0"/>
              <w:rPr>
                <w:sz w:val="20"/>
                <w:szCs w:val="20"/>
                <w:color w:val="auto"/>
              </w:rPr>
            </w:pPr>
            <w:r>
              <w:rPr>
                <w:rFonts w:ascii="Arial" w:cs="Arial" w:eastAsia="Arial" w:hAnsi="Arial"/>
                <w:sz w:val="18"/>
                <w:szCs w:val="18"/>
                <w:b w:val="1"/>
                <w:bCs w:val="1"/>
                <w:color w:val="auto"/>
              </w:rPr>
              <w:t>Total noncurrent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(Accumulated deficit) retained earnings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ind w:left="70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(56,864)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ind w:left="70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(57,093)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101,025</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(65,558)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See disclosures following these pro forma financial statements for further details regarding the Historical Adjustments.</w:t>
      </w:r>
    </w:p>
    <w:p>
      <w:pPr>
        <w:spacing w:after="0" w:line="23" w:lineRule="exact"/>
        <w:rPr>
          <w:rFonts w:ascii="Arial" w:cs="Arial" w:eastAsia="Arial" w:hAnsi="Arial"/>
          <w:sz w:val="18"/>
          <w:szCs w:val="18"/>
          <w:color w:val="auto"/>
        </w:rPr>
      </w:pPr>
    </w:p>
    <w:p>
      <w:pPr>
        <w:ind w:left="640" w:right="20" w:hanging="436"/>
        <w:spacing w:after="0" w:line="255" w:lineRule="auto"/>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Represents the company’s current best estimate of Corteva’s pro forma historical balance sheet, reflecting the discontinued operations of Historical DuPont’s materials science and specialty products businesses, as well as the common control combination of Dow AgroSciences. Actual results could differ from these estimates.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Corteva, Inc. Unaudited Pro Forma Combined Statement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December 31,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Dow</w:t>
            </w:r>
          </w:p>
        </w:tc>
        <w:tc>
          <w:tcPr>
            <w:tcW w:w="12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Discontinued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Historical</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Corteva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Historical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71"/>
        </w:trPr>
        <w:tc>
          <w:tcPr>
            <w:tcW w:w="38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DuPont</w:t>
            </w:r>
          </w:p>
        </w:tc>
        <w:tc>
          <w:tcPr>
            <w:tcW w:w="1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AgroSciences</w:t>
            </w:r>
          </w:p>
        </w:tc>
        <w:tc>
          <w:tcPr>
            <w:tcW w:w="200" w:type="dxa"/>
            <w:vAlign w:val="bottom"/>
          </w:tcPr>
          <w:p>
            <w:pPr>
              <w:spacing w:after="0"/>
              <w:rPr>
                <w:sz w:val="14"/>
                <w:szCs w:val="14"/>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Operations</w:t>
            </w: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(1)</w:t>
            </w:r>
          </w:p>
        </w:tc>
        <w:tc>
          <w:tcPr>
            <w:tcW w:w="660" w:type="dxa"/>
            <w:vAlign w:val="bottom"/>
          </w:tcPr>
          <w:p>
            <w:pPr>
              <w:spacing w:after="0"/>
              <w:rPr>
                <w:sz w:val="14"/>
                <w:szCs w:val="14"/>
                <w:color w:val="auto"/>
              </w:rPr>
            </w:pPr>
          </w:p>
        </w:tc>
        <w:tc>
          <w:tcPr>
            <w:tcW w:w="118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w w:val="94"/>
              </w:rPr>
              <w:t>Operations</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142"/>
        </w:trPr>
        <w:tc>
          <w:tcPr>
            <w:tcW w:w="3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As Reported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As Reported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(17,275)</w:t>
            </w:r>
          </w:p>
        </w:tc>
        <w:tc>
          <w:tcPr>
            <w:tcW w:w="3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w:t>
            </w:r>
          </w:p>
        </w:tc>
        <w:tc>
          <w:tcPr>
            <w:tcW w:w="6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240"/>
              <w:spacing w:after="0" w:line="201" w:lineRule="exact"/>
              <w:rPr>
                <w:sz w:val="20"/>
                <w:szCs w:val="20"/>
                <w:color w:val="auto"/>
              </w:rPr>
            </w:pPr>
            <w:r>
              <w:rPr>
                <w:rFonts w:ascii="Arial" w:cs="Arial" w:eastAsia="Arial" w:hAnsi="Arial"/>
                <w:sz w:val="18"/>
                <w:szCs w:val="18"/>
                <w:color w:val="auto"/>
              </w:rPr>
              <w:t>(a)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18,182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(11,594)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(461)</w:t>
            </w:r>
          </w:p>
        </w:tc>
        <w:tc>
          <w:tcPr>
            <w:tcW w:w="660" w:type="dxa"/>
            <w:vAlign w:val="bottom"/>
          </w:tcPr>
          <w:p>
            <w:pPr>
              <w:ind w:left="240"/>
              <w:spacing w:after="0"/>
              <w:rPr>
                <w:sz w:val="20"/>
                <w:szCs w:val="20"/>
                <w:color w:val="auto"/>
              </w:rPr>
            </w:pPr>
            <w:r>
              <w:rPr>
                <w:rFonts w:ascii="Arial" w:cs="Arial" w:eastAsia="Arial" w:hAnsi="Arial"/>
                <w:sz w:val="18"/>
                <w:szCs w:val="18"/>
                <w:color w:val="auto"/>
              </w:rPr>
              <w:t>(g)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w w:val="96"/>
              </w:rPr>
              <w:t>Selling, general and administrative expenses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rPr>
              <w:t>(g)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w w:val="95"/>
              </w:rPr>
              <w:t>Restructuring and asset-related charges—net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rPr>
              <w:t>(g)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Integration and separation costs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Goodwill impairment charge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Sundry income (expense)—net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w w:val="98"/>
              </w:rPr>
              <w:t>(Loss) income from continuing operations before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(4,793)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Provision for (benefit from) income taxes on</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(Loss) income from continuing operations after</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(1,747)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income from continuing operations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attributable to noncontrolling interests</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Net (loss) income from continuing operations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attributable to Corteva</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dividends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Net (loss) income from continuing operations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attributable to Corteva common stockholders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(5,034)</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(1,738)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See disclosures following these pro forma financial statements for further details regarding the Historical Adjustments.</w:t>
      </w:r>
    </w:p>
    <w:p>
      <w:pPr>
        <w:spacing w:after="0" w:line="23" w:lineRule="exact"/>
        <w:rPr>
          <w:rFonts w:ascii="Arial" w:cs="Arial" w:eastAsia="Arial" w:hAnsi="Arial"/>
          <w:sz w:val="18"/>
          <w:szCs w:val="18"/>
          <w:color w:val="auto"/>
        </w:rPr>
      </w:pPr>
    </w:p>
    <w:p>
      <w:pPr>
        <w:ind w:left="640" w:right="380" w:hanging="436"/>
        <w:spacing w:after="0" w:line="255" w:lineRule="auto"/>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Actual results could differ from these estimates.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Corteva, Inc. Unaudited Pro Forma Combined Statement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Period January 1 Through August 31, 2017</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5"/>
              </w:rPr>
              <w:t>Predecessor</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Predecessor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Corteva</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Historical</w:t>
            </w:r>
          </w:p>
        </w:tc>
        <w:tc>
          <w:tcPr>
            <w:tcW w:w="10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Discontinued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Historical</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Continuing</w:t>
            </w:r>
          </w:p>
        </w:tc>
        <w:tc>
          <w:tcPr>
            <w:tcW w:w="11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97"/>
              </w:rPr>
              <w:t>Reclassification</w:t>
            </w:r>
          </w:p>
        </w:tc>
        <w:tc>
          <w:tcPr>
            <w:tcW w:w="1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Continuing</w:t>
            </w:r>
          </w:p>
        </w:tc>
      </w:tr>
      <w:tr>
        <w:trPr>
          <w:trHeight w:val="161"/>
        </w:trPr>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DuPont</w:t>
            </w:r>
          </w:p>
        </w:tc>
        <w:tc>
          <w:tcPr>
            <w:tcW w:w="12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Operations</w:t>
            </w:r>
          </w:p>
        </w:tc>
        <w:tc>
          <w:tcPr>
            <w:tcW w:w="1180" w:type="dxa"/>
            <w:vAlign w:val="bottom"/>
            <w:gridSpan w:val="4"/>
          </w:tcPr>
          <w:p>
            <w:pPr>
              <w:ind w:left="10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1"/>
                <w:szCs w:val="11"/>
                <w:b w:val="1"/>
                <w:bCs w:val="1"/>
                <w:color w:val="auto"/>
              </w:rPr>
              <w:t>(1)</w:t>
            </w:r>
          </w:p>
        </w:tc>
        <w:tc>
          <w:tcPr>
            <w:tcW w:w="440" w:type="dxa"/>
            <w:vAlign w:val="bottom"/>
          </w:tcPr>
          <w:p>
            <w:pPr>
              <w:spacing w:after="0"/>
              <w:rPr>
                <w:sz w:val="14"/>
                <w:szCs w:val="14"/>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Operations</w:t>
            </w:r>
            <w:r>
              <w:rPr>
                <w:rFonts w:ascii="Arial" w:cs="Arial" w:eastAsia="Arial" w:hAnsi="Arial"/>
                <w:sz w:val="11"/>
                <w:szCs w:val="11"/>
                <w:b w:val="1"/>
                <w:bCs w:val="1"/>
                <w:color w:val="auto"/>
                <w:w w:val="89"/>
              </w:rPr>
              <w:t>(2)</w:t>
            </w:r>
          </w:p>
        </w:tc>
        <w:tc>
          <w:tcPr>
            <w:tcW w:w="1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1"/>
                <w:szCs w:val="11"/>
                <w:b w:val="1"/>
                <w:bCs w:val="1"/>
                <w:color w:val="auto"/>
              </w:rPr>
              <w:t>(1)</w:t>
            </w:r>
          </w:p>
        </w:tc>
        <w:tc>
          <w:tcPr>
            <w:tcW w:w="1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Operations</w:t>
            </w: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As Reported</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7"/>
              </w:rPr>
              <w:t>(subtotal)</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As Adjusted</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(10,387)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w w:val="86"/>
              </w:rPr>
              <w:t>141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charges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Research and development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asset-related charges—net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Integration and separation costs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w w:val="86"/>
              </w:rPr>
              <w:t>354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Sundry expense—net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(loss) from continuing operations before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02"/>
        </w:trPr>
        <w:tc>
          <w:tcPr>
            <w:tcW w:w="20" w:type="dxa"/>
            <w:vAlign w:val="bottom"/>
          </w:tcPr>
          <w:p>
            <w:pPr>
              <w:spacing w:after="0"/>
              <w:rPr>
                <w:sz w:val="17"/>
                <w:szCs w:val="17"/>
                <w:color w:val="auto"/>
              </w:rPr>
            </w:pPr>
          </w:p>
        </w:tc>
        <w:tc>
          <w:tcPr>
            <w:tcW w:w="4180" w:type="dxa"/>
            <w:vAlign w:val="bottom"/>
          </w:tcPr>
          <w:p>
            <w:pPr>
              <w:ind w:left="340"/>
              <w:spacing w:after="0" w:line="201" w:lineRule="exact"/>
              <w:rPr>
                <w:sz w:val="20"/>
                <w:szCs w:val="20"/>
                <w:color w:val="auto"/>
              </w:rPr>
            </w:pPr>
            <w:r>
              <w:rPr>
                <w:rFonts w:ascii="Arial" w:cs="Arial" w:eastAsia="Arial" w:hAnsi="Arial"/>
                <w:sz w:val="18"/>
                <w:szCs w:val="18"/>
                <w:color w:val="auto"/>
              </w:rPr>
              <w:t>Provision for (benefit from) income taxes 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52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from continuing operations after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340"/>
              <w:spacing w:after="0" w:line="201" w:lineRule="exact"/>
              <w:rPr>
                <w:sz w:val="20"/>
                <w:szCs w:val="20"/>
                <w:color w:val="auto"/>
              </w:rPr>
            </w:pPr>
            <w:r>
              <w:rPr>
                <w:rFonts w:ascii="Arial" w:cs="Arial" w:eastAsia="Arial" w:hAnsi="Arial"/>
                <w:sz w:val="18"/>
                <w:szCs w:val="18"/>
                <w:color w:val="auto"/>
                <w:w w:val="94"/>
              </w:rPr>
              <w:t>Net income from continuing operations attributable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520"/>
              <w:spacing w:after="0"/>
              <w:rPr>
                <w:sz w:val="20"/>
                <w:szCs w:val="20"/>
                <w:color w:val="auto"/>
              </w:rPr>
            </w:pPr>
            <w:r>
              <w:rPr>
                <w:rFonts w:ascii="Arial" w:cs="Arial" w:eastAsia="Arial" w:hAnsi="Arial"/>
                <w:sz w:val="18"/>
                <w:szCs w:val="18"/>
                <w:color w:val="auto"/>
              </w:rPr>
              <w:t>to noncontrolling interests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from continuing operations attributable to</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Corteva</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Preferred stock dividends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440" w:type="dxa"/>
            <w:vAlign w:val="bottom"/>
          </w:tcPr>
          <w:p>
            <w:pPr>
              <w:ind w:left="120"/>
              <w:spacing w:after="0"/>
              <w:rPr>
                <w:sz w:val="20"/>
                <w:szCs w:val="20"/>
                <w:color w:val="auto"/>
              </w:rPr>
            </w:pPr>
            <w:r>
              <w:rPr>
                <w:rFonts w:ascii="Arial" w:cs="Arial" w:eastAsia="Arial" w:hAnsi="Arial"/>
                <w:sz w:val="18"/>
                <w:szCs w:val="18"/>
                <w:color w:val="auto"/>
              </w:rPr>
              <w: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from continuing operations attributable to</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Corteva common stockholders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0"/>
                <w:szCs w:val="20"/>
                <w:color w:val="auto"/>
              </w:rPr>
            </w:pPr>
          </w:p>
        </w:tc>
      </w:tr>
      <w:tr>
        <w:trPr>
          <w:trHeight w:val="324"/>
        </w:trPr>
        <w:tc>
          <w:tcPr>
            <w:tcW w:w="4200" w:type="dxa"/>
            <w:vAlign w:val="bottom"/>
            <w:gridSpan w:val="2"/>
          </w:tcPr>
          <w:p>
            <w:pPr>
              <w:spacing w:after="0"/>
              <w:rPr>
                <w:sz w:val="20"/>
                <w:szCs w:val="20"/>
                <w:color w:val="auto"/>
              </w:rPr>
            </w:pPr>
            <w:r>
              <w:rPr>
                <w:rFonts w:ascii="Arial" w:cs="Arial" w:eastAsia="Arial" w:hAnsi="Arial"/>
                <w:sz w:val="18"/>
                <w:szCs w:val="18"/>
                <w:color w:val="auto"/>
                <w:w w:val="93"/>
              </w:rPr>
              <w:t>Earnings per common share from continuing operations: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00" w:hanging="436"/>
        <w:spacing w:after="0" w:line="258" w:lineRule="auto"/>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See disclosures following these pro forma financial statements for further details regarding the Historical Adjustments and Reclassification Adjustments.</w:t>
      </w:r>
    </w:p>
    <w:p>
      <w:pPr>
        <w:spacing w:after="0" w:line="1" w:lineRule="exact"/>
        <w:rPr>
          <w:rFonts w:ascii="Arial" w:cs="Arial" w:eastAsia="Arial" w:hAnsi="Arial"/>
          <w:sz w:val="18"/>
          <w:szCs w:val="18"/>
          <w:color w:val="auto"/>
        </w:rPr>
      </w:pPr>
    </w:p>
    <w:p>
      <w:pPr>
        <w:ind w:left="640" w:right="380" w:hanging="436"/>
        <w:spacing w:after="0" w:line="323" w:lineRule="auto"/>
        <w:tabs>
          <w:tab w:leader="none" w:pos="6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Represents the company’s current best estimate of Corteva’s retrospectively revised historical financial statements, reflecting the discontinued operations of Historical DuPont’s materials science and specialty products businesses. Actual results could differ from these estimates.</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Corteva, Inc. Unaudited Pro Forma Combined Statement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Period September 1 Through December 31, 2017</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Dow</w:t>
            </w:r>
          </w:p>
        </w:tc>
        <w:tc>
          <w:tcPr>
            <w:tcW w:w="144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Discontinued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7"/>
              </w:rPr>
              <w:t>Historical</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Corteva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Historical</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71"/>
        </w:trPr>
        <w:tc>
          <w:tcPr>
            <w:tcW w:w="41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DuPont</w:t>
            </w: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w w:val="88"/>
              </w:rPr>
              <w:t>AgroSciences</w:t>
            </w:r>
            <w:r>
              <w:rPr>
                <w:rFonts w:ascii="Arial" w:cs="Arial" w:eastAsia="Arial" w:hAnsi="Arial"/>
                <w:sz w:val="12"/>
                <w:szCs w:val="12"/>
                <w:b w:val="1"/>
                <w:bCs w:val="1"/>
                <w:color w:val="auto"/>
                <w:w w:val="88"/>
              </w:rPr>
              <w:t>(1)</w:t>
            </w:r>
          </w:p>
        </w:tc>
        <w:tc>
          <w:tcPr>
            <w:tcW w:w="38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Operations</w:t>
            </w: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(2)</w:t>
            </w:r>
          </w:p>
        </w:tc>
        <w:tc>
          <w:tcPr>
            <w:tcW w:w="58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Operations</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As Reported</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ind w:left="340"/>
              <w:spacing w:after="0" w:line="201" w:lineRule="exact"/>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ind w:left="200"/>
              <w:spacing w:after="0" w:line="201" w:lineRule="exact"/>
              <w:rPr>
                <w:sz w:val="20"/>
                <w:szCs w:val="20"/>
                <w:color w:val="auto"/>
              </w:rPr>
            </w:pPr>
            <w:r>
              <w:rPr>
                <w:rFonts w:ascii="Arial" w:cs="Arial" w:eastAsia="Arial" w:hAnsi="Arial"/>
                <w:sz w:val="18"/>
                <w:szCs w:val="18"/>
                <w:color w:val="auto"/>
              </w:rPr>
              <w:t>(a)</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6,240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1,510</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(4,753)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580" w:type="dxa"/>
            <w:vAlign w:val="bottom"/>
          </w:tcPr>
          <w:p>
            <w:pPr>
              <w:ind w:left="200"/>
              <w:spacing w:after="0"/>
              <w:rPr>
                <w:sz w:val="20"/>
                <w:szCs w:val="20"/>
                <w:color w:val="auto"/>
              </w:rPr>
            </w:pPr>
            <w:r>
              <w:rPr>
                <w:rFonts w:ascii="Arial" w:cs="Arial" w:eastAsia="Arial" w:hAnsi="Arial"/>
                <w:sz w:val="18"/>
                <w:szCs w:val="18"/>
                <w:color w:val="auto"/>
              </w:rPr>
              <w:t>(g)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580" w:type="dxa"/>
            <w:vAlign w:val="bottom"/>
          </w:tcPr>
          <w:p>
            <w:pPr>
              <w:ind w:left="200"/>
              <w:spacing w:after="0"/>
              <w:rPr>
                <w:sz w:val="20"/>
                <w:szCs w:val="20"/>
                <w:color w:val="auto"/>
              </w:rPr>
            </w:pPr>
            <w:r>
              <w:rPr>
                <w:rFonts w:ascii="Arial" w:cs="Arial" w:eastAsia="Arial" w:hAnsi="Arial"/>
                <w:sz w:val="18"/>
                <w:szCs w:val="18"/>
                <w:color w:val="auto"/>
              </w:rPr>
              <w:t>(g)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Restructuring and asset-related charges—net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Integration and separation costs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Sundry income—net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(Loss) income from continuing operations before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(1,586)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645</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(Benefit from) provision for income taxes on</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4"/>
              </w:rPr>
              <w:t>Income from continuing operations after income taxes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income from continuing operations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attributable to noncontrolling interests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w w:val="96"/>
              </w:rPr>
              <w:t>Net income from continuing operations attributable to</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Corteva</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dividends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w w:val="96"/>
              </w:rPr>
              <w:t>Net income from continuing operations attributable to</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Corteva common stockholders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1,084</w:t>
            </w:r>
          </w:p>
        </w:tc>
        <w:tc>
          <w:tcPr>
            <w:tcW w:w="240" w:type="dxa"/>
            <w:vAlign w:val="bottom"/>
          </w:tcPr>
          <w:p>
            <w:pPr>
              <w:spacing w:after="0"/>
              <w:rPr>
                <w:sz w:val="20"/>
                <w:szCs w:val="20"/>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20"/>
                <w:szCs w:val="20"/>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For the post-Merger period September 1, 2017 through December 31, 2017.</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See disclosures following these pro forma financial statements for further details regarding the Historical Adjustments.</w:t>
      </w:r>
    </w:p>
    <w:p>
      <w:pPr>
        <w:spacing w:after="0" w:line="9" w:lineRule="exact"/>
        <w:rPr>
          <w:rFonts w:ascii="Arial" w:cs="Arial" w:eastAsia="Arial" w:hAnsi="Arial"/>
          <w:sz w:val="18"/>
          <w:szCs w:val="18"/>
          <w:color w:val="auto"/>
        </w:rPr>
      </w:pPr>
    </w:p>
    <w:p>
      <w:pPr>
        <w:ind w:left="640" w:right="380" w:hanging="436"/>
        <w:spacing w:after="0" w:line="255" w:lineRule="auto"/>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Actual results could differ from these estimates.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Corteva, Inc. Unaudited Pro Forma Combined Statement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Predecessor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Discontinued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Historical</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Reclassification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Corteva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Historical</w:t>
            </w:r>
          </w:p>
        </w:tc>
        <w:tc>
          <w:tcPr>
            <w:tcW w:w="12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2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71"/>
        </w:trPr>
        <w:tc>
          <w:tcPr>
            <w:tcW w:w="370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DuPont</w:t>
            </w:r>
          </w:p>
        </w:tc>
        <w:tc>
          <w:tcPr>
            <w:tcW w:w="26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Operations</w:t>
            </w:r>
          </w:p>
        </w:tc>
        <w:tc>
          <w:tcPr>
            <w:tcW w:w="1280" w:type="dxa"/>
            <w:vAlign w:val="bottom"/>
            <w:gridSpan w:val="4"/>
          </w:tcPr>
          <w:p>
            <w:pPr>
              <w:ind w:left="14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(1)</w:t>
            </w:r>
          </w:p>
        </w:tc>
        <w:tc>
          <w:tcPr>
            <w:tcW w:w="480" w:type="dxa"/>
            <w:vAlign w:val="bottom"/>
          </w:tcPr>
          <w:p>
            <w:pPr>
              <w:spacing w:after="0"/>
              <w:rPr>
                <w:sz w:val="14"/>
                <w:szCs w:val="14"/>
                <w:color w:val="auto"/>
              </w:rPr>
            </w:pPr>
          </w:p>
        </w:tc>
        <w:tc>
          <w:tcPr>
            <w:tcW w:w="11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Operations</w:t>
            </w:r>
            <w:r>
              <w:rPr>
                <w:rFonts w:ascii="Arial" w:cs="Arial" w:eastAsia="Arial" w:hAnsi="Arial"/>
                <w:sz w:val="12"/>
                <w:szCs w:val="12"/>
                <w:b w:val="1"/>
                <w:bCs w:val="1"/>
                <w:color w:val="auto"/>
                <w:w w:val="92"/>
              </w:rPr>
              <w:t>(2)</w:t>
            </w:r>
          </w:p>
        </w:tc>
        <w:tc>
          <w:tcPr>
            <w:tcW w:w="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As Reported</w:t>
            </w:r>
          </w:p>
        </w:tc>
        <w:tc>
          <w:tcPr>
            <w:tcW w:w="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0"/>
              </w:rPr>
              <w:t>(subtotal)</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(15,076)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132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13,937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w w:val="86"/>
              </w:rPr>
              <w:t>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charges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Selling, general and administrative expenses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Restructuring and asset-related charges—net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Integration and separation costs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w w:val="86"/>
              </w:rPr>
              <w:t>285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Sundry income (expense)—net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Income (loss) from continuing operations before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ind w:left="340"/>
              <w:spacing w:after="0" w:line="201" w:lineRule="exact"/>
              <w:rPr>
                <w:sz w:val="20"/>
                <w:szCs w:val="20"/>
                <w:color w:val="auto"/>
              </w:rPr>
            </w:pPr>
            <w:r>
              <w:rPr>
                <w:rFonts w:ascii="Arial" w:cs="Arial" w:eastAsia="Arial" w:hAnsi="Arial"/>
                <w:sz w:val="18"/>
                <w:szCs w:val="18"/>
                <w:color w:val="auto"/>
                <w:w w:val="95"/>
              </w:rPr>
              <w:t>Provision for (benefit from) income taxes 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52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(loss) from continuing operations after</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ind w:left="340"/>
              <w:spacing w:after="0" w:line="201" w:lineRule="exact"/>
              <w:rPr>
                <w:sz w:val="20"/>
                <w:szCs w:val="20"/>
                <w:color w:val="auto"/>
              </w:rPr>
            </w:pPr>
            <w:r>
              <w:rPr>
                <w:rFonts w:ascii="Arial" w:cs="Arial" w:eastAsia="Arial" w:hAnsi="Arial"/>
                <w:sz w:val="18"/>
                <w:szCs w:val="18"/>
                <w:color w:val="auto"/>
              </w:rPr>
              <w:t>Net income from continuing operations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520"/>
              <w:spacing w:after="0"/>
              <w:rPr>
                <w:sz w:val="20"/>
                <w:szCs w:val="20"/>
                <w:color w:val="auto"/>
              </w:rPr>
            </w:pPr>
            <w:r>
              <w:rPr>
                <w:rFonts w:ascii="Arial" w:cs="Arial" w:eastAsia="Arial" w:hAnsi="Arial"/>
                <w:sz w:val="18"/>
                <w:szCs w:val="18"/>
                <w:color w:val="auto"/>
              </w:rPr>
              <w:t>attributable to noncontrolling interests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from continuing operations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Corteva</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Preferred stock dividends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480" w:type="dxa"/>
            <w:vAlign w:val="bottom"/>
          </w:tcPr>
          <w:p>
            <w:pPr>
              <w:ind w:left="160"/>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from continuing operations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attributable to Corteva common stockholders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310"/>
        </w:trPr>
        <w:tc>
          <w:tcPr>
            <w:tcW w:w="3700" w:type="dxa"/>
            <w:vAlign w:val="bottom"/>
            <w:gridSpan w:val="2"/>
          </w:tcPr>
          <w:p>
            <w:pPr>
              <w:spacing w:after="0"/>
              <w:rPr>
                <w:sz w:val="20"/>
                <w:szCs w:val="20"/>
                <w:color w:val="auto"/>
              </w:rPr>
            </w:pPr>
            <w:r>
              <w:rPr>
                <w:rFonts w:ascii="Arial" w:cs="Arial" w:eastAsia="Arial" w:hAnsi="Arial"/>
                <w:sz w:val="18"/>
                <w:szCs w:val="18"/>
                <w:color w:val="auto"/>
              </w:rPr>
              <w:t>Earnings per common share from continuing</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00" w:hanging="436"/>
        <w:spacing w:after="0" w:line="277" w:lineRule="auto"/>
        <w:tabs>
          <w:tab w:leader="none" w:pos="6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See disclosures following these pro forma financial statements for further details regarding the Historical Adjustments and Reclassification Adjustments.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342" w:lineRule="auto"/>
        <w:tabs>
          <w:tab w:leader="none" w:pos="64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Represents the company’s current best estimate of Corteva’s retrospectively revised historical financial statements, reflecting the discontinued operations of Historical DuPont’s materials science and specialty products businesses. Actual results could differ from these estimates.</w:t>
      </w:r>
    </w:p>
    <w:p>
      <w:pPr>
        <w:spacing w:after="0" w:line="29" w:lineRule="exact"/>
        <w:rPr>
          <w:rFonts w:ascii="Arial" w:cs="Arial" w:eastAsia="Arial" w:hAnsi="Arial"/>
          <w:sz w:val="16"/>
          <w:szCs w:val="16"/>
          <w:color w:val="auto"/>
        </w:rPr>
      </w:pPr>
    </w:p>
    <w:p>
      <w:pPr>
        <w:ind w:left="640" w:hanging="436"/>
        <w:spacing w:after="0" w:line="277" w:lineRule="auto"/>
        <w:tabs>
          <w:tab w:leader="none" w:pos="6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Diluted earnings per share does not consider the impact of potentially dilutive securities because the inclusion of the potential common shares would have an anti-dilutive effect.</w:t>
      </w:r>
    </w:p>
    <w:p>
      <w:pPr>
        <w:spacing w:after="0" w:line="10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860"/>
          </w:cols>
          <w:pgMar w:left="240" w:top="459" w:right="7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Historical Adjustments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pro forma adjustments are expected to be reflected in Corteva’s retrospectively revised historical financial statements:</w:t>
      </w:r>
    </w:p>
    <w:p>
      <w:pPr>
        <w:spacing w:after="0" w:line="131" w:lineRule="exact"/>
        <w:rPr>
          <w:sz w:val="20"/>
          <w:szCs w:val="20"/>
          <w:color w:val="auto"/>
        </w:rPr>
      </w:pPr>
    </w:p>
    <w:p>
      <w:pPr>
        <w:jc w:val="both"/>
        <w:ind w:left="640" w:hanging="436"/>
        <w:spacing w:after="0" w:line="264" w:lineRule="auto"/>
        <w:tabs>
          <w:tab w:leader="none" w:pos="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Adjustment primarily relates to the elimination of intercompany transactions between Historical DuPont and Dow AgroSciences for the Successor periods, as if they were combined affiliates. The following tables summarize the intercompany elimination adjustments in the unaudited pro forma combined balance sheet and the unaudited pro forma combined statements of income:</w:t>
      </w:r>
    </w:p>
    <w:p>
      <w:pPr>
        <w:spacing w:after="0" w:line="28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Balance Sheet</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7"/>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940" w:type="dxa"/>
            <w:vAlign w:val="bottom"/>
            <w:gridSpan w:val="2"/>
          </w:tcPr>
          <w:p>
            <w:pPr>
              <w:ind w:left="44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4"/>
          </w:tcPr>
          <w:p>
            <w:pPr>
              <w:jc w:val="center"/>
              <w:ind w:left="21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and notes receivable—net</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(284)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0"/>
              </w:rPr>
              <w:t>(317)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900" w:type="dxa"/>
            <w:vAlign w:val="bottom"/>
            <w:vMerge w:val="restart"/>
          </w:tcPr>
          <w:p>
            <w:pPr>
              <w:spacing w:after="0"/>
              <w:rPr>
                <w:sz w:val="9"/>
                <w:szCs w:val="9"/>
                <w:color w:val="auto"/>
              </w:rPr>
            </w:pPr>
          </w:p>
        </w:tc>
        <w:tc>
          <w:tcPr>
            <w:tcW w:w="44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840" w:type="dxa"/>
            <w:vAlign w:val="bottom"/>
            <w:gridSpan w:val="3"/>
          </w:tcPr>
          <w:p>
            <w:pPr>
              <w:spacing w:after="0"/>
              <w:rPr>
                <w:sz w:val="20"/>
                <w:szCs w:val="20"/>
                <w:color w:val="auto"/>
              </w:rPr>
            </w:pPr>
            <w:r>
              <w:rPr>
                <w:rFonts w:ascii="Arial" w:cs="Arial" w:eastAsia="Arial" w:hAnsi="Arial"/>
                <w:sz w:val="18"/>
                <w:szCs w:val="18"/>
                <w:i w:val="1"/>
                <w:iCs w:val="1"/>
                <w:color w:val="auto"/>
              </w:rPr>
              <w:t>Statements of Income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For the</w:t>
            </w:r>
          </w:p>
        </w:tc>
        <w:tc>
          <w:tcPr>
            <w:tcW w:w="320" w:type="dxa"/>
            <w:vAlign w:val="bottom"/>
          </w:tcPr>
          <w:p>
            <w:pPr>
              <w:spacing w:after="0"/>
              <w:rPr>
                <w:sz w:val="21"/>
                <w:szCs w:val="21"/>
                <w:color w:val="auto"/>
              </w:rPr>
            </w:pPr>
          </w:p>
        </w:tc>
        <w:tc>
          <w:tcPr>
            <w:tcW w:w="1380" w:type="dxa"/>
            <w:vAlign w:val="bottom"/>
            <w:gridSpan w:val="6"/>
          </w:tcPr>
          <w:p>
            <w:pPr>
              <w:jc w:val="center"/>
              <w:ind w:left="187"/>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Year Ended</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September 1 -</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720" w:type="dxa"/>
            <w:vAlign w:val="bottom"/>
            <w:gridSpan w:val="4"/>
          </w:tcPr>
          <w:p>
            <w:pPr>
              <w:jc w:val="center"/>
              <w:ind w:left="9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840" w:type="dxa"/>
            <w:vAlign w:val="bottom"/>
            <w:gridSpan w:val="3"/>
          </w:tcPr>
          <w:p>
            <w:pPr>
              <w:ind w:left="88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Cost of goods sold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4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income from continuing operations before income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4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(Benefit from) income taxes on continuing operations</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continuing operations after income taxes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85725</wp:posOffset>
            </wp:positionV>
            <wp:extent cx="6946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60" w:right="560" w:hanging="425"/>
        <w:spacing w:after="0" w:line="277" w:lineRule="auto"/>
        <w:tabs>
          <w:tab w:leader="none" w:pos="2060" w:val="left"/>
        </w:tabs>
        <w:numPr>
          <w:ilvl w:val="1"/>
          <w:numId w:val="207"/>
        </w:numPr>
        <w:rPr>
          <w:rFonts w:ascii="Arial" w:cs="Arial" w:eastAsia="Arial" w:hAnsi="Arial"/>
          <w:sz w:val="15"/>
          <w:szCs w:val="15"/>
          <w:color w:val="auto"/>
        </w:rPr>
      </w:pPr>
      <w:r>
        <w:rPr>
          <w:rFonts w:ascii="Arial" w:cs="Arial" w:eastAsia="Arial" w:hAnsi="Arial"/>
          <w:sz w:val="18"/>
          <w:szCs w:val="18"/>
          <w:color w:val="auto"/>
        </w:rPr>
        <w:t>Represents the income tax effect of the elimination of inventory transfers calculated using enacted statutory taxes rates applicable in each period at the legal entity in which the pre-tax adjustments were made.</w:t>
      </w:r>
    </w:p>
    <w:p>
      <w:pPr>
        <w:spacing w:after="0" w:line="75" w:lineRule="exact"/>
        <w:rPr>
          <w:rFonts w:ascii="Arial" w:cs="Arial" w:eastAsia="Arial" w:hAnsi="Arial"/>
          <w:sz w:val="15"/>
          <w:szCs w:val="15"/>
          <w:color w:val="auto"/>
        </w:rPr>
      </w:pPr>
    </w:p>
    <w:p>
      <w:pPr>
        <w:ind w:left="640" w:hanging="436"/>
        <w:spacing w:after="0" w:line="257" w:lineRule="auto"/>
        <w:tabs>
          <w:tab w:leader="none" w:pos="6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New DuPont will indemnify Corteva against certain litigation, environmental and employee-related liabilities that arose prior to the distribution. Within the unaudited pro forma combined balance sheet, these liabilities are included in the Successor Historical DuPont column and are removed in the Discontinued Operations column. The indemnified liabilities of $25 million and $42 million are included in accrued and other current liabilities and other noncurrent obligations, respectively, and the related indemnification assets of $25 million and $42 million are included in accounts and notes receivable—net and other assets, respectively.</w:t>
      </w:r>
    </w:p>
    <w:p>
      <w:pPr>
        <w:spacing w:after="0" w:line="93" w:lineRule="exact"/>
        <w:rPr>
          <w:rFonts w:ascii="Arial" w:cs="Arial" w:eastAsia="Arial" w:hAnsi="Arial"/>
          <w:sz w:val="18"/>
          <w:szCs w:val="18"/>
          <w:color w:val="auto"/>
        </w:rPr>
      </w:pPr>
    </w:p>
    <w:p>
      <w:pPr>
        <w:ind w:left="640" w:right="340" w:hanging="436"/>
        <w:spacing w:after="0" w:line="342" w:lineRule="auto"/>
        <w:tabs>
          <w:tab w:leader="none" w:pos="6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Reflects the impact on deferred tax assets and deferred tax liabilities from jurisdictional netting and a reduction in deferred tax asset valuation allowances due to the assessment of Historical DuPont and Dow AgroSciences deferred tax assets, as if they were consolidated affiliates.</w:t>
      </w:r>
    </w:p>
    <w:p>
      <w:pPr>
        <w:spacing w:after="0" w:line="29" w:lineRule="exact"/>
        <w:rPr>
          <w:rFonts w:ascii="Arial" w:cs="Arial" w:eastAsia="Arial" w:hAnsi="Arial"/>
          <w:sz w:val="16"/>
          <w:szCs w:val="16"/>
          <w:color w:val="auto"/>
        </w:rPr>
      </w:pPr>
    </w:p>
    <w:p>
      <w:pPr>
        <w:ind w:left="640" w:right="160" w:hanging="436"/>
        <w:spacing w:after="0" w:line="342" w:lineRule="auto"/>
        <w:tabs>
          <w:tab w:leader="none" w:pos="6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Adjustment to reflect the reclassification of the EID Preferred Stock from preferred stock to noncontrolling interests on the balance sheet, which remain outstanding and unaffected by the Merger, Business Realignment, Internal Reorganization and separation and distribution of Corteva.</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24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0" w:hanging="436"/>
        <w:spacing w:after="0" w:line="286" w:lineRule="auto"/>
        <w:tabs>
          <w:tab w:leader="none" w:pos="64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Adjustment to reflect the reclassification of the dividends for EID Preferred Stock from preferred stock dividends to net income from continuing operations attributable to noncontrolling interests in the unaudited pro forma combined statements of income, which remain outstanding and unaffected by the Merger, Business Realignment, Internal Reorganization and separation and distribution of Corteva.</w:t>
      </w:r>
    </w:p>
    <w:p>
      <w:pPr>
        <w:spacing w:after="0" w:line="70" w:lineRule="exact"/>
        <w:rPr>
          <w:rFonts w:ascii="Arial" w:cs="Arial" w:eastAsia="Arial" w:hAnsi="Arial"/>
          <w:sz w:val="17"/>
          <w:szCs w:val="17"/>
          <w:color w:val="auto"/>
        </w:rPr>
      </w:pPr>
    </w:p>
    <w:p>
      <w:pPr>
        <w:ind w:left="640" w:hanging="436"/>
        <w:spacing w:after="0"/>
        <w:tabs>
          <w:tab w:leader="none" w:pos="6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Reflects the impact to Corteva’s retained earnings from pro forma adjustments described above.</w:t>
      </w:r>
    </w:p>
    <w:p>
      <w:pPr>
        <w:spacing w:after="0" w:line="130" w:lineRule="exact"/>
        <w:rPr>
          <w:rFonts w:ascii="Arial" w:cs="Arial" w:eastAsia="Arial" w:hAnsi="Arial"/>
          <w:sz w:val="18"/>
          <w:szCs w:val="18"/>
          <w:color w:val="auto"/>
        </w:rPr>
      </w:pPr>
    </w:p>
    <w:p>
      <w:pPr>
        <w:ind w:left="640" w:right="460" w:hanging="436"/>
        <w:spacing w:after="0" w:line="277" w:lineRule="auto"/>
        <w:tabs>
          <w:tab w:leader="none" w:pos="6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order to align the financial statement presentation of Dow AgroSciences to that of Corteva’s continuing operations, certain reclassification adjustments have been made to the unaudited pro forma combined statements of income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2"/>
              </w:rPr>
              <w:t>For the</w:t>
            </w:r>
          </w:p>
        </w:tc>
        <w:tc>
          <w:tcPr>
            <w:tcW w:w="160" w:type="dxa"/>
            <w:vAlign w:val="bottom"/>
          </w:tcPr>
          <w:p>
            <w:pPr>
              <w:spacing w:after="0"/>
              <w:rPr>
                <w:sz w:val="14"/>
                <w:szCs w:val="14"/>
                <w:color w:val="auto"/>
              </w:rPr>
            </w:pPr>
          </w:p>
        </w:tc>
        <w:tc>
          <w:tcPr>
            <w:tcW w:w="11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97"/>
              </w:rPr>
              <w:t>year</w:t>
            </w:r>
          </w:p>
        </w:tc>
        <w:tc>
          <w:tcPr>
            <w:tcW w:w="16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September 1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0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Restructuring and asset-related charges—net</w:t>
            </w: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$ 10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Integration and separation costs</w:t>
            </w: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$ 92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r>
              <w:rPr>
                <w:rFonts w:ascii="Arial" w:cs="Arial" w:eastAsia="Arial" w:hAnsi="Arial"/>
                <w:sz w:val="15"/>
                <w:szCs w:val="15"/>
                <w:color w:val="auto"/>
              </w:rPr>
              <w:t>(1)</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(67)</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5"/>
                <w:szCs w:val="15"/>
                <w:color w:val="auto"/>
              </w:rPr>
              <w:t>(1)</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$ 67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right="420" w:hanging="316"/>
        <w:spacing w:after="0" w:line="253" w:lineRule="auto"/>
        <w:tabs>
          <w:tab w:leader="none" w:pos="52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Reflects reclassification of certain allocated Historical Dow leveraged function costs out of cost of goods sold to selling, general and administrative expenses in order to align with Corteva’s presentation of similar costs.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Predecessor Reclassification Adjustments</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For periods subsequent to the Merger, Successor Historical DuPont’s historical statement of income conforms to the financial statement presentation of Corteva. In order to align the pro forma financial statement presentation of Predecessor Historical DuPont’s continuing operations for periods prior to the Merger to that of Corteva’s continuing operations, certain reclassification adjustments have been made to the Predecessor periods in the unaudited pro forma combined statements of income.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The following table summarizes reclassifications made to the Predecessor periods in the unaudited pro forma combined statements of income to conform to Corteva’s Successor period pro forma statement of income presentation, and are presented for pro forma presentation alignment only and have not and will not be adjusted in the historical financial statements of Corteva for periods prior to the Merger:</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restart"/>
          </w:tcPr>
          <w:p>
            <w:pPr>
              <w:jc w:val="center"/>
              <w:ind w:right="10"/>
              <w:spacing w:after="0"/>
              <w:rPr>
                <w:sz w:val="20"/>
                <w:szCs w:val="20"/>
                <w:color w:val="auto"/>
              </w:rPr>
            </w:pPr>
            <w:r>
              <w:rPr>
                <w:rFonts w:ascii="Arial" w:cs="Arial" w:eastAsia="Arial" w:hAnsi="Arial"/>
                <w:sz w:val="14"/>
                <w:szCs w:val="14"/>
                <w:b w:val="1"/>
                <w:bCs w:val="1"/>
                <w:color w:val="auto"/>
                <w:w w:val="94"/>
              </w:rPr>
              <w:t>For the Period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left="78"/>
              <w:spacing w:after="0"/>
              <w:rPr>
                <w:sz w:val="20"/>
                <w:szCs w:val="20"/>
                <w:color w:val="auto"/>
              </w:rPr>
            </w:pPr>
            <w:r>
              <w:rPr>
                <w:rFonts w:ascii="Arial" w:cs="Arial" w:eastAsia="Arial" w:hAnsi="Arial"/>
                <w:sz w:val="14"/>
                <w:szCs w:val="14"/>
                <w:b w:val="1"/>
                <w:bCs w:val="1"/>
                <w:color w:val="auto"/>
                <w:w w:val="96"/>
              </w:rPr>
              <w:t>For the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0"/>
              <w:spacing w:after="0" w:line="149" w:lineRule="exact"/>
              <w:rPr>
                <w:sz w:val="20"/>
                <w:szCs w:val="20"/>
                <w:color w:val="auto"/>
              </w:rPr>
            </w:pPr>
            <w:r>
              <w:rPr>
                <w:rFonts w:ascii="Arial" w:cs="Arial" w:eastAsia="Arial" w:hAnsi="Arial"/>
                <w:sz w:val="14"/>
                <w:szCs w:val="14"/>
                <w:b w:val="1"/>
                <w:bCs w:val="1"/>
                <w:color w:val="auto"/>
                <w:w w:val="93"/>
              </w:rPr>
              <w:t>January 1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6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August 31, 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left="98"/>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charges (Predecessor Historical DuPont continuing operations)</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(195)</w:t>
            </w: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(251)</w:t>
            </w: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Cost of goods sold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color w:val="auto"/>
              </w:rPr>
              <w:t>Sundry (expense) income—net (Predecessor Historical DuPont continuing operations)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5"/>
              </w:rPr>
              <w:t>(124)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Benefit from (provision for) income taxes on continuing operations</w:t>
            </w:r>
            <w:r>
              <w:rPr>
                <w:rFonts w:ascii="Arial" w:cs="Arial" w:eastAsia="Arial" w:hAnsi="Arial"/>
                <w:sz w:val="15"/>
                <w:szCs w:val="15"/>
                <w:color w:val="auto"/>
              </w:rPr>
              <w:t>(1)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Predecessor Historical DuPont amortization of intangibles, continuing operations: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Cost of goods sold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Predecessor Historical DuPont integration and separation costs, continuing operations: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(354)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5"/>
              </w:rPr>
              <w:t>(285)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Integration and separation costs</w:t>
            </w:r>
            <w:r>
              <w:rPr>
                <w:rFonts w:ascii="Arial" w:cs="Arial" w:eastAsia="Arial" w:hAnsi="Arial"/>
                <w:sz w:val="15"/>
                <w:szCs w:val="15"/>
                <w:color w:val="auto"/>
              </w:rPr>
              <w:t>(2)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60" w:hanging="436"/>
        <w:spacing w:after="0" w:line="258" w:lineRule="auto"/>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Reflects the reclassification of interest associated with uncertain tax positions to “(Benefit from) provision for income taxes on continuing operations.”</w:t>
      </w:r>
    </w:p>
    <w:p>
      <w:pPr>
        <w:spacing w:after="0" w:line="1" w:lineRule="exact"/>
        <w:rPr>
          <w:rFonts w:ascii="Arial" w:cs="Arial" w:eastAsia="Arial" w:hAnsi="Arial"/>
          <w:sz w:val="18"/>
          <w:szCs w:val="18"/>
          <w:color w:val="auto"/>
        </w:rPr>
      </w:pPr>
    </w:p>
    <w:p>
      <w:pPr>
        <w:ind w:left="640" w:right="100" w:hanging="436"/>
        <w:spacing w:after="0" w:line="295" w:lineRule="auto"/>
        <w:tabs>
          <w:tab w:leader="none" w:pos="6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Reflects the reclassification of expenses related to the Merger as “Integration and separation costs.” Merger-related costs include costs incurred to prepare for and close the Merger, post-Merger integration expenses, and costs incurred to prepare for the separation of the agriculture business, specialty products business and materials science business. These costs primarily consist of financial advisory, information technology, legal, accounting, consulting, and other professional advisory fees associated with preparation and execution of these activities.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SUPPLEMENTAL MANAGEMENT’S DISCUSSION AND ANALYSIS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 FORMA SEGMENT RESULTS</w:t>
      </w:r>
    </w:p>
    <w:p>
      <w:pPr>
        <w:spacing w:after="0" w:line="211" w:lineRule="exact"/>
        <w:rPr>
          <w:sz w:val="20"/>
          <w:szCs w:val="20"/>
          <w:color w:val="auto"/>
        </w:rPr>
      </w:pPr>
    </w:p>
    <w:p>
      <w:pPr>
        <w:ind w:left="200" w:right="960"/>
        <w:spacing w:after="0" w:line="342" w:lineRule="auto"/>
        <w:rPr>
          <w:sz w:val="20"/>
          <w:szCs w:val="20"/>
          <w:color w:val="auto"/>
        </w:rPr>
      </w:pPr>
      <w:r>
        <w:rPr>
          <w:rFonts w:ascii="Arial" w:cs="Arial" w:eastAsia="Arial" w:hAnsi="Arial"/>
          <w:sz w:val="16"/>
          <w:szCs w:val="16"/>
          <w:color w:val="auto"/>
        </w:rPr>
        <w:t>The information below presents the pro forma segment results of Corteva, after giving effect to the Merger, Business Realignment, Internal Reorganization, Debt Retirement Transactions and separation and distribution transactions, as if they occurred on January 1, 2016.</w:t>
      </w:r>
    </w:p>
    <w:p>
      <w:pPr>
        <w:spacing w:after="0" w:line="124"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The unaudited pro forma segment information was prepared in accordance with Article 11 of Regulation S-X. The unaudited pro forma segment results provide shareholders with summary financial information and historical data that is on a basis consistent with how we will report financial information in the future. The unaudited pro forma segment information is for informational purposes only and does not purport to represent what the segment results would have been had the Merger, the Business Realignment, the Internal Reorganization, the Debt Retirement Transactions and the separation and distribution transactions occurred on the dates indicated, or to project the financial performance for any future periods.</w:t>
      </w:r>
    </w:p>
    <w:p>
      <w:pPr>
        <w:spacing w:after="0" w:line="173"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Corteva’s operating segments will be Seed and Crop Protection as this represents the level at which the chief operating decision maker (“CODM”) will assess performance and allocate resources. Operating EBITDA will be the primary measure of segment profitability used by Corteva’s CODM. For purposes of the years ended December 31, 2018, 2017 and 2016 Operating EBITDA is calculated on a pro forma basis. The company defines Operating EBITDA as earnings (i.e., income from continuing operations before income taxes) before interest, depreciation, amortization, corporate expenses, non-operating costs—net and foreign exchange gains (losses), excluding the impact of adjusted significant items. Non-operating costs—net consists of non-operating pension and other post-employment benefit (OPEB) costs, environmental remediation and legal costs associated with legacy businesses and sites of Historical DuPont.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Seed</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79"/>
              <w:spacing w:after="0"/>
              <w:rPr>
                <w:sz w:val="20"/>
                <w:szCs w:val="20"/>
                <w:color w:val="auto"/>
              </w:rPr>
            </w:pPr>
            <w:r>
              <w:rPr>
                <w:rFonts w:ascii="Arial" w:cs="Arial" w:eastAsia="Arial" w:hAnsi="Arial"/>
                <w:sz w:val="14"/>
                <w:szCs w:val="14"/>
                <w:b w:val="1"/>
                <w:bCs w:val="1"/>
                <w:color w:val="auto"/>
              </w:rPr>
              <w:t>For the</w:t>
            </w: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For the</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gridSpan w:val="3"/>
          </w:tcPr>
          <w:p>
            <w:pPr>
              <w:jc w:val="right"/>
              <w:ind w:right="130"/>
              <w:spacing w:after="0" w:line="149" w:lineRule="exact"/>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71"/>
        </w:trPr>
        <w:tc>
          <w:tcPr>
            <w:tcW w:w="28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4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 2017</w:t>
            </w:r>
          </w:p>
        </w:tc>
        <w:tc>
          <w:tcPr>
            <w:tcW w:w="400" w:type="dxa"/>
            <w:vAlign w:val="bottom"/>
          </w:tcPr>
          <w:p>
            <w:pPr>
              <w:spacing w:after="0"/>
              <w:rPr>
                <w:sz w:val="14"/>
                <w:szCs w:val="14"/>
                <w:color w:val="auto"/>
              </w:rPr>
            </w:pPr>
          </w:p>
        </w:tc>
        <w:tc>
          <w:tcPr>
            <w:tcW w:w="1800" w:type="dxa"/>
            <w:vAlign w:val="bottom"/>
            <w:gridSpan w:val="6"/>
          </w:tcPr>
          <w:p>
            <w:pPr>
              <w:jc w:val="center"/>
              <w:ind w:left="448"/>
              <w:spacing w:after="0"/>
              <w:rPr>
                <w:sz w:val="20"/>
                <w:szCs w:val="20"/>
                <w:color w:val="auto"/>
              </w:rPr>
            </w:pPr>
            <w:r>
              <w:rPr>
                <w:rFonts w:ascii="Arial" w:cs="Arial" w:eastAsia="Arial" w:hAnsi="Arial"/>
                <w:sz w:val="14"/>
                <w:szCs w:val="14"/>
                <w:b w:val="1"/>
                <w:bCs w:val="1"/>
                <w:color w:val="auto"/>
                <w:w w:val="91"/>
              </w:rPr>
              <w:t>December 31, 2016</w:t>
            </w: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net sales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7,835</w:t>
            </w:r>
          </w:p>
        </w:tc>
        <w:tc>
          <w:tcPr>
            <w:tcW w:w="40" w:type="dxa"/>
            <w:vAlign w:val="bottom"/>
            <w:tcBorders>
              <w:top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Pro forma Operating</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EBITDA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1,139</w:t>
            </w:r>
          </w:p>
        </w:tc>
        <w:tc>
          <w:tcPr>
            <w:tcW w:w="120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1,170</w:t>
            </w:r>
          </w:p>
        </w:tc>
        <w:tc>
          <w:tcPr>
            <w:tcW w:w="12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997</w:t>
            </w:r>
          </w:p>
        </w:tc>
        <w:tc>
          <w:tcPr>
            <w:tcW w:w="4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3"/>
          </w:tcPr>
          <w:p>
            <w:pPr>
              <w:jc w:val="center"/>
              <w:ind w:right="308"/>
              <w:spacing w:after="0"/>
              <w:rPr>
                <w:sz w:val="20"/>
                <w:szCs w:val="20"/>
                <w:color w:val="auto"/>
              </w:rPr>
            </w:pPr>
            <w:r>
              <w:rPr>
                <w:rFonts w:ascii="Arial" w:cs="Arial" w:eastAsia="Arial" w:hAnsi="Arial"/>
                <w:sz w:val="14"/>
                <w:szCs w:val="14"/>
                <w:b w:val="1"/>
                <w:bCs w:val="1"/>
                <w:color w:val="auto"/>
                <w:w w:val="96"/>
              </w:rPr>
              <w:t>For the</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auto"/>
                <w:w w:val="96"/>
              </w:rPr>
              <w:t>For the</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3"/>
          </w:tcPr>
          <w:p>
            <w:pPr>
              <w:jc w:val="center"/>
              <w:ind w:right="288"/>
              <w:spacing w:after="0" w:line="149" w:lineRule="exact"/>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w w:val="91"/>
              </w:rPr>
              <w:t>December 31, 2018</w:t>
            </w:r>
          </w:p>
        </w:tc>
        <w:tc>
          <w:tcPr>
            <w:tcW w:w="580" w:type="dxa"/>
            <w:vAlign w:val="bottom"/>
          </w:tcPr>
          <w:p>
            <w:pPr>
              <w:spacing w:after="0"/>
              <w:rPr>
                <w:sz w:val="14"/>
                <w:szCs w:val="14"/>
                <w:color w:val="auto"/>
              </w:rPr>
            </w:pPr>
          </w:p>
        </w:tc>
        <w:tc>
          <w:tcPr>
            <w:tcW w:w="22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1"/>
              </w:rPr>
              <w:t>December 31, 2017</w:t>
            </w:r>
          </w:p>
        </w:tc>
      </w:tr>
      <w:tr>
        <w:trPr>
          <w:trHeight w:val="178"/>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0"/>
              </w:rPr>
              <w:t>Change in pro forma net sales</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from prior period due to:</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Local price and product mix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gridSpan w:val="4"/>
          </w:tcPr>
          <w:p>
            <w:pPr>
              <w:jc w:val="right"/>
              <w:ind w:right="148"/>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Currency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Volume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gridSpan w:val="4"/>
          </w:tcPr>
          <w:p>
            <w:pPr>
              <w:jc w:val="right"/>
              <w:ind w:right="88"/>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Portfolio and other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gridSpan w:val="4"/>
          </w:tcPr>
          <w:p>
            <w:pPr>
              <w:jc w:val="right"/>
              <w:ind w:right="88"/>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versus 2017</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Seed pro forma net sales were $7,842 million in 2018, down from $8,056 million in 2017. Pro forma net sales declined 3 percent, reflecting a 1 percent gain in local price and product mix, offset by volume declines of 3 percent and currency declines of 1 percent. Increases in local price and product mix were driven by continued penetration of new corn hybrids and A-Series soybeans. Volume declines represented lower planted area in the U.S. &amp; Canada and Latin America.</w:t>
      </w: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Pro forma Operating EBITDA was $1,139 million in 2018, down 3 percent from $1,170 million in 2017. Cost synergies were more than offset by lower volume, higher raw material costs and royalty expense, and investments to support new product launches and digital platforms.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versus 2016</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Seed pro forma net sales were $8,056 million in 2017, up from $7,835 million in 2016. Pro forma net sales growth of 3 percent was driven by 1 percent gains in local price and product mix, volume and currency. Increases in local prices were driven by continued penetration of Pioneer</w:t>
      </w:r>
      <w:r>
        <w:rPr>
          <w:rFonts w:ascii="Arial" w:cs="Arial" w:eastAsia="Arial" w:hAnsi="Arial"/>
          <w:sz w:val="14"/>
          <w:szCs w:val="14"/>
          <w:color w:val="auto"/>
        </w:rPr>
        <w:t>®</w:t>
      </w:r>
      <w:r>
        <w:rPr>
          <w:rFonts w:ascii="Arial" w:cs="Arial" w:eastAsia="Arial" w:hAnsi="Arial"/>
          <w:sz w:val="17"/>
          <w:szCs w:val="17"/>
          <w:color w:val="auto"/>
        </w:rPr>
        <w:t xml:space="preserve"> brand hybrids with Leptra</w:t>
      </w:r>
      <w:r>
        <w:rPr>
          <w:rFonts w:ascii="Arial" w:cs="Arial" w:eastAsia="Arial" w:hAnsi="Arial"/>
          <w:sz w:val="14"/>
          <w:szCs w:val="14"/>
          <w:color w:val="auto"/>
        </w:rPr>
        <w:t>®</w:t>
      </w:r>
      <w:r>
        <w:rPr>
          <w:rFonts w:ascii="Arial" w:cs="Arial" w:eastAsia="Arial" w:hAnsi="Arial"/>
          <w:sz w:val="17"/>
          <w:szCs w:val="17"/>
          <w:color w:val="auto"/>
        </w:rPr>
        <w:t xml:space="preserve"> insect protection technology, Pioneer Protector</w:t>
      </w:r>
      <w:r>
        <w:rPr>
          <w:rFonts w:ascii="Arial" w:cs="Arial" w:eastAsia="Arial" w:hAnsi="Arial"/>
          <w:sz w:val="14"/>
          <w:szCs w:val="14"/>
          <w:color w:val="auto"/>
        </w:rPr>
        <w:t>®</w:t>
      </w:r>
      <w:r>
        <w:rPr>
          <w:rFonts w:ascii="Arial" w:cs="Arial" w:eastAsia="Arial" w:hAnsi="Arial"/>
          <w:sz w:val="17"/>
          <w:szCs w:val="17"/>
          <w:color w:val="auto"/>
        </w:rPr>
        <w:t xml:space="preserve"> products for sunflower, and Pioneer brand Optimum</w:t>
      </w:r>
      <w:r>
        <w:rPr>
          <w:rFonts w:ascii="Arial" w:cs="Arial" w:eastAsia="Arial" w:hAnsi="Arial"/>
          <w:sz w:val="14"/>
          <w:szCs w:val="14"/>
          <w:color w:val="auto"/>
        </w:rPr>
        <w:t>®</w:t>
      </w:r>
      <w:r>
        <w:rPr>
          <w:rFonts w:ascii="Arial" w:cs="Arial" w:eastAsia="Arial" w:hAnsi="Arial"/>
          <w:sz w:val="17"/>
          <w:szCs w:val="17"/>
          <w:color w:val="auto"/>
        </w:rPr>
        <w:t xml:space="preserve"> AQUAmax</w:t>
      </w:r>
      <w:r>
        <w:rPr>
          <w:rFonts w:ascii="Arial" w:cs="Arial" w:eastAsia="Arial" w:hAnsi="Arial"/>
          <w:sz w:val="14"/>
          <w:szCs w:val="14"/>
          <w:color w:val="auto"/>
        </w:rPr>
        <w:t>®</w:t>
      </w:r>
      <w:r>
        <w:rPr>
          <w:rFonts w:ascii="Arial" w:cs="Arial" w:eastAsia="Arial" w:hAnsi="Arial"/>
          <w:sz w:val="17"/>
          <w:szCs w:val="17"/>
          <w:color w:val="auto"/>
        </w:rPr>
        <w:t xml:space="preserve"> corn hybrids. Volume growth was driven by an increase in sunflower and corn seed sales in Europe and increased soybean sales in North America. These volume increases were partially offset by a reduction in global corn planted area, particularly in North America.</w:t>
      </w:r>
    </w:p>
    <w:p>
      <w:pPr>
        <w:spacing w:after="0" w:line="173"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Pro forma Operating EBITDA was $1,170 million in 2017, up 17 percent from $997 million in 2016. Pro forma Operating EBITDA increased on growth in local prices and product mix, improved volume, currency and cost savings. Increases were partially offset by higher product costs, including higher soybean royalties.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Crop Protection</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For the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For the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w:t>
            </w:r>
          </w:p>
        </w:tc>
      </w:tr>
      <w:tr>
        <w:trPr>
          <w:trHeight w:val="149"/>
        </w:trPr>
        <w:tc>
          <w:tcPr>
            <w:tcW w:w="4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Year Ended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Year Ended</w:t>
            </w:r>
          </w:p>
        </w:tc>
      </w:tr>
      <w:tr>
        <w:trPr>
          <w:trHeight w:val="171"/>
        </w:trPr>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 2018</w:t>
            </w:r>
          </w:p>
        </w:tc>
        <w:tc>
          <w:tcPr>
            <w:tcW w:w="90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3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net sales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Pro forma Operating EBITDA</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1,055</w:t>
            </w:r>
          </w:p>
        </w:tc>
        <w:tc>
          <w:tcPr>
            <w:tcW w:w="10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933</w:t>
            </w:r>
          </w:p>
        </w:tc>
        <w:tc>
          <w:tcPr>
            <w:tcW w:w="10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919</w:t>
            </w:r>
          </w:p>
        </w:tc>
      </w:tr>
      <w:tr>
        <w:trPr>
          <w:trHeight w:val="355"/>
        </w:trPr>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5"/>
              </w:rPr>
              <w:t>For the Year</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5"/>
              </w:rPr>
              <w:t>For the Year</w:t>
            </w:r>
          </w:p>
        </w:tc>
      </w:tr>
      <w:tr>
        <w:trPr>
          <w:trHeight w:val="149"/>
        </w:trPr>
        <w:tc>
          <w:tcPr>
            <w:tcW w:w="4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center"/>
              <w:ind w:left="721"/>
              <w:spacing w:after="0"/>
              <w:rPr>
                <w:sz w:val="20"/>
                <w:szCs w:val="20"/>
                <w:color w:val="auto"/>
              </w:rPr>
            </w:pPr>
            <w:r>
              <w:rPr>
                <w:rFonts w:ascii="Arial" w:cs="Arial" w:eastAsia="Arial" w:hAnsi="Arial"/>
                <w:sz w:val="14"/>
                <w:szCs w:val="14"/>
                <w:b w:val="1"/>
                <w:bCs w:val="1"/>
                <w:color w:val="auto"/>
                <w:w w:val="91"/>
              </w:rPr>
              <w:t>December 31, 2018</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91"/>
              </w:rPr>
              <w:t>December 31, 2017</w:t>
            </w:r>
          </w:p>
        </w:tc>
      </w:tr>
      <w:tr>
        <w:trPr>
          <w:trHeight w:val="178"/>
        </w:trPr>
        <w:tc>
          <w:tcPr>
            <w:tcW w:w="460" w:type="dxa"/>
            <w:vAlign w:val="bottom"/>
          </w:tcPr>
          <w:p>
            <w:pPr>
              <w:spacing w:after="0"/>
              <w:rPr>
                <w:sz w:val="15"/>
                <w:szCs w:val="15"/>
                <w:color w:val="auto"/>
              </w:rPr>
            </w:pPr>
          </w:p>
        </w:tc>
        <w:tc>
          <w:tcPr>
            <w:tcW w:w="32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1"/>
              </w:rPr>
              <w:t>Change in pro forma net sales from prior</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46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period due to:</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Local price and product mix</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Currency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Volume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Portfolio and other</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20"/>
                <w:szCs w:val="20"/>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versus 2017</w:t>
      </w:r>
    </w:p>
    <w:p>
      <w:pPr>
        <w:spacing w:after="0" w:line="117"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Crop Protection pro forma net sales were $6,445 million in 2018, up from $6,184 million in 2017. The 4 percent increase in pro forma net sales was driven by 3 percent gains in local price and product mix and 3 percent gains in volumes, partially offset by a 2 percent decline in currency. Increases in local prices were driven by continuing efforts to capture value in established brands across the Crop Protection portfolio globally. Increases in volumes were driven by new product launches such as VESSARYA</w:t>
      </w:r>
      <w:r>
        <w:rPr>
          <w:rFonts w:ascii="Arial" w:cs="Arial" w:eastAsia="Arial" w:hAnsi="Arial"/>
          <w:sz w:val="13"/>
          <w:szCs w:val="13"/>
          <w:color w:val="auto"/>
        </w:rPr>
        <w:t>TM</w:t>
      </w:r>
      <w:r>
        <w:rPr>
          <w:rFonts w:ascii="Arial" w:cs="Arial" w:eastAsia="Arial" w:hAnsi="Arial"/>
          <w:sz w:val="16"/>
          <w:szCs w:val="16"/>
          <w:color w:val="auto"/>
        </w:rPr>
        <w:t xml:space="preserve"> fungicides, ENLIST</w:t>
      </w:r>
      <w:r>
        <w:rPr>
          <w:rFonts w:ascii="Arial" w:cs="Arial" w:eastAsia="Arial" w:hAnsi="Arial"/>
          <w:sz w:val="13"/>
          <w:szCs w:val="13"/>
          <w:color w:val="auto"/>
        </w:rPr>
        <w:t>TM</w:t>
      </w:r>
      <w:r>
        <w:rPr>
          <w:rFonts w:ascii="Arial" w:cs="Arial" w:eastAsia="Arial" w:hAnsi="Arial"/>
          <w:sz w:val="16"/>
          <w:szCs w:val="16"/>
          <w:color w:val="auto"/>
        </w:rPr>
        <w:t xml:space="preserve"> products, and ISOCLAST</w:t>
      </w:r>
      <w:r>
        <w:rPr>
          <w:rFonts w:ascii="Arial" w:cs="Arial" w:eastAsia="Arial" w:hAnsi="Arial"/>
          <w:sz w:val="13"/>
          <w:szCs w:val="13"/>
          <w:color w:val="auto"/>
        </w:rPr>
        <w:t>®</w:t>
      </w:r>
      <w:r>
        <w:rPr>
          <w:rFonts w:ascii="Arial" w:cs="Arial" w:eastAsia="Arial" w:hAnsi="Arial"/>
          <w:sz w:val="16"/>
          <w:szCs w:val="16"/>
          <w:color w:val="auto"/>
        </w:rPr>
        <w:t>, Pyraxalt™ and Spinosyn™ insecticides and were partly offset by lower demand for nitrogen stabilizers in the U.S. &amp; Canada and currency pressures in Latin America.</w:t>
      </w:r>
    </w:p>
    <w:p>
      <w:pPr>
        <w:spacing w:after="0" w:line="158"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Pro forma Operating EBITDA was $1,055 million in 2018, up 13 percent from $933 million in 2017. Pro forma Operating EBITDA increased on cost synergies and sales gains from new product launches, partly offset by growth investments, including new product launches, higher raw material costs and the unfavorable impact of currency.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60"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versus 2016</w:t>
      </w:r>
    </w:p>
    <w:p>
      <w:pPr>
        <w:spacing w:after="0" w:line="117"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Crop Protection pro forma net sales were $6,184 million in 2017, compared to $6,206 million in 2016. Pro forma net sales were essentially flat driven by a 3 percent decline in local price and product mix, mostly offset by volume gains of 3 percent. The decrease in local price and product mix was driven by competitive pressures in Latin America, while volume growth was driven by continued penetration of new crop protection products Vessarya™ and Zorvec</w:t>
      </w:r>
      <w:r>
        <w:rPr>
          <w:rFonts w:ascii="Arial" w:cs="Arial" w:eastAsia="Arial" w:hAnsi="Arial"/>
          <w:sz w:val="15"/>
          <w:szCs w:val="15"/>
          <w:color w:val="auto"/>
        </w:rPr>
        <w:t>®</w:t>
      </w:r>
      <w:r>
        <w:rPr>
          <w:rFonts w:ascii="Arial" w:cs="Arial" w:eastAsia="Arial" w:hAnsi="Arial"/>
          <w:sz w:val="18"/>
          <w:szCs w:val="18"/>
          <w:color w:val="auto"/>
        </w:rPr>
        <w:t xml:space="preserve"> fungicides and continued demand for Arylex</w:t>
      </w:r>
      <w:r>
        <w:rPr>
          <w:rFonts w:ascii="Arial" w:cs="Arial" w:eastAsia="Arial" w:hAnsi="Arial"/>
          <w:sz w:val="15"/>
          <w:szCs w:val="15"/>
          <w:color w:val="auto"/>
        </w:rPr>
        <w:t>®</w:t>
      </w:r>
      <w:r>
        <w:rPr>
          <w:rFonts w:ascii="Arial" w:cs="Arial" w:eastAsia="Arial" w:hAnsi="Arial"/>
          <w:sz w:val="18"/>
          <w:szCs w:val="18"/>
          <w:color w:val="auto"/>
        </w:rPr>
        <w:t xml:space="preserve"> herbicide, Isoclast</w:t>
      </w:r>
      <w:r>
        <w:rPr>
          <w:rFonts w:ascii="Arial" w:cs="Arial" w:eastAsia="Arial" w:hAnsi="Arial"/>
          <w:sz w:val="15"/>
          <w:szCs w:val="15"/>
          <w:color w:val="auto"/>
        </w:rPr>
        <w:t>®</w:t>
      </w:r>
      <w:r>
        <w:rPr>
          <w:rFonts w:ascii="Arial" w:cs="Arial" w:eastAsia="Arial" w:hAnsi="Arial"/>
          <w:sz w:val="18"/>
          <w:szCs w:val="18"/>
          <w:color w:val="auto"/>
        </w:rPr>
        <w:t xml:space="preserve"> insecticide, and novel seed treatment solutions. These volume increases were partially offset by higher inventory levels in China.</w:t>
      </w:r>
    </w:p>
    <w:p>
      <w:pPr>
        <w:spacing w:after="0" w:line="18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Pro forma Operating EBITDA was $933 million in 2017, up 2 percent from $919 million in 2016. Pro forma Operating EBITDA increased on improved volume and cost savings and was partially offset by lower local prices due to competitive crop protection pricing pressure.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Reconciliation of Pro Forma Income from Continuing Operations After Income Taxes to Segment Pro Forma Operating EBITDA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For the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gridSpan w:val="2"/>
            <w:vMerge w:val="restart"/>
          </w:tcPr>
          <w:p>
            <w:pPr>
              <w:ind w:left="88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2"/>
          </w:tcPr>
          <w:p>
            <w:pPr>
              <w:jc w:val="right"/>
              <w:ind w:right="77"/>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960" w:type="dxa"/>
            <w:vAlign w:val="bottom"/>
            <w:gridSpan w:val="6"/>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(loss) income from continuing operations after income taxes</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$(4,962)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$ 2,569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Provision for (benefit from) income taxes on continuing operations</w:t>
            </w:r>
          </w:p>
        </w:tc>
        <w:tc>
          <w:tcPr>
            <w:tcW w:w="160" w:type="dxa"/>
            <w:vAlign w:val="bottom"/>
          </w:tcPr>
          <w:p>
            <w:pPr>
              <w:spacing w:after="0"/>
              <w:rPr>
                <w:sz w:val="18"/>
                <w:szCs w:val="18"/>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408</w:t>
            </w:r>
          </w:p>
        </w:tc>
        <w:tc>
          <w:tcPr>
            <w:tcW w:w="1140" w:type="dxa"/>
            <w:vAlign w:val="bottom"/>
            <w:gridSpan w:val="7"/>
          </w:tcPr>
          <w:p>
            <w:pPr>
              <w:jc w:val="right"/>
              <w:ind w:right="120"/>
              <w:spacing w:after="0"/>
              <w:rPr>
                <w:sz w:val="20"/>
                <w:szCs w:val="20"/>
                <w:color w:val="auto"/>
              </w:rPr>
            </w:pPr>
            <w:r>
              <w:rPr>
                <w:rFonts w:ascii="Arial" w:cs="Arial" w:eastAsia="Arial" w:hAnsi="Arial"/>
                <w:sz w:val="18"/>
                <w:szCs w:val="18"/>
                <w:color w:val="auto"/>
              </w:rPr>
              <w:t>(2,943)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9"/>
              </w:rPr>
              <w:t>Pro forma (loss) income from continuing operations before income taxes</w:t>
            </w: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(4,554)</w:t>
            </w:r>
          </w:p>
        </w:tc>
        <w:tc>
          <w:tcPr>
            <w:tcW w:w="114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Depreciation and amortization</w:t>
            </w:r>
          </w:p>
        </w:tc>
        <w:tc>
          <w:tcPr>
            <w:tcW w:w="160" w:type="dxa"/>
            <w:vAlign w:val="bottom"/>
          </w:tcPr>
          <w:p>
            <w:pPr>
              <w:spacing w:after="0"/>
              <w:rPr>
                <w:sz w:val="18"/>
                <w:szCs w:val="18"/>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903</w:t>
            </w:r>
          </w:p>
        </w:tc>
        <w:tc>
          <w:tcPr>
            <w:tcW w:w="1140" w:type="dxa"/>
            <w:vAlign w:val="bottom"/>
            <w:gridSpan w:val="7"/>
          </w:tcPr>
          <w:p>
            <w:pPr>
              <w:jc w:val="right"/>
              <w:ind w:right="18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Interest income</w:t>
            </w: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114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Interest expense</w:t>
            </w: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140" w:type="dxa"/>
            <w:vAlign w:val="bottom"/>
            <w:gridSpan w:val="7"/>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Exchange losses—net</w:t>
            </w: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14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Corporate expenses</w:t>
            </w:r>
          </w:p>
        </w:tc>
        <w:tc>
          <w:tcPr>
            <w:tcW w:w="160" w:type="dxa"/>
            <w:vAlign w:val="bottom"/>
          </w:tcPr>
          <w:p>
            <w:pPr>
              <w:spacing w:after="0"/>
              <w:rPr>
                <w:sz w:val="18"/>
                <w:szCs w:val="18"/>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141</w:t>
            </w:r>
          </w:p>
        </w:tc>
        <w:tc>
          <w:tcPr>
            <w:tcW w:w="1140" w:type="dxa"/>
            <w:vAlign w:val="bottom"/>
            <w:gridSpan w:val="7"/>
          </w:tcPr>
          <w:p>
            <w:pPr>
              <w:jc w:val="right"/>
              <w:ind w:right="18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Non-operating (benefits) costs—net</w:t>
            </w: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114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Goodwill impairment charge</w:t>
            </w:r>
          </w:p>
        </w:tc>
        <w:tc>
          <w:tcPr>
            <w:tcW w:w="160" w:type="dxa"/>
            <w:vAlign w:val="bottom"/>
          </w:tcPr>
          <w:p>
            <w:pPr>
              <w:spacing w:after="0"/>
              <w:rPr>
                <w:sz w:val="18"/>
                <w:szCs w:val="18"/>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4,503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Significant items</w:t>
            </w: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1,296</w:t>
            </w:r>
          </w:p>
        </w:tc>
        <w:tc>
          <w:tcPr>
            <w:tcW w:w="114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0" w:type="dxa"/>
            <w:vAlign w:val="bottom"/>
            <w:gridSpan w:val="2"/>
          </w:tcPr>
          <w:p>
            <w:pPr>
              <w:ind w:left="880"/>
              <w:spacing w:after="0"/>
              <w:rPr>
                <w:sz w:val="20"/>
                <w:szCs w:val="20"/>
                <w:color w:val="auto"/>
              </w:rPr>
            </w:pPr>
            <w:r>
              <w:rPr>
                <w:rFonts w:ascii="Arial" w:cs="Arial" w:eastAsia="Arial" w:hAnsi="Arial"/>
                <w:sz w:val="18"/>
                <w:szCs w:val="18"/>
                <w:color w:val="auto"/>
              </w:rPr>
              <w:t>Segment Pro Forma Operating EBITDA</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$ 2,194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$ 2,103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$1,916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9"/>
        </w:trPr>
        <w:tc>
          <w:tcPr>
            <w:tcW w:w="6600" w:type="dxa"/>
            <w:vAlign w:val="bottom"/>
            <w:gridSpan w:val="2"/>
          </w:tcPr>
          <w:p>
            <w:pPr>
              <w:jc w:val="right"/>
              <w:ind w:right="4450"/>
              <w:spacing w:after="0"/>
              <w:rPr>
                <w:sz w:val="20"/>
                <w:szCs w:val="20"/>
                <w:color w:val="auto"/>
              </w:rPr>
            </w:pPr>
            <w:r>
              <w:rPr>
                <w:rFonts w:ascii="Arial" w:cs="Arial" w:eastAsia="Arial" w:hAnsi="Arial"/>
                <w:sz w:val="18"/>
                <w:szCs w:val="18"/>
                <w:b w:val="1"/>
                <w:bCs w:val="1"/>
                <w:color w:val="auto"/>
                <w:w w:val="90"/>
              </w:rPr>
              <w:t>Adjusted Significant Items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4"/>
          </w:tcPr>
          <w:p>
            <w:pPr>
              <w:jc w:val="center"/>
              <w:ind w:left="214"/>
              <w:spacing w:after="0"/>
              <w:rPr>
                <w:sz w:val="20"/>
                <w:szCs w:val="20"/>
                <w:color w:val="auto"/>
              </w:rPr>
            </w:pPr>
            <w:r>
              <w:rPr>
                <w:rFonts w:ascii="Arial" w:cs="Arial" w:eastAsia="Arial" w:hAnsi="Arial"/>
                <w:sz w:val="14"/>
                <w:szCs w:val="14"/>
                <w:b w:val="1"/>
                <w:bCs w:val="1"/>
                <w:color w:val="auto"/>
                <w:w w:val="92"/>
              </w:rPr>
              <w:t>For the Year Ended December 31, 2018</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tcPr>
          <w:p>
            <w:pPr>
              <w:jc w:val="center"/>
              <w:ind w:right="820"/>
              <w:spacing w:after="0" w:line="119" w:lineRule="exact"/>
              <w:rPr>
                <w:sz w:val="20"/>
                <w:szCs w:val="20"/>
                <w:color w:val="auto"/>
              </w:rPr>
            </w:pPr>
            <w:r>
              <w:rPr>
                <w:rFonts w:ascii="Arial" w:cs="Arial" w:eastAsia="Arial" w:hAnsi="Arial"/>
                <w:sz w:val="13"/>
                <w:szCs w:val="13"/>
                <w:b w:val="1"/>
                <w:bCs w:val="1"/>
                <w:color w:val="auto"/>
              </w:rPr>
              <w:t>Crop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5"/>
            <w:vMerge w:val="restart"/>
          </w:tcPr>
          <w:p>
            <w:pPr>
              <w:jc w:val="center"/>
              <w:ind w:right="620"/>
              <w:spacing w:after="0"/>
              <w:rPr>
                <w:sz w:val="20"/>
                <w:szCs w:val="20"/>
                <w:color w:val="auto"/>
              </w:rPr>
            </w:pPr>
            <w:r>
              <w:rPr>
                <w:rFonts w:ascii="Arial" w:cs="Arial" w:eastAsia="Arial" w:hAnsi="Arial"/>
                <w:sz w:val="14"/>
                <w:szCs w:val="14"/>
                <w:b w:val="1"/>
                <w:bCs w:val="1"/>
                <w:color w:val="auto"/>
                <w:w w:val="82"/>
              </w:rPr>
              <w:t>Seeds</w:t>
            </w:r>
          </w:p>
        </w:tc>
        <w:tc>
          <w:tcPr>
            <w:tcW w:w="120" w:type="dxa"/>
            <w:vAlign w:val="bottom"/>
          </w:tcPr>
          <w:p>
            <w:pPr>
              <w:spacing w:after="0"/>
              <w:rPr>
                <w:sz w:val="10"/>
                <w:szCs w:val="10"/>
                <w:color w:val="auto"/>
              </w:rPr>
            </w:pPr>
          </w:p>
        </w:tc>
        <w:tc>
          <w:tcPr>
            <w:tcW w:w="86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Corporate</w:t>
            </w:r>
          </w:p>
        </w:tc>
        <w:tc>
          <w:tcPr>
            <w:tcW w:w="0" w:type="dxa"/>
            <w:vAlign w:val="bottom"/>
          </w:tcPr>
          <w:p>
            <w:pPr>
              <w:spacing w:after="0"/>
              <w:rPr>
                <w:sz w:val="1"/>
                <w:szCs w:val="1"/>
                <w:color w:val="auto"/>
              </w:rPr>
            </w:pPr>
          </w:p>
        </w:tc>
      </w:tr>
      <w:tr>
        <w:trPr>
          <w:trHeight w:val="171"/>
        </w:trPr>
        <w:tc>
          <w:tcPr>
            <w:tcW w:w="6600" w:type="dxa"/>
            <w:vAlign w:val="bottom"/>
            <w:gridSpan w:val="2"/>
          </w:tcPr>
          <w:p>
            <w:pPr>
              <w:ind w:left="880"/>
              <w:spacing w:after="0"/>
              <w:rPr>
                <w:sz w:val="20"/>
                <w:szCs w:val="20"/>
                <w:color w:val="auto"/>
              </w:rPr>
            </w:pPr>
            <w:r>
              <w:rPr>
                <w:rFonts w:ascii="Arial" w:cs="Arial" w:eastAsia="Arial" w:hAnsi="Arial"/>
                <w:sz w:val="14"/>
                <w:szCs w:val="14"/>
                <w:i w:val="1"/>
                <w:iCs w:val="1"/>
                <w:color w:val="auto"/>
              </w:rPr>
              <w:t>(in millions)</w:t>
            </w:r>
          </w:p>
        </w:tc>
        <w:tc>
          <w:tcPr>
            <w:tcW w:w="142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2"/>
              </w:rPr>
              <w:t>Protection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(22)</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Loss on deconsolidation of subsidiary</w:t>
            </w:r>
          </w:p>
        </w:tc>
        <w:tc>
          <w:tcPr>
            <w:tcW w:w="160" w:type="dxa"/>
            <w:vAlign w:val="bottom"/>
          </w:tcPr>
          <w:p>
            <w:pPr>
              <w:spacing w:after="0"/>
              <w:rPr>
                <w:sz w:val="18"/>
                <w:szCs w:val="18"/>
                <w:color w:val="auto"/>
              </w:rPr>
            </w:pPr>
          </w:p>
        </w:tc>
        <w:tc>
          <w:tcPr>
            <w:tcW w:w="126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960" w:type="dxa"/>
            <w:vAlign w:val="bottom"/>
            <w:gridSpan w:val="6"/>
          </w:tcPr>
          <w:p>
            <w:pPr>
              <w:jc w:val="right"/>
              <w:ind w:right="35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Integration costs</w:t>
            </w: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571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Restructuring and asset-related charges—net</w:t>
            </w:r>
          </w:p>
        </w:tc>
        <w:tc>
          <w:tcPr>
            <w:tcW w:w="160" w:type="dxa"/>
            <w:vAlign w:val="bottom"/>
          </w:tcPr>
          <w:p>
            <w:pPr>
              <w:spacing w:after="0"/>
              <w:rPr>
                <w:sz w:val="18"/>
                <w:szCs w:val="18"/>
                <w:color w:val="auto"/>
              </w:rPr>
            </w:pPr>
          </w:p>
        </w:tc>
        <w:tc>
          <w:tcPr>
            <w:tcW w:w="1120" w:type="dxa"/>
            <w:vAlign w:val="bottom"/>
            <w:gridSpan w:val="3"/>
          </w:tcPr>
          <w:p>
            <w:pPr>
              <w:jc w:val="right"/>
              <w:ind w:right="428"/>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960" w:type="dxa"/>
            <w:vAlign w:val="bottom"/>
            <w:gridSpan w:val="6"/>
          </w:tcPr>
          <w:p>
            <w:pPr>
              <w:jc w:val="right"/>
              <w:ind w:right="35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ind w:left="200"/>
              <w:spacing w:after="0"/>
              <w:rPr>
                <w:sz w:val="20"/>
                <w:szCs w:val="20"/>
                <w:color w:val="auto"/>
              </w:rPr>
            </w:pPr>
            <w:r>
              <w:rPr>
                <w:rFonts w:ascii="Arial" w:cs="Arial" w:eastAsia="Arial" w:hAnsi="Arial"/>
                <w:sz w:val="18"/>
                <w:szCs w:val="18"/>
                <w:color w:val="auto"/>
                <w:w w:val="99"/>
              </w:rPr>
              <w:t>268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items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350"/>
              <w:spacing w:after="0"/>
              <w:rPr>
                <w:sz w:val="20"/>
                <w:szCs w:val="20"/>
                <w:color w:val="auto"/>
              </w:rPr>
            </w:pPr>
            <w:r>
              <w:rPr>
                <w:rFonts w:ascii="Arial" w:cs="Arial" w:eastAsia="Arial" w:hAnsi="Arial"/>
                <w:sz w:val="18"/>
                <w:szCs w:val="18"/>
                <w:color w:val="auto"/>
              </w:rPr>
              <w:t>$ 399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839</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4"/>
          </w:tcPr>
          <w:p>
            <w:pPr>
              <w:jc w:val="center"/>
              <w:ind w:left="214"/>
              <w:spacing w:after="0"/>
              <w:rPr>
                <w:sz w:val="20"/>
                <w:szCs w:val="20"/>
                <w:color w:val="auto"/>
              </w:rPr>
            </w:pPr>
            <w:r>
              <w:rPr>
                <w:rFonts w:ascii="Arial" w:cs="Arial" w:eastAsia="Arial" w:hAnsi="Arial"/>
                <w:sz w:val="14"/>
                <w:szCs w:val="14"/>
                <w:b w:val="1"/>
                <w:bCs w:val="1"/>
                <w:color w:val="auto"/>
                <w:w w:val="92"/>
              </w:rPr>
              <w:t>For the Year Ended December 31, 2017</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tcPr>
          <w:p>
            <w:pPr>
              <w:jc w:val="center"/>
              <w:ind w:right="820"/>
              <w:spacing w:after="0" w:line="119" w:lineRule="exact"/>
              <w:rPr>
                <w:sz w:val="20"/>
                <w:szCs w:val="20"/>
                <w:color w:val="auto"/>
              </w:rPr>
            </w:pPr>
            <w:r>
              <w:rPr>
                <w:rFonts w:ascii="Arial" w:cs="Arial" w:eastAsia="Arial" w:hAnsi="Arial"/>
                <w:sz w:val="13"/>
                <w:szCs w:val="13"/>
                <w:b w:val="1"/>
                <w:bCs w:val="1"/>
                <w:color w:val="auto"/>
              </w:rPr>
              <w:t>Crop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w w:val="82"/>
              </w:rPr>
              <w:t>Seeds</w:t>
            </w:r>
          </w:p>
        </w:tc>
        <w:tc>
          <w:tcPr>
            <w:tcW w:w="120" w:type="dxa"/>
            <w:vAlign w:val="bottom"/>
          </w:tcPr>
          <w:p>
            <w:pPr>
              <w:spacing w:after="0"/>
              <w:rPr>
                <w:sz w:val="10"/>
                <w:szCs w:val="10"/>
                <w:color w:val="auto"/>
              </w:rPr>
            </w:pPr>
          </w:p>
        </w:tc>
        <w:tc>
          <w:tcPr>
            <w:tcW w:w="86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Corporate</w:t>
            </w:r>
          </w:p>
        </w:tc>
        <w:tc>
          <w:tcPr>
            <w:tcW w:w="0" w:type="dxa"/>
            <w:vAlign w:val="bottom"/>
          </w:tcPr>
          <w:p>
            <w:pPr>
              <w:spacing w:after="0"/>
              <w:rPr>
                <w:sz w:val="1"/>
                <w:szCs w:val="1"/>
                <w:color w:val="auto"/>
              </w:rPr>
            </w:pPr>
          </w:p>
        </w:tc>
      </w:tr>
      <w:tr>
        <w:trPr>
          <w:trHeight w:val="171"/>
        </w:trPr>
        <w:tc>
          <w:tcPr>
            <w:tcW w:w="6600" w:type="dxa"/>
            <w:vAlign w:val="bottom"/>
            <w:gridSpan w:val="2"/>
          </w:tcPr>
          <w:p>
            <w:pPr>
              <w:ind w:left="880"/>
              <w:spacing w:after="0"/>
              <w:rPr>
                <w:sz w:val="20"/>
                <w:szCs w:val="20"/>
                <w:color w:val="auto"/>
              </w:rPr>
            </w:pPr>
            <w:r>
              <w:rPr>
                <w:rFonts w:ascii="Arial" w:cs="Arial" w:eastAsia="Arial" w:hAnsi="Arial"/>
                <w:sz w:val="14"/>
                <w:szCs w:val="14"/>
                <w:i w:val="1"/>
                <w:iCs w:val="1"/>
                <w:color w:val="auto"/>
              </w:rPr>
              <w:t>(in millions)</w:t>
            </w:r>
          </w:p>
        </w:tc>
        <w:tc>
          <w:tcPr>
            <w:tcW w:w="142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2"/>
              </w:rPr>
              <w:t>Protection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Bayer CropScience arbitration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$ 469</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Integration costs</w:t>
            </w:r>
          </w:p>
        </w:tc>
        <w:tc>
          <w:tcPr>
            <w:tcW w:w="160" w:type="dxa"/>
            <w:vAlign w:val="bottom"/>
          </w:tcPr>
          <w:p>
            <w:pPr>
              <w:spacing w:after="0"/>
              <w:rPr>
                <w:sz w:val="18"/>
                <w:szCs w:val="18"/>
                <w:color w:val="auto"/>
              </w:rPr>
            </w:pPr>
          </w:p>
        </w:tc>
        <w:tc>
          <w:tcPr>
            <w:tcW w:w="126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5"/>
          </w:tcPr>
          <w:p>
            <w:pPr>
              <w:jc w:val="center"/>
              <w:ind w:right="5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ind w:left="200"/>
              <w:spacing w:after="0"/>
              <w:rPr>
                <w:sz w:val="20"/>
                <w:szCs w:val="20"/>
                <w:color w:val="auto"/>
              </w:rPr>
            </w:pPr>
            <w:r>
              <w:rPr>
                <w:rFonts w:ascii="Arial" w:cs="Arial" w:eastAsia="Arial" w:hAnsi="Arial"/>
                <w:sz w:val="18"/>
                <w:szCs w:val="18"/>
                <w:color w:val="auto"/>
                <w:w w:val="99"/>
              </w:rPr>
              <w:t>217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asset-related (benefits) charges—net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significant items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68"/>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$ 602</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20" w:type="dxa"/>
            <w:vAlign w:val="bottom"/>
            <w:gridSpan w:val="3"/>
          </w:tcPr>
          <w:p>
            <w:pPr>
              <w:ind w:left="200"/>
              <w:spacing w:after="0"/>
              <w:rPr>
                <w:sz w:val="20"/>
                <w:szCs w:val="20"/>
                <w:color w:val="auto"/>
              </w:rPr>
            </w:pPr>
            <w:r>
              <w:rPr>
                <w:rFonts w:ascii="Arial" w:cs="Arial" w:eastAsia="Arial" w:hAnsi="Arial"/>
                <w:sz w:val="18"/>
                <w:szCs w:val="18"/>
                <w:color w:val="auto"/>
                <w:w w:val="99"/>
              </w:rPr>
              <w:t>357</w:t>
            </w:r>
          </w:p>
        </w:tc>
        <w:tc>
          <w:tcPr>
            <w:tcW w:w="0" w:type="dxa"/>
            <w:vAlign w:val="bottom"/>
          </w:tcPr>
          <w:p>
            <w:pPr>
              <w:spacing w:after="0"/>
              <w:rPr>
                <w:sz w:val="1"/>
                <w:szCs w:val="1"/>
                <w:color w:val="auto"/>
              </w:rPr>
            </w:pPr>
          </w:p>
        </w:tc>
      </w:tr>
      <w:tr>
        <w:trPr>
          <w:trHeight w:val="350"/>
        </w:trPr>
        <w:tc>
          <w:tcPr>
            <w:tcW w:w="6600" w:type="dxa"/>
            <w:vAlign w:val="bottom"/>
            <w:gridSpan w:val="2"/>
          </w:tcPr>
          <w:p>
            <w:pPr>
              <w:jc w:val="right"/>
              <w:ind w:right="91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center"/>
              <w:ind w:left="156"/>
              <w:spacing w:after="0"/>
              <w:rPr>
                <w:sz w:val="20"/>
                <w:szCs w:val="20"/>
                <w:color w:val="auto"/>
              </w:rPr>
            </w:pPr>
            <w:r>
              <w:rPr>
                <w:rFonts w:ascii="Arial" w:cs="Arial" w:eastAsia="Arial" w:hAnsi="Arial"/>
                <w:sz w:val="14"/>
                <w:szCs w:val="14"/>
                <w:b w:val="1"/>
                <w:bCs w:val="1"/>
                <w:color w:val="auto"/>
                <w:w w:val="92"/>
              </w:rPr>
              <w:t>For the Year Ended December 31, 2016</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right"/>
              <w:ind w:right="960"/>
              <w:spacing w:after="0" w:line="119" w:lineRule="exact"/>
              <w:rPr>
                <w:sz w:val="20"/>
                <w:szCs w:val="20"/>
                <w:color w:val="auto"/>
              </w:rPr>
            </w:pPr>
            <w:r>
              <w:rPr>
                <w:rFonts w:ascii="Arial" w:cs="Arial" w:eastAsia="Arial" w:hAnsi="Arial"/>
                <w:sz w:val="13"/>
                <w:szCs w:val="13"/>
                <w:b w:val="1"/>
                <w:bCs w:val="1"/>
                <w:color w:val="auto"/>
              </w:rPr>
              <w:t>Crop</w:t>
            </w:r>
          </w:p>
        </w:tc>
        <w:tc>
          <w:tcPr>
            <w:tcW w:w="8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2"/>
              </w:rPr>
              <w:t>Seeds</w:t>
            </w:r>
          </w:p>
        </w:tc>
        <w:tc>
          <w:tcPr>
            <w:tcW w:w="360" w:type="dxa"/>
            <w:vAlign w:val="bottom"/>
          </w:tcPr>
          <w:p>
            <w:pPr>
              <w:spacing w:after="0"/>
              <w:rPr>
                <w:sz w:val="10"/>
                <w:szCs w:val="10"/>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860" w:type="dxa"/>
            <w:vAlign w:val="bottom"/>
          </w:tcPr>
          <w:p>
            <w:pPr>
              <w:spacing w:after="0"/>
              <w:rPr>
                <w:sz w:val="14"/>
                <w:szCs w:val="14"/>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8"/>
              </w:rPr>
              <w:t>Protection</w:t>
            </w:r>
          </w:p>
        </w:tc>
        <w:tc>
          <w:tcPr>
            <w:tcW w:w="8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claim adjustment/recovery</w:t>
            </w:r>
          </w:p>
        </w:tc>
        <w:tc>
          <w:tcPr>
            <w:tcW w:w="1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Environmental charges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Integration costs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Restructuring and asset-related charges—net</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w w:val="99"/>
              </w:rPr>
              <w:t>357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items</w:t>
            </w:r>
          </w:p>
        </w:tc>
        <w:tc>
          <w:tcPr>
            <w:tcW w:w="20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431</w:t>
            </w:r>
          </w:p>
        </w:tc>
        <w:tc>
          <w:tcPr>
            <w:tcW w:w="0" w:type="dxa"/>
            <w:vAlign w:val="bottom"/>
          </w:tcPr>
          <w:p>
            <w:pPr>
              <w:spacing w:after="0"/>
              <w:rPr>
                <w:sz w:val="1"/>
                <w:szCs w:val="1"/>
                <w:color w:val="auto"/>
              </w:rPr>
            </w:pPr>
          </w:p>
        </w:tc>
      </w:tr>
      <w:tr>
        <w:trPr>
          <w:trHeight w:val="365"/>
        </w:trPr>
        <w:tc>
          <w:tcPr>
            <w:tcW w:w="3880" w:type="dxa"/>
            <w:vAlign w:val="bottom"/>
          </w:tcPr>
          <w:p>
            <w:pPr>
              <w:spacing w:after="0"/>
              <w:rPr>
                <w:sz w:val="24"/>
                <w:szCs w:val="24"/>
                <w:color w:val="auto"/>
              </w:rPr>
            </w:pPr>
          </w:p>
        </w:tc>
        <w:tc>
          <w:tcPr>
            <w:tcW w:w="1860" w:type="dxa"/>
            <w:vAlign w:val="bottom"/>
          </w:tcPr>
          <w:p>
            <w:pPr>
              <w:jc w:val="right"/>
              <w:ind w:right="93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40" w:top="460" w:right="13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SUPPLEMENTAL LIQUIDITY &amp; CAPITAL RESOURCES</w:t>
      </w:r>
    </w:p>
    <w:p>
      <w:pPr>
        <w:spacing w:after="0" w:line="229"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The company believes its ability to generate cash from operations and access to capital markets and commercial paper markets will be adequate to meet anticipated cash requirements to fund its operations, including seasonal working capital, capital spending and pension obligations. Corteva is committed to maintaining a strong credit profile and has targeted an A- credit rating (expressed in S&amp;P nomenclature). The company believes its strong financial position, liquidity and targeted credit rating will provide access as needed to capital markets and commercial paper markets to fund seasonal working capital needs. The company expects its liquidity needs can be met through a variety of sources, including cash provided by operating activities, commercial paper, syndicated credit lines, bilateral credit lines, long-term debt markets, bank financing and committed receivable repurchase facilities.</w:t>
      </w:r>
    </w:p>
    <w:p>
      <w:pPr>
        <w:spacing w:after="0" w:line="165"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At separation, the company expects to have access to approximately $7.3 billion in committed and uncommitted credit lines, including a $3.0 billion five year revolving credit facility and a $3.0 billion three year revolving credit facility (the “2018 Revolving Credit Facilities”). These credit lines will support our commercial paper borrowings and can be used for general corporate purposes, including supporting the company’s liquidity needs, funding of seasonal working capital, contributions to certain benefit plans, severance payments and capital expenditures. In November 2018, Historical DuPont entered into the 2018 Revolving Credit Facilities, to which Corteva will become a party at the time of separation and distribution. For a more detailed description of the 2018 Revolving Credit Facilities, see the section entitled “Description of Material Indebtedness.”</w:t>
      </w:r>
    </w:p>
    <w:p>
      <w:pPr>
        <w:spacing w:after="0" w:line="17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 February 2019, Historical DuPont entered into a committed receivable repurchase facility of up to $1,300 million (the “2019 Repurchase Facility”) which expires in December 2019. Under the 2019 Repurchase Facility, Historical DuPont may sell a portfolio of available and eligible outstanding customer notes receivables within the agriculture product line to participating institutions and simultaneously agree to repurchase at a future date. The 2019 Repurchase Facility is considered a secured borrowing with the customer notes receivables (inclusive of those that are sold and repurchased) equal to 105% of the outstanding amounts borrowed utilized as collateral. Borrowings under the 2019 Repurchase Facility will have an interest rate of LIBOR + 0.75%.</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The following table presents Corteva’s selected historical condensed consolidated financial data based on that of Historical DuPont. The selected historical condensed consolidated financial data has been derived from the financial information contained in Historical DuPont’s annual financial statements for the periods shown, including those incorporated by reference herein and filed as Exhibit 99.2 to the Form 10 of which this information statement forms a part. In connection with the Merger, the assets and liabilities of Historical DuPont were measured at fair value under the acquisition method of accounting. Historical DuPont elected to apply pushdown accounting, thereby requiring that the assets and liabilities reflect their fair value at the date of the Merger. As a result of the change in the cost basis of these assets and liabilities, and the alignment of our accounting policies and financial statement presentation to DowDuPont’s, the historical financial statements and the related disclosures of Corteva, which are that of Historical DuPont, present pre-Merger activity as the “Predecessor” and post-Merger activity as the “Successor.” Accordingly, the financial position, results of operations, and cash flows and related disclosures for the Predecessor and Successor periods are separated by a black line division, indicating that the pre-Merger and post-Merger periods are not comparable.</w:t>
      </w:r>
    </w:p>
    <w:p>
      <w:pPr>
        <w:spacing w:after="0" w:line="178" w:lineRule="exact"/>
        <w:rPr>
          <w:sz w:val="20"/>
          <w:szCs w:val="20"/>
          <w:color w:val="auto"/>
        </w:rPr>
      </w:pPr>
    </w:p>
    <w:p>
      <w:pPr>
        <w:jc w:val="both"/>
        <w:ind w:left="200" w:right="60"/>
        <w:spacing w:after="0" w:line="312" w:lineRule="auto"/>
        <w:rPr>
          <w:sz w:val="20"/>
          <w:szCs w:val="20"/>
          <w:color w:val="auto"/>
        </w:rPr>
      </w:pPr>
      <w:r>
        <w:rPr>
          <w:rFonts w:ascii="Arial" w:cs="Arial" w:eastAsia="Arial" w:hAnsi="Arial"/>
          <w:sz w:val="16"/>
          <w:szCs w:val="16"/>
          <w:color w:val="auto"/>
        </w:rPr>
        <w:t>For a better understanding, this section should be read in conjunction with “Management’s Discussion and Analysis of Financial Condition and Results of Operations,” the unaudited pro forma combined financial statements and accompanying notes, and the annual financial statements and accompanying notes, which are incorporated by reference herein and filed as Exhibit 99.2 to the Form 10 of which this information statement forms a part.</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5"/>
            <w:vMerge w:val="restart"/>
          </w:tcPr>
          <w:p>
            <w:pPr>
              <w:jc w:val="right"/>
              <w:ind w:right="516"/>
              <w:spacing w:after="0"/>
              <w:rPr>
                <w:sz w:val="20"/>
                <w:szCs w:val="20"/>
                <w:color w:val="auto"/>
              </w:rPr>
            </w:pPr>
            <w:r>
              <w:rPr>
                <w:rFonts w:ascii="Arial" w:cs="Arial" w:eastAsia="Arial" w:hAnsi="Arial"/>
                <w:sz w:val="14"/>
                <w:szCs w:val="14"/>
                <w:b w:val="1"/>
                <w:bCs w:val="1"/>
                <w:color w:val="auto"/>
              </w:rPr>
              <w:t>Successor</w:t>
            </w:r>
          </w:p>
        </w:tc>
        <w:tc>
          <w:tcPr>
            <w:tcW w:w="20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4"/>
            <w:vMerge w:val="restart"/>
          </w:tcPr>
          <w:p>
            <w:pPr>
              <w:jc w:val="right"/>
              <w:ind w:right="472"/>
              <w:spacing w:after="0"/>
              <w:rPr>
                <w:sz w:val="20"/>
                <w:szCs w:val="20"/>
                <w:color w:val="auto"/>
              </w:rPr>
            </w:pPr>
            <w:r>
              <w:rPr>
                <w:rFonts w:ascii="Arial" w:cs="Arial" w:eastAsia="Arial" w:hAnsi="Arial"/>
                <w:sz w:val="14"/>
                <w:szCs w:val="14"/>
                <w:b w:val="1"/>
                <w:bCs w:val="1"/>
                <w:color w:val="auto"/>
              </w:rPr>
              <w:t>Predecessor</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300" w:type="dxa"/>
            <w:vAlign w:val="bottom"/>
            <w:tcBorders>
              <w:lef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For the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w w:val="99"/>
              </w:rPr>
              <w:t>For the</w:t>
            </w:r>
          </w:p>
        </w:tc>
        <w:tc>
          <w:tcPr>
            <w:tcW w:w="200" w:type="dxa"/>
            <w:vAlign w:val="bottom"/>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For the</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Period</w:t>
            </w:r>
          </w:p>
        </w:tc>
        <w:tc>
          <w:tcPr>
            <w:tcW w:w="3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Period</w:t>
            </w:r>
          </w:p>
        </w:tc>
        <w:tc>
          <w:tcPr>
            <w:tcW w:w="32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For the Year</w:t>
            </w:r>
          </w:p>
        </w:tc>
        <w:tc>
          <w:tcPr>
            <w:tcW w:w="34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3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September 1</w:t>
            </w:r>
          </w:p>
        </w:tc>
        <w:tc>
          <w:tcPr>
            <w:tcW w:w="300" w:type="dxa"/>
            <w:vAlign w:val="bottom"/>
            <w:tcBorders>
              <w:left w:val="single" w:sz="8" w:color="auto"/>
            </w:tcBorders>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January 1</w:t>
            </w:r>
          </w:p>
        </w:tc>
        <w:tc>
          <w:tcPr>
            <w:tcW w:w="3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December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through</w:t>
            </w:r>
          </w:p>
        </w:tc>
        <w:tc>
          <w:tcPr>
            <w:tcW w:w="300" w:type="dxa"/>
            <w:vAlign w:val="bottom"/>
            <w:tcBorders>
              <w:left w:val="single" w:sz="8" w:color="auto"/>
            </w:tcBorders>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through</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Ended</w:t>
            </w:r>
          </w:p>
        </w:tc>
        <w:tc>
          <w:tcPr>
            <w:tcW w:w="124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2"/>
                <w:szCs w:val="12"/>
                <w:color w:val="auto"/>
              </w:rPr>
            </w:pPr>
          </w:p>
        </w:tc>
        <w:tc>
          <w:tcPr>
            <w:tcW w:w="118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tcBorders>
              <w:left w:val="single" w:sz="8" w:color="auto"/>
            </w:tcBorders>
            <w:gridSpan w:val="3"/>
          </w:tcPr>
          <w:p>
            <w:pPr>
              <w:ind w:left="280"/>
              <w:spacing w:after="0" w:line="149" w:lineRule="exact"/>
              <w:rPr>
                <w:sz w:val="20"/>
                <w:szCs w:val="20"/>
                <w:color w:val="auto"/>
              </w:rPr>
            </w:pPr>
            <w:r>
              <w:rPr>
                <w:rFonts w:ascii="Arial" w:cs="Arial" w:eastAsia="Arial" w:hAnsi="Arial"/>
                <w:sz w:val="14"/>
                <w:szCs w:val="14"/>
                <w:b w:val="1"/>
                <w:bCs w:val="1"/>
                <w:color w:val="auto"/>
                <w:w w:val="92"/>
              </w:rPr>
              <w:t>August 31,</w:t>
            </w:r>
          </w:p>
        </w:tc>
        <w:tc>
          <w:tcPr>
            <w:tcW w:w="116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18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9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Summary of operations:</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lef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26,279</w:t>
            </w:r>
          </w:p>
        </w:tc>
        <w:tc>
          <w:tcPr>
            <w:tcW w:w="16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7,053</w:t>
            </w:r>
          </w:p>
        </w:tc>
        <w:tc>
          <w:tcPr>
            <w:tcW w:w="200" w:type="dxa"/>
            <w:vAlign w:val="bottom"/>
          </w:tcPr>
          <w:p>
            <w:pPr>
              <w:spacing w:after="0"/>
              <w:rPr>
                <w:sz w:val="18"/>
                <w:szCs w:val="18"/>
                <w:color w:val="auto"/>
              </w:rPr>
            </w:pPr>
          </w:p>
        </w:tc>
        <w:tc>
          <w:tcPr>
            <w:tcW w:w="380" w:type="dxa"/>
            <w:vAlign w:val="bottom"/>
            <w:tcBorders>
              <w:left w:val="single" w:sz="8" w:color="auto"/>
            </w:tcBorders>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17,281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23,209</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23,657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asset related charges—net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380" w:type="dxa"/>
            <w:vAlign w:val="bottom"/>
            <w:tcBorders>
              <w:lef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8"/>
              </w:rPr>
              <w:t>(Loss) income from continuing operations before 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taxes</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(4,793)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(1,586)</w:t>
            </w:r>
          </w:p>
        </w:tc>
        <w:tc>
          <w:tcPr>
            <w:tcW w:w="380" w:type="dxa"/>
            <w:vAlign w:val="bottom"/>
            <w:tcBorders>
              <w:left w:val="single" w:sz="8" w:color="auto"/>
            </w:tcBorders>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2,723</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2,022</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for (benefit from) income taxes on continuing</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(2,673)</w:t>
            </w:r>
          </w:p>
        </w:tc>
        <w:tc>
          <w:tcPr>
            <w:tcW w:w="380" w:type="dxa"/>
            <w:vAlign w:val="bottom"/>
            <w:tcBorders>
              <w:lef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attributable to Historical DuPont</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(5,029)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18"/>
                <w:szCs w:val="18"/>
                <w:color w:val="auto"/>
              </w:rPr>
            </w:pPr>
          </w:p>
        </w:tc>
        <w:tc>
          <w:tcPr>
            <w:tcW w:w="380" w:type="dxa"/>
            <w:vAlign w:val="bottom"/>
            <w:tcBorders>
              <w:left w:val="single" w:sz="8" w:color="auto"/>
            </w:tcBorders>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1,741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2,513</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1,953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Basic earnings per share of common stock from continuing</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tcBorders>
              <w:lef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2"/>
              </w:rPr>
              <w:t>Diluted earnings per share of common stock from continuing</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left w:val="single" w:sz="8" w:color="auto"/>
            </w:tcBorders>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2.35</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1"/>
              </w:rPr>
              <w:t>Purchases of property, plant and equipment and investments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 affiliates</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20"/>
                <w:szCs w:val="20"/>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20"/>
                <w:szCs w:val="20"/>
                <w:color w:val="auto"/>
              </w:rPr>
            </w:pPr>
          </w:p>
        </w:tc>
        <w:tc>
          <w:tcPr>
            <w:tcW w:w="380" w:type="dxa"/>
            <w:vAlign w:val="bottom"/>
            <w:tcBorders>
              <w:left w:val="single" w:sz="8" w:color="auto"/>
            </w:tcBorders>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709</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1,038</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1,705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380" w:type="dxa"/>
            <w:vAlign w:val="bottom"/>
            <w:tcBorders>
              <w:lef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380" w:type="dxa"/>
            <w:vAlign w:val="bottom"/>
            <w:tcBorders>
              <w:left w:val="single" w:sz="8" w:color="auto"/>
            </w:tcBorders>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1,022</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1,496</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1,735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tcBorders>
              <w:lef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left w:val="single" w:sz="8" w:color="auto"/>
            </w:tcBorders>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9"/>
              </w:rPr>
              <w:t>95</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44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Successor</w:t>
            </w: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99"/>
              </w:rPr>
              <w:t>Predecessor</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w:t>
            </w: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2014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400" w:type="dxa"/>
            <w:vAlign w:val="bottom"/>
            <w:gridSpan w:val="3"/>
            <w:vMerge w:val="continue"/>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right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position:</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7,165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10,912</w:t>
            </w:r>
          </w:p>
        </w:tc>
        <w:tc>
          <w:tcPr>
            <w:tcW w:w="240" w:type="dxa"/>
            <w:vAlign w:val="bottom"/>
            <w:tcBorders>
              <w:right w:val="single" w:sz="8" w:color="auto"/>
            </w:tcBorders>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7,866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6,618</w:t>
            </w:r>
          </w:p>
        </w:tc>
        <w:tc>
          <w:tcPr>
            <w:tcW w:w="2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101,025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112,964</w:t>
            </w:r>
          </w:p>
        </w:tc>
        <w:tc>
          <w:tcPr>
            <w:tcW w:w="24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39,964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41,166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Borrowings and capital lease obligations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24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Long term</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5,812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10,291</w:t>
            </w:r>
          </w:p>
        </w:tc>
        <w:tc>
          <w:tcPr>
            <w:tcW w:w="240" w:type="dxa"/>
            <w:vAlign w:val="bottom"/>
            <w:tcBorders>
              <w:right w:val="single" w:sz="8" w:color="auto"/>
            </w:tcBorders>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8,107</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7,642</w:t>
            </w:r>
          </w:p>
        </w:tc>
        <w:tc>
          <w:tcPr>
            <w:tcW w:w="2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74,932</w:t>
            </w:r>
          </w:p>
        </w:tc>
        <w:tc>
          <w:tcPr>
            <w:tcW w:w="24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0" w:hanging="436"/>
        <w:spacing w:after="0" w:line="273" w:lineRule="auto"/>
        <w:tabs>
          <w:tab w:leader="none" w:pos="6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Working capital has been restated to exclude the assets and liabilities related to the Performance Chemicals segment and the Divested Ag Business. The assets and liabilities related to the Performance Chemicals business are presented as assets of discontinued operations and liabilities of discontinued operations, respectively, in the consolidated balance sheets for all periods presented. The assets and liabilities related to the Divested Ag Business are presented as assets held for sale and liabilities held for sale, respectively, in the consolidated balance sheets for all periods presented. See note 4 to the annual consolidated financial statements, which are incorporated by reference herein and filed as Exhibit 99.2 to the Form 10 of which this information statement forms a part, for further information.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60" w:right="4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i w:val="1"/>
          <w:iCs w:val="1"/>
          <w:color w:val="auto"/>
        </w:rPr>
        <w:t>You should read the following in conjunction with the sections in this information statements entitled “Risk Factors,” “Cautionary Statement Concerning Forward-Looking Statements,” “Selected Historical Consolidated Financial Data,” “Merger, Intended Separations, Reorganization and Financial Statement Presentation,” “The Distribution,” “Unaudited Pro Forma Combined Financial Statements,” “Business” and “Our Relationship with New DuPont and Dow Following the Distribution” as well as the Historical DuPont annual financial statements and related notes thereto, which are incorporated by reference herein and filed as Exhibit 99.2 to the Form 10 of which this information statement forms a part.</w:t>
      </w:r>
    </w:p>
    <w:p>
      <w:pPr>
        <w:spacing w:after="0" w:line="158"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The management’s discussion and analysis (“MD&amp;A”) of Corteva’s historical financial condition and results of operations presented below is that of Historical DuPont. The following refers to and should be read in conjunction with the annual consolidated financial statements and accompanying notes, which are incorporated by reference herein and filed as Exhibit 99.2 to the Form 10 of which this information statement forms a part. This MD&amp;A has been included to help provide an understanding of Historical DuPont’s financial condition, changes in financial condition and results of operations.</w:t>
      </w:r>
    </w:p>
    <w:p>
      <w:pPr>
        <w:spacing w:after="0" w:line="154"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The financial information and results of operations that are discussed in this section relate to Historical DuPont (unless otherwise specifically stated). Consequently, the discussion in this section relates to Historical DuPont as it is currently comprised, without giving effect to the Internal Reorganization and Business Realignment and the other transactions that will occur in connection with the separation and distribution. The discussion in this section therefore includes Historical DuPont’s materials science and specialty products businesses, and does not reflect Corteva as it will be constituted following the separation as a pure-play agriculture company. As a result, the discussion does not necessarily reflect the expected financial position, results of operations or cash flows of Corteva following the separation or what Corteva’s financial position, results of operations and cash flows would have been had Corteva been an independent, publicly traded company during the periods presented. See the section entitled “Merger, Reorganization and Financial Statement Presentation,” “The Separation” and “Our Relationship with New DuPont and Dow Following the Distribution” for a discussion of the Internal Reorganization and Business Realignment and the related transactions in connection with the separation and distribution.</w:t>
      </w:r>
    </w:p>
    <w:p>
      <w:pPr>
        <w:spacing w:after="0" w:line="16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The following discussion may contain forward-looking statements that reflect the plans, estimates and beliefs of Historical DuPont. The words “plans,” “expects,” “will,” “anticipates,” “believes,” “intends,” “projects,” “estimates” or other words of similar meaning and similar expressions, among others, generally identify “forward-looking statements,” which speak only as of the date the statements were made. The matters discussed in these forward-looking statements are subject to risks, uncertainties and other factors that could cause actual results to differ materially from those set forth in the forward-looking statements.</w:t>
      </w:r>
    </w:p>
    <w:p>
      <w:pPr>
        <w:spacing w:after="0" w:line="18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Factors that could cause actual results or events to differ materially from those anticipated include the matters described under the sections entitled “Risk Factors,” “Business,” and “Cautionary Statement Concerning Forward-Looking Statements.” We disclaim and do not undertake any obligation to update or revise any forward-looking statement, except as required by applicable law.</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Intended Business Separations</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Effective as of 5:00 p.m. ET on April 1, 2019, DowDuPont completed the separation of its materials science business into a separate and independent public company by way of the distribution of Dow through a pro rata dividend in-kind of Dow’s common stock to holders of record of DowDuPont common stock as of the close of business on March 21, 2019. Prior to the distribution of Dow, Historical Dow conveyed or transferred the assets and liabilities aligned with Historical Dow’s agriculture business to the Dow AgroSciences entities and the assets and liabilities associated with its specialty products business to the Dow Specialty Products entities. On April 1, 2019, the Dow AgroSciences entities and the Dow Specialty Products entities were transferred and conveyed to DowDuPont.</w:t>
      </w:r>
    </w:p>
    <w:p>
      <w:pPr>
        <w:spacing w:after="0" w:line="193"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DowDuPont expects to complete the previously announced intended separation of its agriculture business into a separate and independent public company on June 1, 2019 by way of a distribution of Corteva, a Delaware corporation and wholly-owned subsidiary of DowDuPont, through a pro rata dividend in-kind of all of the then-issued and outstanding shares of Corteva’s common stock to holders of DowDuPont common stock as of the close of business on May 24, 2019.</w:t>
      </w:r>
    </w:p>
    <w:p>
      <w:pPr>
        <w:spacing w:after="0" w:line="187"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In furtherance of the Intended Business Separations, Historical DuPont engaged in the Internal Reorganization to realign its businesses into three subgroups: agriculture, materials science and specialty products. As part of the Internal Reorganization:</w:t>
      </w:r>
    </w:p>
    <w:p>
      <w:pPr>
        <w:spacing w:after="0" w:line="76" w:lineRule="exact"/>
        <w:rPr>
          <w:sz w:val="20"/>
          <w:szCs w:val="20"/>
          <w:color w:val="auto"/>
        </w:rPr>
      </w:pPr>
    </w:p>
    <w:p>
      <w:pPr>
        <w:ind w:left="1060" w:right="400" w:hanging="316"/>
        <w:spacing w:after="0" w:line="308" w:lineRule="auto"/>
        <w:tabs>
          <w:tab w:leader="none" w:pos="10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assets and liabilities aligned with Historical DuPont’s materials science business, including Historical DuPont’s ECP business, were transferred or conveyed to the DuPont Materials Science entities that were ultimately conveyed by DowDuPont to Dow;</w:t>
      </w:r>
    </w:p>
    <w:p>
      <w:pPr>
        <w:spacing w:after="0" w:line="51" w:lineRule="exact"/>
        <w:rPr>
          <w:rFonts w:ascii="Arial" w:cs="Arial" w:eastAsia="Arial" w:hAnsi="Arial"/>
          <w:sz w:val="17"/>
          <w:szCs w:val="17"/>
          <w:color w:val="auto"/>
        </w:rPr>
      </w:pPr>
    </w:p>
    <w:p>
      <w:pPr>
        <w:ind w:left="1060" w:right="120" w:hanging="316"/>
        <w:spacing w:after="0" w:line="277" w:lineRule="auto"/>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assets and liabilities aligned with Historical DuPont’s specialty products business were transferred or conveyed to the DuPont Specialty Products entities that were ultimately distributed to DowDuPont;</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on April 1, 2019, Historical DuPont distributed the DuPont Materials Science entities to DowDuPont which DowDuPont then conveyed to Dow;</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on May 1, 2019, Historical DuPont distributed the DuPont Specialty Products entities to DowDuPont;</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on May 2, 2019, DowDuPont conveyed the Dow AgroSciences entities to Historical DuPont in connection with the foregoing, Historical DuPont issued additional shares of its Common Stock to DowDuPont; and</w:t>
      </w:r>
    </w:p>
    <w:p>
      <w:pPr>
        <w:spacing w:after="0" w:line="170"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As a result of the foregoing, at May 2, 2019, Historical DuPont held all or substantially all the assets and liabilities associated with DowDuPont’s combined agriculture business.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Historical DuPont’s Debt Redemption</w:t>
      </w:r>
    </w:p>
    <w:p>
      <w:pPr>
        <w:spacing w:after="0" w:line="117"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In contemplation of the separations and distributions, and to achieve the respective credit profiles of each of the intended future companies, DowDuPont completed a series of financing transactions in the fourth quarter of 2018, which included an offering of senior unsecured notes and the establishment of new term loan facilities.</w:t>
      </w:r>
    </w:p>
    <w:p>
      <w:pPr>
        <w:spacing w:after="0" w:line="181" w:lineRule="exact"/>
        <w:rPr>
          <w:sz w:val="20"/>
          <w:szCs w:val="20"/>
          <w:color w:val="auto"/>
        </w:rPr>
      </w:pPr>
    </w:p>
    <w:p>
      <w:pPr>
        <w:ind w:left="200" w:right="260"/>
        <w:spacing w:after="0" w:line="312" w:lineRule="auto"/>
        <w:rPr>
          <w:sz w:val="20"/>
          <w:szCs w:val="20"/>
          <w:color w:val="auto"/>
        </w:rPr>
      </w:pPr>
      <w:r>
        <w:rPr>
          <w:rFonts w:ascii="Arial" w:cs="Arial" w:eastAsia="Arial" w:hAnsi="Arial"/>
          <w:sz w:val="16"/>
          <w:szCs w:val="16"/>
          <w:color w:val="auto"/>
        </w:rPr>
        <w:t>On November 13, 2018, Historical DuPont launched the Tender Offers to purchase up to approximately $6.2 billion aggregate principal amount of its outstanding debt securities (the “Tender Notes”). The Tender Offers expired on December 11, 2018 (the “Expiration Date”). At the Expiration Date, $4,409 million aggregate principal amount of the Tender Notes had been validly tendered and was accepted for payment. In exchange for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60"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such validly tendered Tender Notes, Historical DuPont paid a total of $4,849 million, which included breakage fees and all applicable accrued and unpaid interest on such Tender Notes. DowDuPont contributed cash (generated from its notes offering) to Historical DuPont to fund the settlement of the Tender Offers and payment of associated fees. In the year ended December 31, 2018, Historical DuPont recorded a loss from early extinguishment of debt of $81 million, primarily related to the difference between the redemption price and the par value of the notes, mostly offset by the write-off of unamortized step-up related to the fair value step-up of Historical DuPont’s debt.</w:t>
      </w:r>
    </w:p>
    <w:p>
      <w:pPr>
        <w:spacing w:after="0" w:line="188"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On March 22, 2019, Historical DuPont issued notices of redemption in full of all of the Make Whole Notes. The Make Whole Notes were redeemed on April 22, 2019 at the make-whole redemption prices set forth in the respective Make Whole Notes. On and after the date of redemption, the Make Whole Notes were no longer deemed outstanding, interest on the Make Whole Notes ceased to accrue and all rights of the holders of the Make Whole Notes were terminated.</w:t>
      </w:r>
    </w:p>
    <w:p>
      <w:pPr>
        <w:spacing w:after="0" w:line="1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On May 2, 2019 Historical DuPont terminated its Term Loan Facility and repaid the aggregate outstanding principal amount of $3 billion plus accrued and unpaid interest through and including May 1, 2019.</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 connection with the foregoing, Historical DuPont paid a total of $4.6 billion, which included breakage fees and accrued and unpaid interest on the Make Whole Notes and Term Loan Facility. Historical DuPont funded the payments with cash from operations and a related party revolving loan of $4.1 billion from Corteva, with an interest rate of 4.275%, repayable in 5 years. Corteva funded its loan to Historical DuPont with contributions from DowDuPont.</w:t>
      </w:r>
    </w:p>
    <w:p>
      <w:pPr>
        <w:spacing w:after="0" w:line="18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Historical DuPont anticipates the loss on the early extinguishment of debt to be approximately $18 million, primarily related to the difference between the redemption price and the par value of the Make Whole Notes and Term Loan Facility, partially offset by the write-off of unamortized step-up related to the fair value step-up of Historical DuPont’s debt.</w:t>
      </w:r>
    </w:p>
    <w:p>
      <w:pPr>
        <w:spacing w:after="0" w:line="181"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In addition, as part of the separations and distribution, Historical DuPont’s SMR Notes are expected to be redeemed. The date of redemption will be on or before May 24, 2019. On the date of redemption, Historical DuPont will be required to redeem all of the SMR Notes at a redemption price equal to 100% of the aggregate principal amount of the SMR Notes plus accrued and unpaid interest, if any, up to but excluding the date of redemption. Following the redemption, the SMR Notes will no longer be outstanding and will cease to bear interest and all rights of the holders of the SMR Notes will terminate.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color w:val="auto"/>
        </w:rPr>
        <w:t>Historical DuPont was founded in 1802 and was incorporated in Delaware in 1915. Today, Historical DuPont is helping customers find solutions to capitalize on areas of growing global demand — enabling more, safer, nutritious food; creating high-performance, cost-effective and energy efficient materials for a wide range of industries; and increasingly delivering renewably sourced bio-based materials and fuels. Total worldwide employment at December 31, 2018 was about 44,000 people. Historical DuPont has subsidiaries in about 90 countries worldwide and manufacturing operations in about 50 countries.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Note on Financial Presentation</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 connection with the Merger, Historical DuPont applied the acquisition method of accounting as of September 1, 2017 and the consolidated financial statements reflect the related adjustments. Historical DuPont’s consolidated financial statements for periods following the close of the Merger are labeled “Successor”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reflect DowDuPont’s basis in the fair values of the assets and liabilities of Historical DuPont. All periods prior to the closing of the Merger reflect the historical accounting basis in Historical DuPont’s assets and liabilities and are labeled “Predecessor.” The consolidated financial statements and notes to the consolidated financial statements include a black line division between the columns titled “Predecessor” and “Successor” to signify that the amounts shown for the periods prior to and following the Merger are not comparable. In addition, Historical DuPont has elected to make certain changes in presentation to harmonize its accounting and reporting with that of DowDuPont in the Successor periods. See note 1, “Summary of Significant Accounting Policies” and note 3 in Historical DuPont’s annual consolidated financial statements, which are incorporated by reference herein and filed as Exhibit 99.2 to the Form 10 of which this information statement forms a part, for further discussion of these changes and for additional information on the Merger.</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Results</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Net sales were $26.3 billion for the year ended December 31, 2018, compared to $7.1 billion for the period September 1 through December 31, 2017, and $17.3 billion for the period January 1 through August 31, 2017. The $1.9 billion increase was primarily driven by local pricing and portfolio gains across all regions. (Loss) income from continuing operations before taxes was $(4.8) billion, $(1.6) billion and $1.8 billion for the year ended December 31, 2018 and for the periods September 1 through December 31, 2017 and January 1 through August 31, 2017, respectively. The year ended December 31, 2018 results include a goodwill impairment charge of $4.5 billion, increased transaction costs related to the Merger and the intended separation of DowDuPont’s agriculture, materials science and specialty products businesses, as well as higher amortization related to the fair value step-up of other intangible assets and higher depreciation related to the fair value step-up of property, plant and equipment. These increased costs are partially offset by higher sales and benefits from cost synergies. Pension and other post employment benefits (“OPEB”) (benefits) costs for the year ended December 31, 2018 were $(228) million, as compared to $(83) million and $373 million for the periods September 1 through December 31, 2017 and January 1 through August 31, 2017, respectively. Activity in the Successor periods benefited from significantly lower amortization of net losses from accumulated other comprehensive loss (“AOCL”).</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Analysis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Agriculture Reporting Unit Goodwill and Indefinite-lived Asset Impairments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During the third quarter of 2018, Historical DuPont was required to perform an interim impairment test of its goodwill and indefinite-lived intangible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assets for the agriculture reporting unit. As a result of the analysis performed, Historical DuPont recorded pre-tax, non-cash impairment charges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$4,503 million for goodwill and $85 million for certain indefinite-lived assets for the year ended December 31, 2018. The charges were recognized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goodwill impairment charge and restructuring and asset related charges—net, respectively, in the consolidated statement of operations, which 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incorporated by reference herein and filed as part of Exhibit 99.2 to the Form 10 of which this information statement forms a part.</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From Recently Enacted Tariffs</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Certain countries where Historical DuPont’s products are manufactured, distributed or sold have recently enacted or are considering imposing new tariffs on certain products. The tariffs contributed to an expected shift to soybeans from corn in Latin America and pressured North American farmer margins. These expectations were reflected in the revised long-term cash flow projections for Historical DuPont’s agriculture reporting unit, as discussed in note 14 to the annual consolidated financial statements, which are incorporated by reference herein and filed as Exhibit 99.2 to the Form 10 of which this information statement forms a part.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Capacity Expansions Tyvek</w:t>
      </w:r>
      <w:r>
        <w:rPr>
          <w:rFonts w:ascii="Arial" w:cs="Arial" w:eastAsia="Arial" w:hAnsi="Arial"/>
          <w:sz w:val="15"/>
          <w:szCs w:val="15"/>
          <w:b w:val="1"/>
          <w:bCs w:val="1"/>
          <w:i w:val="1"/>
          <w:iCs w:val="1"/>
          <w:color w:val="auto"/>
        </w:rPr>
        <w:t>®</w:t>
      </w:r>
    </w:p>
    <w:p>
      <w:pPr>
        <w:spacing w:after="0" w:line="11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In June 2018, Historical DuPont announced plans to invest more than $400 million in its safety and construction product line to increase capacity for the manufacture of Tyvek</w:t>
      </w:r>
      <w:r>
        <w:rPr>
          <w:rFonts w:ascii="Arial" w:cs="Arial" w:eastAsia="Arial" w:hAnsi="Arial"/>
          <w:sz w:val="15"/>
          <w:szCs w:val="15"/>
          <w:color w:val="auto"/>
        </w:rPr>
        <w:t>®</w:t>
      </w:r>
      <w:r>
        <w:rPr>
          <w:rFonts w:ascii="Arial" w:cs="Arial" w:eastAsia="Arial" w:hAnsi="Arial"/>
          <w:sz w:val="18"/>
          <w:szCs w:val="18"/>
          <w:color w:val="auto"/>
        </w:rPr>
        <w:t xml:space="preserve"> nonwoven materials at its Luxembourg site due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to growing global demand. The production expansion, which includes investment in a new building and a third operating line at the site, is scheduled to occur over the next three years, with commercial production expected to begin in 2021.</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Reform</w:t>
      </w:r>
    </w:p>
    <w:p>
      <w:pPr>
        <w:spacing w:after="0" w:line="117"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On December 22, 2017, the TCJA was enacted. The TCJA reduces the U.S. federal corporate income tax rate from 35 percent to 21 percent, requires companies to pay a one-time transition tax (“transition tax”) on earnings of foreign subsidiaries that were previously tax deferred, creates new provisions related to foreign sourced earnings, eliminates the domestic manufacturing deduction and moves to a territorial system. As of December 31, 2018, Historical DuPont had completed its accounting for the tax effects of the TCJA. As a result of the TCJA, Historical DuPont remeasured its U.S. federal deferred tax assets and liabilities based on the rates at which they are expected to reverse in the future, which is generally 21 percent. Historical DuPont recorded a cumulative benefit of $2,755 million ($2,716 million benefit during 2017 and $39 million benefit during 2018) to provision for (benefit from) income taxes on continuing operations in Historical DuPont’s consolidated statement of operations with respect to the remeasurement of Historical DuPont’s deferred tax balances. Additionally, Historical DuPont recorded a cumulative charge of $859 million ($715 million charge during 2017 and $144 million charge during 2018) to provision for (benefit from) income taxes on continuing operations with respect to the one-time transition tax. For tax years beginning after December 31, 2017, The TCJA introduced new provisions for U.S. taxation of certain global intangible low-taxed income (“GILTI”). Historical DuPont has made the policy election to record any liability associated with GILTI in the period in which it is incurred. Additional details related to the TCJA can be found in note 9 to the annual consolidated financial statements, which are incorporated by reference herein and filed as Exhibit 99.2 to the Form 10 of which this information statement forms a part.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DowDuPont Agriculture Division Restructuring Program</w:t>
      </w:r>
    </w:p>
    <w:p>
      <w:pPr>
        <w:spacing w:after="0" w:line="11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During the fourth quarter of 2018 and in connection with the ongoing integration activities, DowDuPont approved restructuring actions to simplify and optimize certain organizational structures within the agriculture product line in preparation for its intended separation as a standalone company. As a result of these actions, Historical DuPont expects to record total pre-tax charges of approximately $65 million, comprised of approximately $55 million of severance and related benefits costs, $5 million of asset related charges and $5 million of costs related to contract terminations. For the year ended December 31, 2018, Historical DuPont recorded a pre-tax charge of $59 million, recognized in restructuring and asset related charges—net in Historical DuPont’s consolidated statement of operations comprised of $54 million of severance and related benefit costs and $5 million related to asset related charges.</w:t>
      </w:r>
    </w:p>
    <w:p>
      <w:pPr>
        <w:spacing w:after="0" w:line="189"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Future cash payments related to this charge are anticipated to be approximately $60 million, primarily related to the payment of severance and related benefits and contract termination costs. Historical DuPont expects actions related to this program to be substantially complete by mid-2019.</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DowDuPont Cost Synergy Program</w:t>
      </w:r>
    </w:p>
    <w:p>
      <w:pPr>
        <w:spacing w:after="0" w:line="117" w:lineRule="exact"/>
        <w:rPr>
          <w:sz w:val="20"/>
          <w:szCs w:val="20"/>
          <w:color w:val="auto"/>
        </w:rPr>
      </w:pPr>
    </w:p>
    <w:p>
      <w:pPr>
        <w:ind w:left="200" w:right="280"/>
        <w:spacing w:after="0" w:line="285" w:lineRule="auto"/>
        <w:rPr>
          <w:sz w:val="20"/>
          <w:szCs w:val="20"/>
          <w:color w:val="auto"/>
        </w:rPr>
      </w:pPr>
      <w:r>
        <w:rPr>
          <w:rFonts w:ascii="Arial" w:cs="Arial" w:eastAsia="Arial" w:hAnsi="Arial"/>
          <w:sz w:val="16"/>
          <w:szCs w:val="16"/>
          <w:color w:val="auto"/>
        </w:rPr>
        <w:t>In September and November 2017, DowDuPont and Historical DuPont approved post-merger restructuring actions to achieve targeted cost synergies under the Synergy Program, adopted by the DowDuPont Board of Directors. The Synergy Program is designed to integrate and optimize the organization following the Merger and in preparation for the separations and distributions. Based on all actions approved to date under the Synergy Program, Historical DuPont expects to record total pre-tax restructuring charges of $575 million to $675 million, comprised of approximately $370 million to $400 million of severance and related benefits costs; $80 million to $100 million of costs related to contract terminations; and</w:t>
      </w:r>
    </w:p>
    <w:p>
      <w:pPr>
        <w:spacing w:after="0" w:line="2"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$125 million to $175 million of asset related charges. Historical DuPont anticipates including savings associated with these actions within DowDuPont’s cost synergy commitment of $3.6 billion associated with the Merger.</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 the year ended December 31, 2018, Historical DuPont recorded a pre-tax charge of $322 million, of which $318 million was recognized in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restructuring and asset related charges—net and $4 million was recognized in sundry income (expense)—net in Historical DuPont’s consolidated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statements of operations. This charge consisted of severance and related benefit costs of $219 million, contract termination costs of $40 million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asset related charges of $63 million. For the period September 1 through December 31, 2017, Historical DuPont recorded a pre-tax charge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$187 million, recognized in restructuring and asset related charges—net in Historical DuPont’s consolidated statements of operations. This charge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consisted of severance and related benefit costs of $153 million, contract termination costs of $31 million and asset related charges of $3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Actions associated with the Synergy Program, including employee separations, are expected to be substantially complete by the end of 2019. Additional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details related to this plan can be found in note 6 to the annual consolidated financial statements, which are incorporated by reference herein and filed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99.2 to the Form 10 of which this information statement forms a part.</w:t>
      </w:r>
    </w:p>
    <w:p>
      <w:pPr>
        <w:spacing w:after="0" w:line="211" w:lineRule="exact"/>
        <w:rPr>
          <w:sz w:val="20"/>
          <w:szCs w:val="20"/>
          <w:color w:val="auto"/>
        </w:rPr>
      </w:pPr>
    </w:p>
    <w:p>
      <w:pPr>
        <w:ind w:left="200" w:right="140"/>
        <w:spacing w:after="0" w:line="254" w:lineRule="auto"/>
        <w:rPr>
          <w:sz w:val="20"/>
          <w:szCs w:val="20"/>
          <w:color w:val="auto"/>
        </w:rPr>
      </w:pPr>
      <w:r>
        <w:rPr>
          <w:rFonts w:ascii="Arial" w:cs="Arial" w:eastAsia="Arial" w:hAnsi="Arial"/>
          <w:sz w:val="18"/>
          <w:szCs w:val="18"/>
          <w:color w:val="auto"/>
        </w:rPr>
        <w:t>On November 1, 2018 DowDuPont announced an increase in its cost synergy commitment from $3.3 billion to $3.6 billion, of which we estimate approximately $1.2 billion will be attributable to Corteva. Corteva continues to work towards this target, and in 2018 exceeded its year over year target of $300 million by 33%. Future cash payments related to this program are anticipated to be approximately $255 million to $305 million, primarily related to the payment of severance and related benefits and contract termination costs. It is possible that additional charges and future cash payments could occur in relation to the restructuring actions. Historical DuPont anticipates including savings associated with these actions within DowDuPont’s cost synergy commitment of $3.6 billion associated with the Merger. Additional details related to this plan can be found in note 6 to the annual consolidated financial statements, which are incorporated by reference herein and filed as Exhibit 99.2 to the Form 10 of which this information statement forms a part.</w:t>
      </w:r>
    </w:p>
    <w:p>
      <w:pPr>
        <w:spacing w:after="0" w:line="19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As compared to what was historically allocated to the DowDuPont Agriculture division, the year ended December 31, 2018 pro forma financial results reflect additional leveraged functional and corporate costs of approximately $480 million. These costs include but are not limited to, general corporate expenses related to finance, legal, information technology and human resources. Based on management’s current estimates of costs we expect to incur as a stand-alone company, the company believes that approximately $115 million to $135 million of these costs are related to annual leveraged functional and corporate expenses that are not expected to continue post-separation. As compared to what was historically allocated to the DowDuPont Agriculture division, Corteva expects to incur additional costs of approximately $355 million to stand up Corteva as an independent company, with a majority of these costs relating to operating the company’s historical ERP systems and the establishment of a corporate structure. As a result of the Business Realignment and the Internal Reorganization, Corteva will consist of three heritage organizations (DuPont Pioneer, Dow AgroSciences and DuPont Crop Protection) that will continue to operate on three different ERP systems. Over time, the company intends to consolidate and integrate the ERP systems across the organization and decrease these costs.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Restructuring Program</w:t>
      </w:r>
    </w:p>
    <w:p>
      <w:pPr>
        <w:spacing w:after="0" w:line="117"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During the first quarter 2017, Historical DuPont committed to take actions to improve plant productivity and better position its product lines for productivity and growth before and after the anticipated closing of the Merger (the “2017 restructuring program”). In connection with these actions, Historical DuPont incurred pre-tax charges of $313 million during the period from January 1 through August 31, 2017 recognized in restructuring and asset related charges—net in Historical DuPont’s consolidated statements of operations. The charges primarily relate to the second quarter closure of the safety and construction product line at the Cooper River manufacturing site located near Charleston, South Carolina. The actions associated with this plan were substantially complete as of December 31, 2017. Additional details related to this plan can be found in note 6 to the annual consolidated financial statements, which are incorporated by reference herein and filed as Exhibit 99.2 to the Form 10 of which this information statement forms a part.</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FMC Transactions</w:t>
      </w:r>
    </w:p>
    <w:p>
      <w:pPr>
        <w:spacing w:after="0" w:line="117"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On March 31, 2017, Historical DuPont and FMC Corporation (“FMC”) entered into a definitive agreement (the “FMC Transaction Agreement”). Under the FMC Transaction Agreement, and effective upon the closing of the transaction on November 1, 2017, FMC acquired the crop protection business and R&amp;D assets that Historical DuPont was required to divest in order to obtain European Commission approval of the Merger (the “Divested Ag Business”) and Historical DuPont agreed to acquire certain assets relating to FMC’s Health and Nutrition segment, excluding its Omega-3 products (the “H&amp;N Business”) (collectively, the “FMC Transactions”). The sale of the Divested Ag Business meets the criteria for discontinued operations and as such, earnings are included within (loss) income from discontinued operations after income taxes for all periods presented.</w:t>
      </w:r>
    </w:p>
    <w:p>
      <w:pPr>
        <w:spacing w:after="0" w:line="16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On November 1, 2017, Historical DuPont completed the FMC Transactions through the disposition of the Divested Ag Business and the acquisition of the H&amp;N Business. The fair value as determined by Historical DuPont of the H&amp;N Business was $1,970 million. The FMC Transactions included a cash consideration payment to Historical DuPont of approximately $1,200 million, which reflects the difference in value between the Divested Ag Business and the H&amp;N Business, as well as favorable contracts with FMC of $495 million. The carrying value of the Divested Ag Business approximated the fair value of the consideration received, thus no resulting gain or loss was recognized on the sale. Refer to note 3 and 4 to the annual consolidated financial statements, which are incorporated by reference herein and filed as Exhibit 99.2 to the Form 10 of which this information statement forms a part, for further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Separation of Performance Chemicals</w:t>
      </w:r>
    </w:p>
    <w:p>
      <w:pPr>
        <w:spacing w:after="0" w:line="117" w:lineRule="exact"/>
        <w:rPr>
          <w:sz w:val="20"/>
          <w:szCs w:val="20"/>
          <w:color w:val="auto"/>
        </w:rPr>
      </w:pPr>
    </w:p>
    <w:p>
      <w:pPr>
        <w:ind w:left="200" w:right="160"/>
        <w:spacing w:after="0" w:line="271" w:lineRule="auto"/>
        <w:rPr>
          <w:sz w:val="20"/>
          <w:szCs w:val="20"/>
          <w:color w:val="auto"/>
        </w:rPr>
      </w:pPr>
      <w:r>
        <w:rPr>
          <w:rFonts w:ascii="Arial" w:cs="Arial" w:eastAsia="Arial" w:hAnsi="Arial"/>
          <w:sz w:val="17"/>
          <w:szCs w:val="17"/>
          <w:color w:val="auto"/>
        </w:rPr>
        <w:t>On July 1, 2015, Historical DuPont completed the separation of its Performance Chemicals segment through the spin-off (the “Chemours Separation”) of all of the issued and outstanding stock of The Chemours Company (“Chemours”). In connection with the separation, Historical DuPont and Chemours entered into a Separation Agreement (as amended, the “Chemours Separation Agreement”) and a Tax Matters Agreement as well as certain ancillary agreements. In accordance with generally accepted accounting principles in the U.S. (“GAAP”), the results of operations of Historical DuPont’s former Performance Chemicals segment are presented as discontinued operations and, as such, are included within (loss) income from discontinued operations after income taxes in the consolidated statements of operations for all periods presented. Additional details regarding the separation and other related agreements can be found in note 4 to the annual consolidated financial statements, which are incorporated by reference herein and filed as Exhibit 99.2 to the Form 10 of which this information statement forms a part.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Settlement of PFOA MDL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previously reported, approximately 3,550 lawsuits were consolidated in multi-district litigation (“MDL”); these lawsuits alleged personal injury from</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exposure to perfluorooctanoic acid and its salts, including the ammonium salt (“PFOA”), in drinking water as a result of the historical manufacture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use of PFOA. The plant operating units involved in the allegations are owned and operated by Chemours. The MDL was settled in early 2017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$670.7 million in cash, with Chemours and Historical DuPont (without indemnification from Chemours) each paying half. See note 16 to the annual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consolidated financial statements, which are incorporated by reference herein and filed as Exhibit 99.2 to the Form 10 of which this information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statement forms a part, for additional information.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versus 2017</w:t>
      </w:r>
    </w:p>
    <w:p>
      <w:pPr>
        <w:spacing w:after="0" w:line="117" w:lineRule="exact"/>
        <w:rPr>
          <w:sz w:val="20"/>
          <w:szCs w:val="20"/>
          <w:color w:val="auto"/>
        </w:rPr>
      </w:pPr>
    </w:p>
    <w:p>
      <w:pPr>
        <w:ind w:left="200" w:right="280"/>
        <w:spacing w:after="0" w:line="312" w:lineRule="auto"/>
        <w:rPr>
          <w:sz w:val="20"/>
          <w:szCs w:val="20"/>
          <w:color w:val="auto"/>
        </w:rPr>
      </w:pPr>
      <w:r>
        <w:rPr>
          <w:rFonts w:ascii="Arial" w:cs="Arial" w:eastAsia="Arial" w:hAnsi="Arial"/>
          <w:sz w:val="16"/>
          <w:szCs w:val="16"/>
          <w:color w:val="auto"/>
        </w:rPr>
        <w:t>Net sales were $26.3 billion for the year ended December 31, 2018, compared to $7.1 billion for the period September 1 through December 31, 2017 and $17.3 billion for the period January 1 through August 31, 2017. The $1.9 billion increase was primarily driven by local pricing gains across all regions, principally in the agriculture and transportation and advanced polymers product lines, as well as portfolio gains in the nutrition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60"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health product line relating to the acquired H&amp;N Business. Sales also increased on volume growth in Latin America and Asia Pacific.</w:t>
      </w:r>
    </w:p>
    <w:p>
      <w:pPr>
        <w:spacing w:after="0" w:line="225" w:lineRule="exact"/>
        <w:rPr>
          <w:sz w:val="20"/>
          <w:szCs w:val="20"/>
          <w:color w:val="auto"/>
        </w:rPr>
      </w:pPr>
    </w:p>
    <w:p>
      <w:pPr>
        <w:ind w:left="200" w:right="560"/>
        <w:spacing w:after="0" w:line="259" w:lineRule="auto"/>
        <w:rPr>
          <w:sz w:val="20"/>
          <w:szCs w:val="20"/>
          <w:color w:val="auto"/>
        </w:rPr>
      </w:pPr>
      <w:r>
        <w:rPr>
          <w:rFonts w:ascii="Arial" w:cs="Arial" w:eastAsia="Arial" w:hAnsi="Arial"/>
          <w:sz w:val="18"/>
          <w:szCs w:val="18"/>
          <w:color w:val="auto"/>
        </w:rPr>
        <w:t>In the consolidated statement of operations, royalty income is included within net sales in the Successor periods and is included in sundry income (expense)—net in the Predecessor periods. Royalty income does not have a significant impact on any period presented. See note 1 to the annual consolidated financial statements, which are incorporated by reference herein and filed as Exhibit 99.2 to the Form 10 of which this information statement forms a part, for further discussion of the changes in presentation.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versus 2016</w:t>
      </w:r>
    </w:p>
    <w:p>
      <w:pPr>
        <w:spacing w:after="0" w:line="117"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Net sales were $7.1 billion for the period September 1 through December 31, 2017 and $17.3 billion for the period January 1 through August 31, 2017, compared to $23.2 billion for the year ended December 31, 2016. The $1.1 billion increase was primarily driven by 4 percent higher sales volume. In Asia Pacific sales volume increased 10 percent primarily driven by the electronics and imaging product line and the transportation and advanced polymers product line. In Europe, Middle East, and Africa (“EMEA”) sales volume increased 5 percent driven by the agriculture product line and the safety and construction product line. In U.S. and Canada net sales increased 1 percent, principally reflecting volume growth in the agriculture product line. In Latin America net sales increased 4 percent, driven by a positive currency impact due to stronger Brazilian real, as well as higher volume, partially offset by lower local prices.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vMerge w:val="restart"/>
          </w:tcPr>
          <w:p>
            <w:pPr>
              <w:jc w:val="right"/>
              <w:ind w:right="9"/>
              <w:spacing w:after="0"/>
              <w:rPr>
                <w:sz w:val="20"/>
                <w:szCs w:val="20"/>
                <w:color w:val="auto"/>
              </w:rPr>
            </w:pPr>
            <w:r>
              <w:rPr>
                <w:rFonts w:ascii="Arial" w:cs="Arial" w:eastAsia="Arial" w:hAnsi="Arial"/>
                <w:sz w:val="14"/>
                <w:szCs w:val="14"/>
                <w:b w:val="1"/>
                <w:bCs w:val="1"/>
                <w:color w:val="auto"/>
              </w:rPr>
              <w:t>Successor</w:t>
            </w: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For the Year</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4"/>
          </w:tcPr>
          <w:p>
            <w:pPr>
              <w:jc w:val="center"/>
              <w:ind w:right="159"/>
              <w:spacing w:after="0" w:line="119" w:lineRule="exact"/>
              <w:rPr>
                <w:sz w:val="20"/>
                <w:szCs w:val="20"/>
                <w:color w:val="auto"/>
              </w:rPr>
            </w:pPr>
            <w:r>
              <w:rPr>
                <w:rFonts w:ascii="Arial" w:cs="Arial" w:eastAsia="Arial" w:hAnsi="Arial"/>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For the Period</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September 1</w:t>
            </w: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gridSpan w:val="2"/>
          </w:tcPr>
          <w:p>
            <w:pPr>
              <w:jc w:val="center"/>
              <w:ind w:left="505"/>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through</w:t>
            </w: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January 1</w:t>
            </w:r>
          </w:p>
        </w:tc>
        <w:tc>
          <w:tcPr>
            <w:tcW w:w="320" w:type="dxa"/>
            <w:vAlign w:val="bottom"/>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tcPr>
          <w:p>
            <w:pPr>
              <w:jc w:val="center"/>
              <w:ind w:right="1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through</w:t>
            </w:r>
          </w:p>
        </w:tc>
        <w:tc>
          <w:tcPr>
            <w:tcW w:w="320" w:type="dxa"/>
            <w:vAlign w:val="bottom"/>
          </w:tcPr>
          <w:p>
            <w:pPr>
              <w:spacing w:after="0"/>
              <w:rPr>
                <w:sz w:val="12"/>
                <w:szCs w:val="12"/>
                <w:color w:val="auto"/>
              </w:rPr>
            </w:pPr>
          </w:p>
        </w:tc>
        <w:tc>
          <w:tcPr>
            <w:tcW w:w="960" w:type="dxa"/>
            <w:vAlign w:val="bottom"/>
            <w:gridSpan w:val="2"/>
          </w:tcPr>
          <w:p>
            <w:pPr>
              <w:jc w:val="center"/>
              <w:ind w:left="485"/>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20" w:type="dxa"/>
            <w:vAlign w:val="bottom"/>
            <w:gridSpan w:val="3"/>
          </w:tcPr>
          <w:p>
            <w:pPr>
              <w:jc w:val="center"/>
              <w:ind w:left="1656"/>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August 31, 2017</w:t>
            </w:r>
          </w:p>
        </w:tc>
        <w:tc>
          <w:tcPr>
            <w:tcW w:w="320" w:type="dxa"/>
            <w:vAlign w:val="bottom"/>
          </w:tcPr>
          <w:p>
            <w:pPr>
              <w:spacing w:after="0"/>
              <w:rPr>
                <w:sz w:val="14"/>
                <w:szCs w:val="14"/>
                <w:color w:val="auto"/>
              </w:rPr>
            </w:pPr>
          </w:p>
        </w:tc>
        <w:tc>
          <w:tcPr>
            <w:tcW w:w="1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4"/>
              </w:rPr>
              <w:t>Net sales</w:t>
            </w: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60" w:type="dxa"/>
            <w:vAlign w:val="bottom"/>
          </w:tcPr>
          <w:p>
            <w:pPr>
              <w:spacing w:after="0"/>
              <w:rPr>
                <w:sz w:val="10"/>
                <w:szCs w:val="10"/>
                <w:color w:val="auto"/>
              </w:rPr>
            </w:pPr>
          </w:p>
        </w:tc>
        <w:tc>
          <w:tcPr>
            <w:tcW w:w="92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Net sales</w:t>
            </w: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w w:val="98"/>
              </w:rPr>
              <w:t>Net sales</w:t>
            </w: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4"/>
              </w:rPr>
              <w:t>Net sales</w:t>
            </w: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20" w:type="dxa"/>
            <w:vAlign w:val="bottom"/>
            <w:gridSpan w:val="3"/>
          </w:tcPr>
          <w:p>
            <w:pPr>
              <w:jc w:val="center"/>
              <w:ind w:left="656"/>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billions)</w:t>
            </w:r>
          </w:p>
        </w:tc>
        <w:tc>
          <w:tcPr>
            <w:tcW w:w="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4"/>
                <w:szCs w:val="14"/>
                <w:b w:val="1"/>
                <w:bCs w:val="1"/>
                <w:color w:val="auto"/>
              </w:rPr>
              <w:t>sales</w:t>
            </w:r>
          </w:p>
        </w:tc>
        <w:tc>
          <w:tcPr>
            <w:tcW w:w="1080" w:type="dxa"/>
            <w:vAlign w:val="bottom"/>
            <w:gridSpan w:val="4"/>
          </w:tcPr>
          <w:p>
            <w:pPr>
              <w:jc w:val="right"/>
              <w:ind w:right="2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billions)</w:t>
            </w:r>
          </w:p>
        </w:tc>
        <w:tc>
          <w:tcPr>
            <w:tcW w:w="4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rPr>
              <w:t>sales</w:t>
            </w:r>
          </w:p>
        </w:tc>
        <w:tc>
          <w:tcPr>
            <w:tcW w:w="200" w:type="dxa"/>
            <w:vAlign w:val="bottom"/>
            <w:tcBorders>
              <w:right w:val="single" w:sz="8" w:color="auto"/>
            </w:tcBorders>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billions)</w:t>
            </w:r>
          </w:p>
        </w:tc>
        <w:tc>
          <w:tcPr>
            <w:tcW w:w="3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4"/>
                <w:szCs w:val="14"/>
                <w:b w:val="1"/>
                <w:bCs w:val="1"/>
                <w:color w:val="auto"/>
              </w:rPr>
              <w:t>sales</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billions)</w:t>
            </w:r>
          </w:p>
        </w:tc>
        <w:tc>
          <w:tcPr>
            <w:tcW w:w="2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Worldwide</w:t>
            </w:r>
          </w:p>
        </w:tc>
        <w:tc>
          <w:tcPr>
            <w:tcW w:w="1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26.3</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17.3</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340"/>
              <w:spacing w:after="0"/>
              <w:rPr>
                <w:sz w:val="20"/>
                <w:szCs w:val="20"/>
                <w:color w:val="auto"/>
              </w:rPr>
            </w:pPr>
            <w:r>
              <w:rPr>
                <w:rFonts w:ascii="Arial" w:cs="Arial" w:eastAsia="Arial" w:hAnsi="Arial"/>
                <w:sz w:val="18"/>
                <w:szCs w:val="18"/>
                <w:color w:val="auto"/>
              </w:rPr>
              <w:t>U.S. &amp; Canada</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right w:val="single" w:sz="8" w:color="auto"/>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EMEA</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Borders>
              <w:righ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340"/>
              <w:spacing w:after="0"/>
              <w:rPr>
                <w:sz w:val="20"/>
                <w:szCs w:val="20"/>
                <w:color w:val="auto"/>
              </w:rPr>
            </w:pPr>
            <w:r>
              <w:rPr>
                <w:rFonts w:ascii="Arial" w:cs="Arial" w:eastAsia="Arial" w:hAnsi="Arial"/>
                <w:sz w:val="18"/>
                <w:szCs w:val="18"/>
                <w:color w:val="auto"/>
              </w:rPr>
              <w:t>Asia Pacific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Borders>
              <w:right w:val="single" w:sz="8" w:color="auto"/>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Latin America</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righ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Goods Sold (“COGS”)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versus 2017</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COGS was $18.2 billion for the year ended December 31, 2018 compared to $6.2 billion and $10.1 billion for the period September 1 through December 31, 2017 and the period January 1 through August 31, 2017, respectively. The increase was primarily driven by increased sales, the elimination of the other operating charges financial statement line item in the Successor periods, higher depreciation related to the fair value step-up of property, plant and equipment and increased raw material costs, specifically in the agriculture product line. The increase was also partially driven by the amortization of the inventory step-up of $1.6 billion for the year ended December 31, 2018 compared with $1.5 billion for the period September 1 through December 31, 2017.</w:t>
      </w:r>
    </w:p>
    <w:p>
      <w:pPr>
        <w:spacing w:after="0" w:line="193"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COGS as a percentage of net sales was 69 percent, 88 percent, and 58 percent for the year ended December 31, 2018, for the period September 1 through December 31, 2017 and for the period January 1 through August 31, 2017, respectively. The amortization of inventory step-up was 6 percent of net sales for the year ended December 31, 2018. The remaining COGS change as a percentage of net sales for the year ended December 31, 2018 was related to the items discussed above.</w:t>
      </w:r>
    </w:p>
    <w:p>
      <w:pPr>
        <w:spacing w:after="0" w:line="18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See note 3 to the annual consolidated financial statements, which are incorporated by reference herein and filed as Exhibit 99.2 to the Form 10 of which this information statement forms a part, for additional information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240" w:top="460" w:right="4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regarding the Merger, including the valuation of inventory and see note 1 to the annual consolidated financial statements, which are incorporated by reference herein and filed as Exhibit 99.2 to the Form 10 of which this information statement forms a part, for further discussion of the changes in presentation.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versus 2016</w:t>
      </w:r>
    </w:p>
    <w:p>
      <w:pPr>
        <w:spacing w:after="0" w:line="11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COGS was $6.2 billion for the period September 1 through December 31, 2017 and $10.1 billion for the period January 1 through August 31, 2017 compared to $13.9 billion for the year ended December 31, 2016. The increase was primarily driven by the amortization of the inventory step-up of $1.5 billion for the period September 1 through December 31, 2017 as well as higher sales volume, increased expenses due to the elimination of the other operating charges financial statement line item in the Successor periods and higher depreciation related to the fair value step-up of property, plant and equipment.</w:t>
      </w:r>
    </w:p>
    <w:p>
      <w:pPr>
        <w:spacing w:after="0" w:line="188"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COGS as a percentage of net sales was 88 percent, 58 percent, and 60 percent for the period September 1 through December 31, 2017, for the period January 1 through August 31, 2017 and for the year ended December 31, 2016, respectively. The amortization of the inventory step-up was 22 percent of net sales in the Successor period. The remaining COGS increase as a percentage of net sales in the Successor period is due to the items discussed above. The elimination of the other operating charges financial statement line item would have increased COGS as a percentage of net sales by 3 percent for the period January 1 through August 31, 2017 and for the year ended December 31, 2016.</w:t>
      </w:r>
    </w:p>
    <w:p>
      <w:pPr>
        <w:spacing w:after="0" w:line="173"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See note 3 to the annual consolidated financial statements, which are incorporated by reference herein and filed as Exhibit 99.2 to the Form 10 of which this information statement forms a part, for additional information regarding the Merger, including the valuation of inventory and see note 1 to the annual consolidated financial statements, which are incorporated by reference herein and filed as Exhibit 99.2 to the Form 10 of which this information statement forms a part, for further discussion of the changes in presentation.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Operating Charges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versus 2016</w:t>
      </w:r>
    </w:p>
    <w:p>
      <w:pPr>
        <w:spacing w:after="0" w:line="117"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Other operating charges were $504 million for the period January 1 through August 31, 2017 and $667 million for the year ended December 31, 2016. In the Successor periods, other operating charges are included primarily in cost of goods sold, as well as selling, general and administrative expenses and amortization of intangibles. See note 1 to the annual consolidated financial statements, which are incorporated by reference herein and filed as Exhibit 99.2 to the Form 10 of which this information statement forms a part, for further discussion of the changes in presentation.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 Expense (“R&amp;D”)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versus 2017</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R&amp;D expense was $1.5 billion for the year ended December 31, 2018, $492 million for the period September 1 through December 31, 2017, and</w:t>
      </w:r>
    </w:p>
    <w:p>
      <w:pPr>
        <w:spacing w:after="0" w:line="35" w:lineRule="exact"/>
        <w:rPr>
          <w:sz w:val="20"/>
          <w:szCs w:val="20"/>
          <w:color w:val="auto"/>
        </w:rPr>
      </w:pPr>
    </w:p>
    <w:p>
      <w:pPr>
        <w:ind w:left="200" w:right="260"/>
        <w:spacing w:after="0" w:line="255" w:lineRule="auto"/>
        <w:rPr>
          <w:sz w:val="20"/>
          <w:szCs w:val="20"/>
          <w:color w:val="auto"/>
        </w:rPr>
      </w:pPr>
      <w:r>
        <w:rPr>
          <w:rFonts w:ascii="Arial" w:cs="Arial" w:eastAsia="Arial" w:hAnsi="Arial"/>
          <w:sz w:val="18"/>
          <w:szCs w:val="18"/>
          <w:color w:val="auto"/>
        </w:rPr>
        <w:t>$1 billion for the period January 1 through August 31, 2017. R&amp;D expense remained flat as the increases in R&amp;D expense for the agriculture product line related to investments to support new product launches and for the nutrition and health product line were offset by lower performance-based compensation.</w:t>
      </w:r>
    </w:p>
    <w:p>
      <w:pPr>
        <w:spacing w:after="0" w:line="19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R&amp;D as a percentage of net sales was 6 percent, 7 percent, and 6 percent for the year ended December 31, 2018, for the period September 1 through December 31, 2017 and for the period January 1 through August 31, 2017,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60"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versus 2016</w:t>
      </w:r>
    </w:p>
    <w:p>
      <w:pPr>
        <w:spacing w:after="0" w:line="11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R&amp;D expense was $492 million for the period September 1 through December 31, 2017, $1.0 billion for the period January 1 through August 31, 2017, and $1.5 billion for the year ended December 31, 2016. The change was primarily driven by an increase in R&amp;D expense related to the agriculture product line, partially offset with lower costs related to the Synergy Program.</w:t>
      </w:r>
    </w:p>
    <w:p>
      <w:pPr>
        <w:spacing w:after="0" w:line="18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R&amp;D as a percentage of net sales was 7 percent, 6 percent, and 6 percent for the period September 1 through December 31, 2017, for the period January 1 through August 31, 2017 and for the year ended December 31, 2016, respectively. R&amp;D as a percentage of net sales is slightly higher in the Successor periods, primarily due to an increase in R&amp;D for new product introductions and higher depreciation, partially offset by cost savings and the absence of amortization expense.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 (“SG&amp;A”)</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versus 2017</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SG&amp;A was $3.9 billion for the year ended December 31, 2018, $1.1 billion for the period September 1 through December 31, 2017, and $3.2 billion for the period January 1 through August 31, 2017. In the Successor periods, integration and separation costs and amortization of intangibles are presented as line items on the consolidated statement of operations. For the period January 1 through August 31, 2017, Historical DuPont incurred $581 million of transaction costs in connection with the Merger and the separations and distributions. The remaining change was primarily driven by increases in expense to support growth investments for new products in the agriculture and nutrition and health product lines, higher costs due to inclusion of a full year of results from the acquisition of the H&amp;N Business from FMC and certain costs that are included in other operating charges for the Successor period, partially offset by cost synergies and by lower performance-based compensation. See note 1 to the annual consolidated financial statements, which are incorporated by reference herein and filed as Exhibit 99.2 to the Form 10 of which this information statement forms a part, for further discussion of the changes in presentation.</w:t>
      </w:r>
    </w:p>
    <w:p>
      <w:pPr>
        <w:spacing w:after="0" w:line="182"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SG&amp;A as a percentage of net sales was 15 percent, 16 percent, and 19 percent for the year ended December 31, 2018, for the period September 1 through December 31, 2017 and for the period January 1 through August 31, 2017, respectively. Transaction costs were 3 percent of net sales for the period January 1 through August 31, 2017.</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versus 2016</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SG&amp;A was $1.1 billion for the period September 1 through December 31, 2017, $3.2 billion for the period January 1 through August 31, 2017, and $4.1 billion for the year ended December 31, 2016. The change was primarily driven by higher transaction costs, increased selling expense and commissions, primarily for agriculture products and higher compensation, partially offset with lower costs related to the 2016 global cost savings and restructuring plan and the absence of amortization expense in the Successor period. During the year ended December 31, 2016 and the period January 1 through August 31, 2017, Historical DuPont incurred $386 million and $581 million, respectively, of transaction costs in connection with the Merger and the separations and distributions.</w:t>
      </w:r>
    </w:p>
    <w:p>
      <w:pPr>
        <w:spacing w:after="0" w:line="193"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SG&amp;A as a percentage of net sales was 16 percent, 19 percent, and 18 percent for the period September 1 through December 31, 2017, for the period January 1 through August 31, 2017 and for the year ended December 31, 2016, respectively. Transaction costs were 3 percent and 2 percent of net sales for the period January through August 31, 2017 and for the year ended December 31, 2016. The remaining net sales increase as a percentage of net sales in the Successor period is due to the items discussed above.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Amortization of Intangibles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versus 2017</w:t>
      </w:r>
    </w:p>
    <w:p>
      <w:pPr>
        <w:spacing w:after="0" w:line="11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Intangible asset amortization was $1.3 billion for the year ended December 31, 2018 and $389 million for the period September 1 through December 31, 2017. In the Predecessor periods, amortization of intangibles was included within SG&amp;A, other operating charges, R&amp;D and COGS. See note 3 to the annual consolidated financial statements, which are incorporated by reference herein and filed as Exhibit 99.2 to the Form 10 of which this information statement forms a part, for further information regarding the Merger, including the valuation of intangible assets.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and Asset Related Charges—Net</w:t>
      </w:r>
    </w:p>
    <w:p>
      <w:pPr>
        <w:spacing w:after="0" w:line="121"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Restructuring and asset related charges—net were $485 million for the year ended December 31, 2018, $180 million for the period September 1 through December 31, 2017, $323 million for the period January 1 through August 31, 2017 and $556 million for the year ended December 31, 2016.</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w:t>
      </w:r>
    </w:p>
    <w:p>
      <w:pPr>
        <w:spacing w:after="0" w:line="117"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The activity for the year ended December 31, 2018 was related to a $318 million charge related to the Synergy Program, $126 million of asset related charges (discussed in the “Asset Impairment” section, below), a $59 million charge related to the DowDuPont Agriculture Division Restructuring Program and an ($18) million benefit from reversals of prior year programs.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charge for the period September 1 through December 31, 2017 was primarily severance and related benefit costs as part of the Synergy Program.</w:t>
      </w:r>
    </w:p>
    <w:p>
      <w:pPr>
        <w:spacing w:after="0" w:line="248"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The charge for the period January 1 through August 31, 2017 was comprised of $279 million of asset related charges and $34 million in severance and related benefit costs. The asset related charges primarily relate to the second quarter closure of the safety and construction product line at the Cooper River manufacturing site located near Charleston, South Carolina as part of the 2017 restructuring program.</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$556 million charge for 2016 consisted of $593 million of asset related charges (discussed in the “Asset Impairment” section, below) and a</w:t>
      </w:r>
    </w:p>
    <w:p>
      <w:pPr>
        <w:spacing w:after="0" w:line="35" w:lineRule="exact"/>
        <w:rPr>
          <w:sz w:val="20"/>
          <w:szCs w:val="20"/>
          <w:color w:val="auto"/>
        </w:rPr>
      </w:pPr>
    </w:p>
    <w:p>
      <w:pPr>
        <w:jc w:val="both"/>
        <w:ind w:left="200" w:right="140"/>
        <w:spacing w:after="0" w:line="254" w:lineRule="auto"/>
        <w:rPr>
          <w:sz w:val="20"/>
          <w:szCs w:val="20"/>
          <w:color w:val="auto"/>
        </w:rPr>
      </w:pPr>
      <w:r>
        <w:rPr>
          <w:rFonts w:ascii="Arial" w:cs="Arial" w:eastAsia="Arial" w:hAnsi="Arial"/>
          <w:sz w:val="18"/>
          <w:szCs w:val="18"/>
          <w:color w:val="auto"/>
        </w:rPr>
        <w:t>$68 million charge related to the decision to not re-start Historical DuPont’s insecticide manufacturing facility at the La Porte site located in La Porte, Texas. These charges were partially offset by a net $84 million benefit related to the 2016 restructuring plan, primarily due to a reduction in severance and related benefit costs driven by the elimination of positions at a lower cost than expected, and a $21 million benefit related to the 2014 restructuring plan for adjustments to the previously recognized severance costs.</w:t>
      </w:r>
    </w:p>
    <w:p>
      <w:pPr>
        <w:spacing w:after="0" w:line="19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See note 6 to the annual consolidated financial statements, which are incorporated by reference herein and filed as Exhibit 99.2 to the Form 10 of which this information statement forms a part, for additional information.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For the year ended December 31, 2018, Historical DuPont recognized an $85 million pre-tax ($66 million after-tax) impairment charge in restructuring and asset related charges—net in Historical DuPont’s consolidated statements of operations related to certain IPR&amp;D assets within the agriculture reporting unit. See notes 6 and 14 to the annual consolidated financial statements, which are incorporated by reference herein and filed as Exhibit 99.2 to the Form 10 of which this information statement forms a part, for additional information.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For the year ended December 31, 2018, management determined the fair values of investments in nonconsolidated affiliates in China were below the carrying values and had no expectation the fair values would recover. As a result, management concluded the impairment was other than temporary and recorded an impairment charge of $41 million in restructuring and asset related charges—net in Historical DuPont’s consolidated statements of operations, none of which is tax-deductible, for the year ended December 31, 2018. See notes 6 and 21 to the annual consolidated financial statements, which are incorporated by reference herein and filed as Exhibit 99.2 to the Form 10 of which this information statement forms a part, for additional information.</w:t>
      </w:r>
    </w:p>
    <w:p>
      <w:pPr>
        <w:spacing w:after="0" w:line="193"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For the year ended December 31, 2016, Historical DuPont recorded an asset impairment charge of $435 million related to its uncompleted ERP system. Given the uncertainties related to timing of completion as well as potential developments and changes to technologies in the market place at the time of restart, use of the ERP system can no longer be considered probable. Additionally, Historical DuPont recorded a $158 million impairment charge related to indefinite-lived intangible trade names as a result of the realignment of brand marketing strategies and a determination to phase out the use of certain acquired trade names. See notes 6 and 21 to the annual consolidated financial statements, which are incorporated by reference herein and filed as Exhibit 99.2 to the Form 10 of which this information statement forms a part, for additional details related to these charges.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Integration and Separation Costs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versus 2017</w:t>
      </w:r>
    </w:p>
    <w:p>
      <w:pPr>
        <w:spacing w:after="0" w:line="117"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Integration and separation costs were $1,375 million for the year ended December 31, 2018 and $314 million in the period September 1 through December 31, 2017. In the Predecessor periods, integration and separation costs were included within SG&amp;A. See note 1 to the annual consolidated financial statements, which are incorporated by reference herein and filed as Exhibit 99.2 to the Form 10 of which this information statement forms a part, for further discussion of the changes in presentation.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Historical DuPont expects integration and separation costs to continue to be significant in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Impairment Charge</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Historical DuPont recorded a goodwill impairment charge of $4,503 million in the year ended December 31, 2018 related to an interim goodwill impairment test for its agriculture reporting unit. See note 14 to the annual consolidated financial statements, which are incorporated by reference herein and filed as Exhibit 99.2 to the Form 10 of which this information statement forms a part, for additional information regarding Historical DuPont’s goodwill impairment charge.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Sundry Income (Expense)—Net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versus 2017</w:t>
      </w:r>
    </w:p>
    <w:p>
      <w:pPr>
        <w:spacing w:after="0" w:line="117"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Sundry income (expense)—net was income of $543 million for the year ended December 31, 2018. Sundry income (expense)—net was income of $224 million and expense of ($113) million for the period September 1 through December 31, 2017 and for the period January 1 through August 31, 2017, respectively. The year ended December 31, 2018 includes a non-operating pension and other post employment credit of $368 million, interest income of $92 million, and other miscellaneous income offset by net exchange loss of $110 million and other miscellaneous expenses. The period September 1 through December 31, 2017 includes a non-operating pension and other post employment benefit credit of $134 million, interest income of $41 million, and a net exchange gain of $8 million. The period January 1 through August 31, 2017 includes a net exchange loss of $394 million, a non-operating pension and other post employment cost of $278 million, a pre-tax gain of $162 million associated with the sale of the global food safety diagnostic business, and royalty income of $84 million.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60"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versus 2016</w:t>
      </w:r>
    </w:p>
    <w:p>
      <w:pPr>
        <w:spacing w:after="0" w:line="11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Sundry income (expense)—net was an income of $224 million and expense of ($113) million for the period September 1 through December 31, 2017 and for the period January 1 through August 31, 2017, respectively. Sundry income (expense)—net was income of $667 million for the year ended December 31, 2016. The 2017 charges are described above. The year ended December 31, 2016 included a pre-tax gain of $369 million associated with the sale of Historical DuPont (Shenzhen) Manufacturing Limited entity, royalty income of $170 million, a net exchange loss of $106 million and a non-operating pension and other post employment cost of $40 million. In the Successor periods, royalty income is included in net sales. See note 1 to the annual consolidated financial statements, which are incorporated by reference herein and filed as Exhibit 99.2 to the Form 10 of which this information statement forms a part, for further discussion of the changes in presentation.</w:t>
      </w:r>
    </w:p>
    <w:p>
      <w:pPr>
        <w:spacing w:after="0" w:line="178"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See note 8 to the annual consolidated financial statements, which are incorporated by reference herein and filed as Exhibit 99.2 to the Form 10 of which this information statement forms a part, for additional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Loss on Early Extinguishment of Debt</w:t>
      </w:r>
    </w:p>
    <w:p>
      <w:pPr>
        <w:spacing w:after="0" w:line="121"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Historical DuPont recorded a loss from early extinguishment of debt of $81 million for the year ended December 31, 2018, primarily related to the difference between the redemption price and the aggregate amount of the Tender Notes purchased in the Tender Offers, mostly offset by the write-off of unamortized step-up related to the fair value step-up of Historical DuPont’s debt. Additional information regarding Historical DuPont’s Early Tender Settlement can be found in note 15 to the annual consolidated financial statements, which are incorporated by reference herein and filed as Exhibit 99.2 to the Form 10 of which this information statement forms a part, for additional information.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versus 2017</w:t>
      </w:r>
    </w:p>
    <w:p>
      <w:pPr>
        <w:spacing w:after="0" w:line="117"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color w:val="auto"/>
        </w:rPr>
        <w:t>Interest expense was $331 million for the year ended December 31, 2018, $107 million for the period September 1 through December 31, 2017, and $254 million for the period January 1 through August 31, 2017. The change was primarily driven by amortization of the step-up of debt as a result of push-down accounting, partially offset by higher borrowing rates.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versus 2016</w:t>
      </w:r>
    </w:p>
    <w:p>
      <w:pPr>
        <w:spacing w:after="0" w:line="117"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color w:val="auto"/>
        </w:rPr>
        <w:t>Interest expense was $107 million for the period September 1 through December 31, 2017, $254 million for the period January 1 through August 31, 2017, and $370 million for the year ended December 31, 2016. The change was primarily driven by amortization of the step-up of debt as a result of push-down accounting, partially offset by higher debt balances.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Provision for Income Taxes on Continuing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year ended December 31, 2018, Historical DuPont’s effective tax rate of (4.6) percent on pre-tax loss from continuing operations of</w:t>
      </w:r>
    </w:p>
    <w:p>
      <w:pPr>
        <w:spacing w:after="0" w:line="23"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$4,793 million was unfavorably impacted by the non-tax-deductible impairment charge for the agriculture reporting unit and corresponding $75 million tax charge associated with a valuation allowance recorded against the net deferred tax asset position of a legal entity in Brazil, costs associated with the Merger (including a $74 million net tax charge on repatriation activities to facilitate the separations and distributions), a $121 million net tax charge related to completing its accounting for the tax effects of the TCJA (see note 9 of the annual consolidated financial statements, which are incorporated by reference herein and filed as Exhibit 99.2 to the Form 10 of which this information statement forms a part, for additional detail), and the impacts related to the non-tax-deductible amortization of the fair value step-up in Historical DuPont’s inventories as a result of the Merger.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60"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For the period September 1 through December 31, 2017, Historical DuPont’s effective tax rate of 168.5 percent on pre-tax loss from continuing operations of $1,586 million was favorably impacted by a provisional net benefit of $2,001 million that Historical DuPont recognized due to the enactment of the TCJA, a net benefit of $261 million related to an internal legal entity restructuring associated with the separations and distributions, as well as geographic mix of earnings. Those impacts were partially offset by the non-tax deductible amortization of the fair value step-up in Historical DuPont’s inventories as a result of the Merger, certain net exchange losses recognized on the remeasurement of the net monetary asset positions which were not tax deductible in their local jurisdictions, as well as the tax impact of costs associated with the Merger and restructuring and asset related charges.</w:t>
      </w:r>
    </w:p>
    <w:p>
      <w:pPr>
        <w:spacing w:after="0" w:line="189"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For the period January 1 through August 31, 2017, Historical DuPont’s effective tax rate was 8.3 percent on pre-tax income from continuing operations of $1,791 million. For the period January 1 through August 31, 2017, Historical DuPont’s effective tax rate was favorably impacted by geographic mix of earnings, certain net exchange gains recognized on the remeasurement of the net monetary asset positions which were not taxable in their local jurisdictions, net favorable tax consequences of the adoption of Financial Accounting Standards Board (“FASB”) Accounting Standards Update (“ASU”) No. 2016-09, Compensation—Stock Compensation (Topic 718), Improvements to Employee Share-Based Payment Accounting, tax benefits related to a reduction in Historical DuPont’s unrecognized tax benefits due to the closure of various tax statutes of limitations, as well as tax benefits on costs associated with the Merger and restructuring and asset related charges. Those tax benefits were partially offset by the unfavorable tax consequences of non-deductible goodwill associated with the gain on the sale of the global food safety diagnostic business in the first quarter of 2017.</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 the year ended December 31, 2016, Historical DuPont’s effective tax rate of 23.5 percent on pre-tax income from continuing operations of</w:t>
      </w:r>
    </w:p>
    <w:p>
      <w:pPr>
        <w:spacing w:after="0" w:line="35"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$2,723 million was impacted by geographic mix of earnings as well as certain net exchange gains recognized on the remeasurement of the net monetary asset positions which were not taxable in their local jurisdictions. Those benefits were partially offset by the tax consequences of the gain on the sale of Historical DuPont (Shenzhen) Manufacturing Limited in the first quarter of 2016.</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See note 2 to the annual consolidated financial statements, which are incorporated by reference herein and filed as Exhibit 99.2 to the Form 10 of which this information statement forms a part, for a description of recent accounting pronouncements.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&amp; Capital Resources</w:t>
      </w:r>
    </w:p>
    <w:p>
      <w:pPr>
        <w:spacing w:after="0" w:line="12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Historical DuPont continually reviews its sources of liquidity and debt portfolio and occasionally may make adjustments to one or both to ensure adequate liquidity.</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40" w:type="dxa"/>
            <w:vAlign w:val="bottom"/>
            <w:gridSpan w:val="3"/>
          </w:tcPr>
          <w:p>
            <w:pPr>
              <w:ind w:left="1000"/>
              <w:spacing w:after="0"/>
              <w:rPr>
                <w:sz w:val="20"/>
                <w:szCs w:val="20"/>
                <w:color w:val="auto"/>
              </w:rPr>
            </w:pPr>
            <w:r>
              <w:rPr>
                <w:rFonts w:ascii="Arial" w:cs="Arial" w:eastAsia="Arial" w:hAnsi="Arial"/>
                <w:sz w:val="14"/>
                <w:szCs w:val="14"/>
                <w:b w:val="1"/>
                <w:bCs w:val="1"/>
                <w:color w:val="auto"/>
                <w:w w:val="90"/>
              </w:rPr>
              <w:t>December 31,</w:t>
            </w:r>
          </w:p>
        </w:tc>
        <w:tc>
          <w:tcPr>
            <w:tcW w:w="1780" w:type="dxa"/>
            <w:vAlign w:val="bottom"/>
            <w:gridSpan w:val="4"/>
          </w:tcPr>
          <w:p>
            <w:pPr>
              <w:ind w:left="8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marketable securities</w:t>
            </w: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7,972</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13,070</w:t>
            </w:r>
          </w:p>
        </w:tc>
        <w:tc>
          <w:tcPr>
            <w:tcW w:w="40" w:type="dxa"/>
            <w:vAlign w:val="bottom"/>
          </w:tcPr>
          <w:p>
            <w:pPr>
              <w:spacing w:after="0"/>
              <w:rPr>
                <w:sz w:val="20"/>
                <w:szCs w:val="20"/>
                <w:color w:val="auto"/>
              </w:rPr>
            </w:pPr>
          </w:p>
        </w:tc>
      </w:tr>
    </w:tbl>
    <w:p>
      <w:pPr>
        <w:spacing w:after="0" w:line="183" w:lineRule="exact"/>
        <w:rPr>
          <w:sz w:val="20"/>
          <w:szCs w:val="20"/>
          <w:color w:val="auto"/>
        </w:rPr>
      </w:pPr>
    </w:p>
    <w:p>
      <w:pPr>
        <w:ind w:left="200" w:right="160"/>
        <w:spacing w:after="0" w:line="291" w:lineRule="auto"/>
        <w:rPr>
          <w:sz w:val="20"/>
          <w:szCs w:val="20"/>
          <w:color w:val="auto"/>
        </w:rPr>
      </w:pPr>
      <w:r>
        <w:rPr>
          <w:rFonts w:ascii="Arial" w:cs="Arial" w:eastAsia="Arial" w:hAnsi="Arial"/>
          <w:sz w:val="16"/>
          <w:szCs w:val="16"/>
          <w:color w:val="auto"/>
        </w:rPr>
        <w:t>In the fourth quarter of 2018, Historical DuPont offered to purchase for cash up to approximately $6.2 billion of outstanding debt securities from each registered holder of the applicable series of debt securities in connection with the Tender Offers. Historical DuPont has retired approximately</w:t>
      </w:r>
    </w:p>
    <w:p>
      <w:pPr>
        <w:ind w:left="200" w:right="600"/>
        <w:spacing w:after="0" w:line="261" w:lineRule="auto"/>
        <w:rPr>
          <w:sz w:val="20"/>
          <w:szCs w:val="20"/>
          <w:color w:val="auto"/>
        </w:rPr>
      </w:pPr>
      <w:r>
        <w:rPr>
          <w:rFonts w:ascii="Arial" w:cs="Arial" w:eastAsia="Arial" w:hAnsi="Arial"/>
          <w:sz w:val="18"/>
          <w:szCs w:val="18"/>
          <w:color w:val="auto"/>
        </w:rPr>
        <w:t>$4.4 billion aggregate principal amount of such debt securities in connection with the Tender Offers, which expired on December 11, 2018. The retirement of these debt securities was funded with cash contributions from DowDuPont.</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240" w:top="460"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July 2018, Historical DuPont fully repaid $1,250 million of 6.0 percent coupon bonds at maturity.</w:t>
      </w:r>
    </w:p>
    <w:p>
      <w:pPr>
        <w:spacing w:after="0" w:line="225"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Historical DuPont’s credit ratings impact its access to the debt capital markets and cost of capital. Historical DuPont remains committed to a strong financial position and strong investment-grade rating. Historical DuPont’s long-term and short-term credit ratings are as follows:</w:t>
      </w:r>
    </w:p>
    <w:p>
      <w:pPr>
        <w:spacing w:after="0" w:line="16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95"/>
              </w:rPr>
              <w:t>Long-term</w:t>
            </w:r>
          </w:p>
        </w:tc>
        <w:tc>
          <w:tcPr>
            <w:tcW w:w="6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Short-term</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Outlook</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Standard &amp; Poor’s</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A-2</w:t>
            </w:r>
          </w:p>
        </w:tc>
        <w:tc>
          <w:tcPr>
            <w:tcW w:w="6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Stable</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Moody’s Investors Service</w:t>
            </w:r>
          </w:p>
        </w:tc>
        <w:tc>
          <w:tcPr>
            <w:tcW w:w="680" w:type="dxa"/>
            <w:vAlign w:val="bottom"/>
          </w:tcPr>
          <w:p>
            <w:pPr>
              <w:spacing w:after="0"/>
              <w:rPr>
                <w:sz w:val="20"/>
                <w:szCs w:val="20"/>
                <w:color w:val="auto"/>
              </w:rPr>
            </w:pPr>
            <w:r>
              <w:rPr>
                <w:rFonts w:ascii="Arial" w:cs="Arial" w:eastAsia="Arial" w:hAnsi="Arial"/>
                <w:sz w:val="18"/>
                <w:szCs w:val="18"/>
                <w:color w:val="auto"/>
              </w:rPr>
              <w:t>A3</w:t>
            </w:r>
          </w:p>
        </w:tc>
        <w:tc>
          <w:tcPr>
            <w:tcW w:w="2040" w:type="dxa"/>
            <w:vAlign w:val="bottom"/>
            <w:gridSpan w:val="3"/>
          </w:tcPr>
          <w:p>
            <w:pPr>
              <w:ind w:left="660"/>
              <w:spacing w:after="0"/>
              <w:rPr>
                <w:sz w:val="20"/>
                <w:szCs w:val="20"/>
                <w:color w:val="auto"/>
              </w:rPr>
            </w:pPr>
            <w:r>
              <w:rPr>
                <w:rFonts w:ascii="Arial" w:cs="Arial" w:eastAsia="Arial" w:hAnsi="Arial"/>
                <w:sz w:val="18"/>
                <w:szCs w:val="18"/>
                <w:color w:val="auto"/>
              </w:rPr>
              <w:t>P-2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Stable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Fitch Ratings</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2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F1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Stable</w:t>
            </w:r>
          </w:p>
        </w:tc>
      </w:tr>
    </w:tbl>
    <w:p>
      <w:pPr>
        <w:spacing w:after="0" w:line="20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Historical DuPont believes its ability to generate cash from operations and access to capital markets will be adequate to meet anticipated cash requirements to fund its working capital, capital spending, debt maturities in the ordinary course as well as distributions and other intercompany transfers to DowDuPont which relies primarily on Historical DuPont and Historical Dow to fund payment of its operating costs and expenses. We believe that Historical DuPont’s current strong financial position, liquidity and credit ratings continue to provide access as needed to the capital markets. Historical DuPont’s liquidity needs can be met through a variety of sources, including cash provided by operating activities, cash and cash equivalents, marketable securities, commercial paper, syndicated credit lines, bilateral credit lines, long-term debt markets, bank financing, committed receivable repurchase facilities and asset sales.</w:t>
      </w:r>
    </w:p>
    <w:p>
      <w:pPr>
        <w:spacing w:after="0" w:line="189"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Historical DuPont has access to approximately $6.1 billion in committed and uncommitted unused credit lines with several major financial institutions including unused commitments of $2.5 billion under the Term Loan Facility described below and a $3.0 billion revolving credit facility to support its commercial paper program. These unused credit lines provide support to meet Historical DuPont’s short-term liquidity needs and for general corporate purposes which may include funding of discretionary and non-discretionary contributions to certain benefit plans, severance payments, repayment and refinancing of debt, working capital, capital expenditures and repurchases and redemptions of securities.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May 2017, Historical DuPont completed an underwritten public offering of $1.25 billion of Historical DuPont’s 2.20 percent Notes due 2020 and</w:t>
      </w:r>
    </w:p>
    <w:p>
      <w:pPr>
        <w:spacing w:after="0" w:line="35"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$750 million of Historical DuPont’s Floating Rate Notes due 2020 (the “May 2017 Debt Offering”). The proceeds of this offering were used to make a discretionary pension contribution to Historical DuPont’s principal U.S. pension plan, as discussed below.</w:t>
      </w:r>
    </w:p>
    <w:p>
      <w:pPr>
        <w:spacing w:after="0" w:line="184"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Historical DuPont’s indenture covenants include customary limitations on liens, sale and leaseback transactions, and mergers and consolidations subject to certain limitations. The outstanding long-term debt also contains customary default provisions. In addition, Historical DuPont will be required to redeem all of the Notes associated with the May 2017 Debt Offering at a redemption price equal to 100 percent of the aggregate principal amount plus any accrued and unpaid interest upon the announcement of the record date for the separation of either the agriculture or specialty products business, or the entry into an agreement to sell all or substantially all of the assets of either business to a third party.</w:t>
      </w:r>
    </w:p>
    <w:p>
      <w:pPr>
        <w:spacing w:after="0" w:line="17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March 2016, Historical DuPont entered into a credit agreement that provides for a three-year, senior unsecured term loan facility in the aggregate principal amount of $4.5 billion (as amended, from time to time, the “Term Loan Facility”) under which Historical DuPont may make up to seven term loan borrowings and amounts repaid or prepaid are not available for subsequent borrowings. The proceeds from the borrowings under the Term Loan Facility will be used for Historical DuPont’s general corporate purposes including debt repayment, working capital and funding a portion of DowDuPont’s costs and expenses. The Term Loan Facility was amended in 2018 to extend the maturity date to June 2020, at which time all outstanding borrowings, including accrued but unpaid interest, become immediately due and payable, and to extend the date on which the commitment to lend terminates to June 2019. At December 31, 2018, Historical DuPont had made four term loan borrowings in an aggregate principal amount of $2.0 billion and had unused commitments of $2.5 billion under the Term Loan Facility. In addition, in 2018 Historical DuPont amended its $3.0 billion revolving credit facility to extend the maturity date to June 2020.</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The Term Loan Facility and the amended revolving credit facility (the “Facilities”) contain customary representations and warranties, affirmative and negative covenants, and events of default that are typical for companies with similar credit ratings and generally consistent with those applicable to Historical DuPont’s long-term public debt. The Facilities contain a financial covenant requiring that the ratio of Total Indebtedness to Total Capitalization for Historical DuPont and its consolidated subsidiaries not exceed 0.6667. At December 31, 2018, Historical DuPont was in compliance with this financial covenant.</w:t>
      </w:r>
    </w:p>
    <w:p>
      <w:pPr>
        <w:spacing w:after="0" w:line="188"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Facilities impose additional affirmative and negative covenants on Historical DuPont and its subsidiaries after the closing of the Merger, subject to certain limitations, including to:</w:t>
      </w:r>
    </w:p>
    <w:p>
      <w:pPr>
        <w:spacing w:after="0" w:line="76" w:lineRule="exact"/>
        <w:rPr>
          <w:sz w:val="20"/>
          <w:szCs w:val="20"/>
          <w:color w:val="auto"/>
        </w:rPr>
      </w:pPr>
    </w:p>
    <w:p>
      <w:pPr>
        <w:ind w:left="1060" w:right="40" w:hanging="316"/>
        <w:spacing w:after="0" w:line="312" w:lineRule="auto"/>
        <w:tabs>
          <w:tab w:leader="none" w:pos="10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not sell, lease or otherwise convey to DowDuPont, its shareholders or its non-Historical DuPont subsidiaries, any assets or properties of Historical DuPont or its subsidiaries unless the aggregate amount of revenues attributable to all such assets and properties so conveyed after the merger does not exceed 30 percent of the consolidated revenues of Historical DuPont and its subsidiaries as of December 31, 2015; and</w:t>
      </w:r>
    </w:p>
    <w:p>
      <w:pPr>
        <w:spacing w:after="0" w:line="52" w:lineRule="exact"/>
        <w:rPr>
          <w:rFonts w:ascii="Arial" w:cs="Arial" w:eastAsia="Arial" w:hAnsi="Arial"/>
          <w:sz w:val="16"/>
          <w:szCs w:val="16"/>
          <w:color w:val="auto"/>
        </w:rPr>
      </w:pPr>
    </w:p>
    <w:p>
      <w:pPr>
        <w:ind w:left="1060" w:right="40" w:hanging="316"/>
        <w:spacing w:after="0" w:line="277" w:lineRule="auto"/>
        <w:tabs>
          <w:tab w:leader="none" w:pos="10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 guarantee any indebtedness or other obligations of DowDuPont, Historical Dow or their respective subsidiaries (other than of Historical DuPont and its subsidiaries).</w:t>
      </w:r>
    </w:p>
    <w:p>
      <w:pPr>
        <w:spacing w:after="0" w:line="17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The Facilities will terminate, and the loans and other amounts thereunder would become due and payable, upon the sale, transfer, lease or other disposition of all or substantially all of the assets of the agriculture product line to DowDuPont, its shareholders or any of its non-Historical DuPont subsidiaries.</w:t>
      </w:r>
    </w:p>
    <w:p>
      <w:pPr>
        <w:spacing w:after="0" w:line="18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In February 2018, in line with seasonal agricultural working capital requirements, Historical DuPont entered into a committed receivable repurchase agreement of up to $1.3 billion (the “2018 Repurchase Facility”) which expired in December 2018. Under the 2018 Repurchase Facility, Historical DuPont sold a portfolio of available and eligible outstanding customer notes receivables within the agriculture product line to participating institutions and simultaneously agreed to repurchase at a future date.</w:t>
      </w:r>
    </w:p>
    <w:p>
      <w:pPr>
        <w:spacing w:after="0" w:line="187"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In February 2019, Historical DuPont entered into a new committed receivable repurchase facility of up to $1.3 billion (the “2019 Repurchase Facility”) which expires in December 2019. See further discussion of the 2019 Repurchase Facility in note 24 to the annual consolidated financial statements, which are incorporated by reference herein and filed as Exhibit 99.2 to the Form 10 of which this information statement forms a part.</w:t>
      </w:r>
    </w:p>
    <w:p>
      <w:pPr>
        <w:spacing w:after="0" w:line="166"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During the period January 1 through August 31, 2017, Historical DuPont made total contributions of $2.9 billion to its principal U.S. pension plan, including approximately $2.7 billion reflecting discretionary contributions. The discretionary contribution was funded through the May 2017 Debt Offering, as discussed above; short-term borrowings, including commercial paper issuance; and cash. The $2.9 billion contribution was taken as a deduction on Historical DuPont’s 2016 federal tax return and resulted in a net operating loss for tax purposes. This loss resulted in an overpayment of taxes paid of approximately $800 million. A portion of the overpayment was applied against the 2017 tax liability. The remainder of the loss generated a refund of approximately $700 million which was received during the fourth quarter of 2017. At the end of 2017, Historical DuPont did not anticipate making contributions to its principal U.S. pension plan in 2018. Historical DuPont made a discretionary contribution of $1.1 billion in the third quarter of 2018 to its principal U.S. pension plan, primarily through cash balances. The decision to make the discretionary contribution took into account tax deductible limits as well as capital structure considerations.</w:t>
      </w:r>
    </w:p>
    <w:p>
      <w:pPr>
        <w:spacing w:after="0" w:line="182"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Historical DuPont entered into a trust agreement in 2013 (as amended and restated in 2017) that established and requires Historical DuPont to fund a trust (the “Trust”) for cash obligations under certain nonqualified benefit and deferred compensation plans upon a change in control event as defined in the trust agreement. Under the trust agreement, the consummation of the Merger was a change in control event. As a result, in November 2017, Historical DuPont contributed $571 million to the Trust. In the fourth quarter of 2017, $13 million was distributed to Historical DuPont according to the trust agreement and at December 31, 2017, the balance in the</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60"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Trust was $558 million. During the year ended December 31, 2018, $68 million was distributed to Historical DuPont according to the trust agreement and at December 31, 2018, the balance in the Trust was $500 million.</w:t>
      </w:r>
    </w:p>
    <w:p>
      <w:pPr>
        <w:spacing w:after="0" w:line="17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Historical DuPont’s cash, cash equivalents and marketable securities at December 31, 2018 and 2017 are $4.5 billion and $8.2 billion, respectively, of which $3.9 billion at December 31, 2018 and $7.9 billion at December 31, 2017 was held by subsidiaries in foreign countries, including U.S. territories. The decrease in cash held by subsidiaries in foreign countries is due to the repatriation activities discussed below. For each of its foreign subsidiaries, Historical DuPont makes an assertion regarding the amount of earnings intended for permanent reinvestment, with the balance available to be repatriated to the United States.</w:t>
      </w:r>
    </w:p>
    <w:p>
      <w:pPr>
        <w:spacing w:after="0" w:line="18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TCJA requires companies to pay a one-time transition tax on earnings of foreign subsidiaries, a majority of which were previously considered permanently reinvested by Historical DuPont (see note 9 to the annual consolidated financial statements, which are incorporated by reference herein and filed as Exhibit 99.2 to the Form 10 of which this information statement forms a part, for further details of the TCJA). A tax liability was accrued for the estimated U.S. federal tax on all accumulated unrepatriated earnings through December 31, 2017 in accordance with the TCJA (i.e., “transition tax”). The cash held by foreign subsidiaries for permanent reinvestment is generally used to finance the subsidiaries’ operational activities and future foreign investments. At December 31, 2018, management believed that sufficient liquidity is available in the United States. Historical DuPont has the ability to repatriate additional funds to the United States, which could result in an adjustment to the tax liability for foreign withholding taxes, foreign and/or U.S. state income taxes and the impact of foreign currency movements. It is not practicable to calculate the unrecognized deferred tax liability on undistributed foreign earnings due to the complexity of the hypothetical calculation. During 2018, in connection with the separations and distributions, Historical DuPont repatriated certain funds from its non-U.S. subsidiaries that were not needed to finance local operations. During the year ended December 31, 2018, Historical DuPont recorded net tax expense of $74 million associated with foreign withholding tax incurred in connection with these repatriation activities.</w:t>
      </w:r>
    </w:p>
    <w:p>
      <w:pPr>
        <w:spacing w:after="0" w:line="199"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Successor</w:t>
            </w: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For the Year</w:t>
            </w:r>
          </w:p>
        </w:tc>
        <w:tc>
          <w:tcPr>
            <w:tcW w:w="1360" w:type="dxa"/>
            <w:vAlign w:val="bottom"/>
            <w:gridSpan w:val="3"/>
          </w:tcPr>
          <w:p>
            <w:pPr>
              <w:jc w:val="center"/>
              <w:ind w:left="353"/>
              <w:spacing w:after="0" w:line="119" w:lineRule="exact"/>
              <w:rPr>
                <w:sz w:val="20"/>
                <w:szCs w:val="20"/>
                <w:color w:val="auto"/>
              </w:rPr>
            </w:pPr>
            <w:r>
              <w:rPr>
                <w:rFonts w:ascii="Arial" w:cs="Arial" w:eastAsia="Arial" w:hAnsi="Arial"/>
                <w:sz w:val="13"/>
                <w:szCs w:val="13"/>
                <w:b w:val="1"/>
                <w:bCs w:val="1"/>
                <w:color w:val="auto"/>
              </w:rPr>
              <w:t>For the Period</w:t>
            </w:r>
          </w:p>
        </w:tc>
        <w:tc>
          <w:tcPr>
            <w:tcW w:w="2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62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rPr>
              <w:t>For the Period</w:t>
            </w:r>
          </w:p>
        </w:tc>
        <w:tc>
          <w:tcPr>
            <w:tcW w:w="20" w:type="dxa"/>
            <w:vAlign w:val="bottom"/>
          </w:tcPr>
          <w:p>
            <w:pPr>
              <w:spacing w:after="0"/>
              <w:rPr>
                <w:sz w:val="10"/>
                <w:szCs w:val="10"/>
                <w:color w:val="auto"/>
              </w:rPr>
            </w:pP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September 1</w:t>
            </w:r>
          </w:p>
        </w:tc>
        <w:tc>
          <w:tcPr>
            <w:tcW w:w="2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January 1</w:t>
            </w: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4"/>
              </w:rPr>
              <w:t>through</w:t>
            </w:r>
          </w:p>
        </w:tc>
        <w:tc>
          <w:tcPr>
            <w:tcW w:w="2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through</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60" w:type="dxa"/>
            <w:vAlign w:val="bottom"/>
            <w:gridSpan w:val="3"/>
          </w:tcPr>
          <w:p>
            <w:pPr>
              <w:jc w:val="center"/>
              <w:ind w:left="30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August 31,</w:t>
            </w:r>
          </w:p>
        </w:tc>
        <w:tc>
          <w:tcPr>
            <w:tcW w:w="9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5"/>
              <w:spacing w:after="0"/>
              <w:rPr>
                <w:sz w:val="20"/>
                <w:szCs w:val="20"/>
                <w:color w:val="auto"/>
              </w:rPr>
            </w:pPr>
            <w:r>
              <w:rPr>
                <w:rFonts w:ascii="Arial" w:cs="Arial" w:eastAsia="Arial" w:hAnsi="Arial"/>
                <w:sz w:val="14"/>
                <w:szCs w:val="14"/>
                <w:b w:val="1"/>
                <w:bCs w:val="1"/>
                <w:color w:val="auto"/>
                <w:w w:val="89"/>
              </w:rPr>
              <w:t>2017</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Cash provided by (used for) operating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Cash provided by operating activities was $848 million for the year ended December 31, 2018, primarily driven by earnings after goodwill impairment and inventory step-up amortization offset by transaction costs, pension contributions, changes in working capital and tax payments. Cash provided by operating activities was $4,196 million for the period September 1 through December 31, 2017, primarily driven by seasonal cash flows related to the agriculture product line and a tax refund related to voluntary pension contributions made in the Predecessor period, partially offset by transaction costs and the PFOA multi-district litigation settlement, which was primarily paid in September. Cash used for operating activities was $3,949 million for the period January 1 through August 31, 2017, primarily driven by pension contributions of $3,024 million, seasonal cash flows related to the agriculture product line, transaction costs and tax payments, partially offset by earnings.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240" w:top="460"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Cash provided by operating activities was $3,357 million for the year ended December 31, 2016, primarily due to earnings offset by tax payments, pension contributions and transaction costs.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Successor</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For the Year</w:t>
            </w:r>
          </w:p>
        </w:tc>
        <w:tc>
          <w:tcPr>
            <w:tcW w:w="1140" w:type="dxa"/>
            <w:vAlign w:val="bottom"/>
            <w:gridSpan w:val="3"/>
          </w:tcPr>
          <w:p>
            <w:pPr>
              <w:jc w:val="center"/>
              <w:ind w:left="133"/>
              <w:spacing w:after="0" w:line="119" w:lineRule="exact"/>
              <w:rPr>
                <w:sz w:val="20"/>
                <w:szCs w:val="20"/>
                <w:color w:val="auto"/>
              </w:rPr>
            </w:pPr>
            <w:r>
              <w:rPr>
                <w:rFonts w:ascii="Arial" w:cs="Arial" w:eastAsia="Arial" w:hAnsi="Arial"/>
                <w:sz w:val="13"/>
                <w:szCs w:val="13"/>
                <w:b w:val="1"/>
                <w:bCs w:val="1"/>
                <w:color w:val="auto"/>
              </w:rPr>
              <w:t>For the Period</w:t>
            </w:r>
          </w:p>
        </w:tc>
        <w:tc>
          <w:tcPr>
            <w:tcW w:w="26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620" w:type="dxa"/>
            <w:vAlign w:val="bottom"/>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20" w:type="dxa"/>
            <w:vAlign w:val="bottom"/>
          </w:tcPr>
          <w:p>
            <w:pPr>
              <w:spacing w:after="0"/>
              <w:rPr>
                <w:sz w:val="10"/>
                <w:szCs w:val="10"/>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September 1</w:t>
            </w:r>
          </w:p>
        </w:tc>
        <w:tc>
          <w:tcPr>
            <w:tcW w:w="2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4"/>
              </w:rPr>
              <w:t>January 1</w:t>
            </w:r>
          </w:p>
        </w:tc>
        <w:tc>
          <w:tcPr>
            <w:tcW w:w="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4"/>
              </w:rPr>
              <w:t>through</w:t>
            </w:r>
          </w:p>
        </w:tc>
        <w:tc>
          <w:tcPr>
            <w:tcW w:w="2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through</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80" w:type="dxa"/>
            <w:vAlign w:val="bottom"/>
            <w:gridSpan w:val="4"/>
          </w:tcPr>
          <w:p>
            <w:pPr>
              <w:jc w:val="center"/>
              <w:ind w:left="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August 31,</w:t>
            </w:r>
          </w:p>
        </w:tc>
        <w:tc>
          <w:tcPr>
            <w:tcW w:w="9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9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5"/>
              <w:spacing w:after="0"/>
              <w:rPr>
                <w:sz w:val="20"/>
                <w:szCs w:val="20"/>
                <w:color w:val="auto"/>
              </w:rPr>
            </w:pPr>
            <w:r>
              <w:rPr>
                <w:rFonts w:ascii="Arial" w:cs="Arial" w:eastAsia="Arial" w:hAnsi="Arial"/>
                <w:sz w:val="14"/>
                <w:szCs w:val="14"/>
                <w:b w:val="1"/>
                <w:bCs w:val="1"/>
                <w:color w:val="auto"/>
                <w:w w:val="89"/>
              </w:rPr>
              <w:t>2017</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Cash (used for) provided by investing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0"/>
        <w:spacing w:after="0" w:line="290" w:lineRule="auto"/>
        <w:rPr>
          <w:sz w:val="20"/>
          <w:szCs w:val="20"/>
          <w:color w:val="auto"/>
        </w:rPr>
      </w:pPr>
      <w:r>
        <w:rPr>
          <w:rFonts w:ascii="Arial" w:cs="Arial" w:eastAsia="Arial" w:hAnsi="Arial"/>
          <w:sz w:val="16"/>
          <w:szCs w:val="16"/>
          <w:color w:val="auto"/>
        </w:rPr>
        <w:t>Cash used for investing activities was $334 million for the year ended December 31, 2018, primarily driven by increased capital expenditures partially offset by net proceeds from investments. Cash provided by investing activities was $2,768 million for the period September 1 through December 31, 2017, primarily driven by approximately $1,200 million of cash received for the FMC transactions and net proceeds from investments, partially offset by capital expenditures. Cash used for investing activities was $2,382 million for the period January 1 through August 31, 2017, primarily due to increased net purchases of investments, capital expenditures, payments for the acquisition of Granular Inc. and net payments from foreign currency contracts, partially offset by proceeds from the sale of property and businesses. Cash used for investing activities of $1,514 million during the year ended December 31, 2016 was primarily due to $1,019 million of capital expenditures, net purchases of investments and net payments from foreign currency contracts, partially offset by proceeds from the sale of property and businesses.</w:t>
      </w:r>
    </w:p>
    <w:p>
      <w:pPr>
        <w:spacing w:after="0" w:line="166"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Capital expenditures totaled $1,311 million for the year ended December 31, 2018, $426 million for the period September 1 through December 31, 2017, $687 million for the period January 1 through August 31, 2017, and $1,019 million in 2016. Historical DuPont expects 2019 capital expenditures to be about $1,800 million, of which approximately $500 million is related to the targeted cost synergies associated with the Merger and execution of the intended separation of DowDuPont’s agriculture, materials science and specialty products businesses.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w w:val="87"/>
              </w:rPr>
              <w:t>Successor</w:t>
            </w: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Predecessor</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vMerge w:val="continue"/>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240" w:type="dxa"/>
            <w:vAlign w:val="bottom"/>
            <w:gridSpan w:val="4"/>
            <w:vMerge w:val="restart"/>
          </w:tcPr>
          <w:p>
            <w:pPr>
              <w:ind w:left="700"/>
              <w:spacing w:after="0"/>
              <w:rPr>
                <w:sz w:val="20"/>
                <w:szCs w:val="20"/>
                <w:color w:val="auto"/>
              </w:rPr>
            </w:pPr>
            <w:r>
              <w:rPr>
                <w:rFonts w:ascii="Arial" w:cs="Arial" w:eastAsia="Arial" w:hAnsi="Arial"/>
                <w:sz w:val="14"/>
                <w:szCs w:val="14"/>
                <w:b w:val="1"/>
                <w:bCs w:val="1"/>
                <w:color w:val="auto"/>
              </w:rPr>
              <w:t>For the Year Ended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ind w:right="82"/>
              <w:spacing w:after="0" w:line="119" w:lineRule="exact"/>
              <w:rPr>
                <w:sz w:val="20"/>
                <w:szCs w:val="20"/>
                <w:color w:val="auto"/>
              </w:rPr>
            </w:pPr>
            <w:r>
              <w:rPr>
                <w:rFonts w:ascii="Arial" w:cs="Arial" w:eastAsia="Arial" w:hAnsi="Arial"/>
                <w:sz w:val="13"/>
                <w:szCs w:val="13"/>
                <w:b w:val="1"/>
                <w:bCs w:val="1"/>
                <w:color w:val="auto"/>
              </w:rPr>
              <w:t>For the Period</w:t>
            </w:r>
          </w:p>
        </w:tc>
        <w:tc>
          <w:tcPr>
            <w:tcW w:w="32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right="24"/>
              <w:spacing w:after="0" w:line="119" w:lineRule="exact"/>
              <w:rPr>
                <w:sz w:val="20"/>
                <w:szCs w:val="20"/>
                <w:color w:val="auto"/>
              </w:rPr>
            </w:pPr>
            <w:r>
              <w:rPr>
                <w:rFonts w:ascii="Arial" w:cs="Arial" w:eastAsia="Arial" w:hAnsi="Arial"/>
                <w:sz w:val="13"/>
                <w:szCs w:val="13"/>
                <w:b w:val="1"/>
                <w:bCs w:val="1"/>
                <w:color w:val="auto"/>
              </w:rPr>
              <w:t>For the Period</w:t>
            </w:r>
          </w:p>
        </w:tc>
        <w:tc>
          <w:tcPr>
            <w:tcW w:w="2140" w:type="dxa"/>
            <w:vAlign w:val="bottom"/>
            <w:gridSpan w:val="4"/>
            <w:vMerge w:val="restart"/>
          </w:tcPr>
          <w:p>
            <w:pPr>
              <w:ind w:left="82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1900" w:type="dxa"/>
            <w:vAlign w:val="bottom"/>
            <w:tcBorders>
              <w:right w:val="single" w:sz="8" w:color="auto"/>
            </w:tcBorders>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September 1 through</w:t>
            </w:r>
          </w:p>
        </w:tc>
        <w:tc>
          <w:tcPr>
            <w:tcW w:w="1920" w:type="dxa"/>
            <w:vAlign w:val="bottom"/>
            <w:gridSpan w:val="3"/>
          </w:tcPr>
          <w:p>
            <w:pPr>
              <w:jc w:val="center"/>
              <w:ind w:left="659"/>
              <w:spacing w:after="0" w:line="149" w:lineRule="exact"/>
              <w:rPr>
                <w:sz w:val="20"/>
                <w:szCs w:val="20"/>
                <w:color w:val="auto"/>
              </w:rPr>
            </w:pPr>
            <w:r>
              <w:rPr>
                <w:rFonts w:ascii="Arial" w:cs="Arial" w:eastAsia="Arial" w:hAnsi="Arial"/>
                <w:sz w:val="14"/>
                <w:szCs w:val="14"/>
                <w:b w:val="1"/>
                <w:bCs w:val="1"/>
                <w:color w:val="auto"/>
                <w:w w:val="93"/>
              </w:rPr>
              <w:t>January 1 through</w:t>
            </w:r>
          </w:p>
        </w:tc>
        <w:tc>
          <w:tcPr>
            <w:tcW w:w="2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00" w:type="dxa"/>
            <w:vAlign w:val="bottom"/>
          </w:tcPr>
          <w:p>
            <w:pPr>
              <w:spacing w:after="0"/>
              <w:rPr>
                <w:sz w:val="14"/>
                <w:szCs w:val="14"/>
                <w:color w:val="auto"/>
              </w:rPr>
            </w:pPr>
          </w:p>
        </w:tc>
        <w:tc>
          <w:tcPr>
            <w:tcW w:w="154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Pr>
          <w:p>
            <w:pPr>
              <w:spacing w:after="0"/>
              <w:rPr>
                <w:sz w:val="14"/>
                <w:szCs w:val="14"/>
                <w:color w:val="auto"/>
              </w:rPr>
            </w:pPr>
          </w:p>
        </w:tc>
        <w:tc>
          <w:tcPr>
            <w:tcW w:w="164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2017</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August 31, 2017</w:t>
            </w:r>
          </w:p>
        </w:tc>
        <w:tc>
          <w:tcPr>
            <w:tcW w:w="8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Cash (used for) provided by</w:t>
            </w:r>
          </w:p>
        </w:tc>
        <w:tc>
          <w:tcPr>
            <w:tcW w:w="7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right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(3,112)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0"/>
        <w:spacing w:after="0" w:line="270" w:lineRule="auto"/>
        <w:rPr>
          <w:sz w:val="20"/>
          <w:szCs w:val="20"/>
          <w:color w:val="auto"/>
        </w:rPr>
      </w:pPr>
      <w:r>
        <w:rPr>
          <w:rFonts w:ascii="Arial" w:cs="Arial" w:eastAsia="Arial" w:hAnsi="Arial"/>
          <w:sz w:val="17"/>
          <w:szCs w:val="17"/>
          <w:color w:val="auto"/>
        </w:rPr>
        <w:t>Cash used for financing activities was $3,112 million for the year ended December 31, 2018, primarily driven by the retirement of $4,409 million aggregate principal amount of Tender Notes as part of the Tender Offers, an increase in distributions to DowDuPont of $1,977 million and repayments of $1,250 million of bonds at maturity, partially offset by contributions from DowDuPont of $4,849 million. Cash used for financing activities was $3,227 million for the period September 1 through December 31, 2017, primarily driven by a decrease in borrowings from commercial paper, distributions to DowDuPont and dividends paid to stockholders, partially offset by increased borrowings under the Term Loan. Cash provided by financing activities was $5,632 million for the period January 1 through August 31, 2017, primarily driven by the May 2017 Debt Offering as well as increased borrowings from commercial paper, the Repurchase Facility, and the Term Loan Facility, partially offset by dividends paid to stockholders. Cash used for financing activities of $2,385 million during the year ended December 31, 2016 was primarily driven by dividend payments to stockholders, repurchases of common stock, and repayments of long-term debt.</w:t>
      </w:r>
    </w:p>
    <w:p>
      <w:pPr>
        <w:spacing w:after="0" w:line="182"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Dividend payments to shareholders of Historical DuPont common and preferred stock totaled $0.3 billion during the period September 1 through December 31, 2017, $0.7 billion during the period January 1 through August 31, 2017, and $1.3 billion in 2016. Dividends per share of common stock were $1.14 for the period January 1 through August 31, 2017 and $1.52 in 2016.</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In the first quarter 2015, Historical DuPont announced its intention to buy back about $4.0 billion of shares of Historical DuPont common stock using the distribution proceeds received from Chemours. During 2016, Historical DuPont purchased and retired 13.2 million shares in the open market at a cost of $916 million.</w:t>
      </w:r>
    </w:p>
    <w:p>
      <w:pPr>
        <w:spacing w:after="0" w:line="18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As of the consummation of the Merger, shares of Historical DuPont common stock held publicly were redeemed and Historical DuPont’s common stock is owned solely by its parent company, DowDuPont. Historical DuPont’s preferred stock remains issued and outstanding, and Historical DuPont continues to be responsible for dividends on its preferred stock; however, the obligation is not material to Historical DuPont’s liquidity. Dividend payments to shareholders of EID Preferred Stock totaled $10 million for the year ended December 31, 2018, $3 million during the period September 1 through December 31, 2017, $7 million during the period January 1 through August 31, 2017, and $10 million in 2016.</w:t>
      </w:r>
    </w:p>
    <w:p>
      <w:pPr>
        <w:spacing w:after="0" w:line="173"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DowDuPont primarily relies on distributions and other intercompany transfers from Historical DuPont and Historical Dow to fund payment of its operating costs and expenses. In November 2017, DowDuPont’s board of directors declared a fourth quarter dividend per share of DowDuPont common stock payable on December 15, 2017 and authorized an initial $4 billion share repurchase program to buy back shares of DowDuPont common stock. The $4 billion share repurchase program was completed in the third quarter of 2018. In 2018, DowDuPont’s board of directors declared and paid quarterly dividends per share of DowDuPont common stock. For the year ended December 31, 2018 and the period September 1 through December 31, 2017, Historical DuPont declared and paid distributions in cash to DowDuPont of about $2,806 million and $829 million, respectively, primarily to fund a portion of DowDuPont’s share repurchases and dividend payments for these periods.</w:t>
      </w:r>
    </w:p>
    <w:p>
      <w:pPr>
        <w:spacing w:after="0" w:line="178"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color w:val="auto"/>
        </w:rPr>
        <w:t>See note 17 to the annual consolidated financial statements, which are incorporated by reference herein and filed as Exhibit 99.2 to the Form 10 of which this information statement forms a part, for additional information relating to the above Historical DuPont share buyback plan.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200" w:right="620"/>
        <w:spacing w:after="0" w:line="302" w:lineRule="auto"/>
        <w:rPr>
          <w:sz w:val="20"/>
          <w:szCs w:val="20"/>
          <w:color w:val="auto"/>
        </w:rPr>
      </w:pPr>
      <w:r>
        <w:rPr>
          <w:rFonts w:ascii="Arial" w:cs="Arial" w:eastAsia="Arial" w:hAnsi="Arial"/>
          <w:sz w:val="16"/>
          <w:szCs w:val="16"/>
          <w:color w:val="auto"/>
        </w:rPr>
        <w:t>Historical DuPont’s significant accounting policies are more fully described in note 1 to the annual consolidated financial statements, which are incorporated by reference herein and filed as Exhibit 99.2 to the Form 10 of which this information statement forms a part. Historical DuPont’s management believes that the application of these policies on a consistent basis enables Historical DuPont to provide the users of the financial statements with useful and reliable information about Historical DuPont’s operating results and financial condition.</w:t>
      </w:r>
    </w:p>
    <w:p>
      <w:pPr>
        <w:spacing w:after="0" w:line="154" w:lineRule="exact"/>
        <w:rPr>
          <w:sz w:val="20"/>
          <w:szCs w:val="20"/>
          <w:color w:val="auto"/>
        </w:rPr>
      </w:pPr>
    </w:p>
    <w:p>
      <w:pPr>
        <w:ind w:left="200" w:right="380"/>
        <w:spacing w:after="0" w:line="291" w:lineRule="auto"/>
        <w:rPr>
          <w:sz w:val="20"/>
          <w:szCs w:val="20"/>
          <w:color w:val="auto"/>
        </w:rPr>
      </w:pPr>
      <w:r>
        <w:rPr>
          <w:rFonts w:ascii="Arial" w:cs="Arial" w:eastAsia="Arial" w:hAnsi="Arial"/>
          <w:sz w:val="16"/>
          <w:szCs w:val="16"/>
          <w:color w:val="auto"/>
        </w:rPr>
        <w:t>The preparation of the annual consolidated financial statements in conformity with GAAP in the United States of America requires management to make estimates and assumptions that affect the reported amounts, including, but not limited to, receivable and inventory valuations, impairment of tangible and intangible assets, long-term employee benefit obligations, income taxes, restructuring liabilities, environmental matters and litigation. Historical DuPont’s management’s estimates are based on historical experience, facts and circumstances available at the time and various other assumptions that are believed to be reasonable. Historical DuPont reviews these matters and reflects changes in estimates as appropriate. Historical DuPont’s management believes that the following represent some of the more critical judgment areas in the application of Historical DuPont’s accounting policies which could have a material effect on Historical DuPont’s financial position, liquidity or results of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Pension Plans and Other Post Employment Benefits</w:t>
      </w:r>
    </w:p>
    <w:p>
      <w:pPr>
        <w:spacing w:after="0" w:line="117"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Accounting for employee benefit plans involves numerous assumptions and estimates. Discount rate and expected return on plan assets are two critical assumptions in measuring the cost and benefit obligation of Historical DuPont’s pension and OPEB plans. Historical DuPont’s management reviews these two key assumptions when plans are re-measured. These and other assumptions are updated periodically to reflect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60"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actual experience and expectations on a plan specific basis as appropriate. As permitted by GAAP, actual results that differ from the assumptions are accumulated on a plan by plan basis and to the extent that such differences exceed 10 percent of the greater of the plan’s benefit obligation or the applicable plan assets, the excess is amortized over the average remaining service period of active employees or the average remaining life expectancy of the inactive participants if all or almost all of a plan’s participants are inactive.</w:t>
      </w:r>
    </w:p>
    <w:p>
      <w:pPr>
        <w:spacing w:after="0" w:line="187" w:lineRule="exact"/>
        <w:rPr>
          <w:sz w:val="20"/>
          <w:szCs w:val="20"/>
          <w:color w:val="auto"/>
        </w:rPr>
      </w:pPr>
    </w:p>
    <w:p>
      <w:pPr>
        <w:ind w:left="200" w:right="160"/>
        <w:spacing w:after="0" w:line="291" w:lineRule="auto"/>
        <w:rPr>
          <w:sz w:val="20"/>
          <w:szCs w:val="20"/>
          <w:color w:val="auto"/>
        </w:rPr>
      </w:pPr>
      <w:r>
        <w:rPr>
          <w:rFonts w:ascii="Arial" w:cs="Arial" w:eastAsia="Arial" w:hAnsi="Arial"/>
          <w:sz w:val="16"/>
          <w:szCs w:val="16"/>
          <w:color w:val="auto"/>
        </w:rPr>
        <w:t>About 80 percent of Historical DuPont’s benefit obligation for pensions and essentially all of Historical DuPont’s OPEB obligations are attributable to the benefit plans in the U.S. In the U.S., the discount rate is developed by matching the expected cash flow of the benefit plans to a yield curve constructed from a portfolio of high quality fixed-income instruments provided by the plans’ actuaries as of the measurement date. Historical DuPont measures the service and interest cost components utilizing a full yield curve approach by applying the specific spot rates along the yield curve used in the determination of the benefit obligation to the relevant projected cash flows. For non-U.S. benefit plans, historically Historical DuPont utilized prevailing long-term high quality corporate bond indices to determine the discount rate, applicable to each country, at the measurement date. For the 2018 measurement date, Historical DuPont adopted the Aon AA corporate bond rates to determine the discount rate, applicable to each country.</w:t>
      </w:r>
    </w:p>
    <w:p>
      <w:pPr>
        <w:spacing w:after="0" w:line="167"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Within the U.S., Historical DuPont establishes strategic asset allocation percentage targets and appropriate benchmarks for significant asset classes with the aim of achieving a prudent balance between return and risk. Strategic asset allocations in other countries are selected in accordance with the laws and practices of those countries. Where appropriate, asset-liability studies are also taken into consideration. The long-term expected return on plan assets in the U.S. is based upon historical real returns (net of inflation) for the asset classes covered by the investment policy, expected performance, and projections of inflation and interest rates over the long-term period during which benefits are payable to plan participants. Consistent with prior years, the long-term expected return on plan assets in the U.S. reflects the asset allocation of the plan and the effect of Historical DuPont’s active management of the plan’s assets. In connection with pension contributions of $2,900 million to its principal U.S. pension plan for the period of January 1, 2017 through August 31, 2017, an investment policy study was completed for the principal U.S. pension plan. The study resulted in new target asset allocations for the U.S. pension plan with resulting changes to the expected return on plan assets. The long-term rate of return on assets decreased from 8.00 percent for the Predecessor period to 6.25 percent for the Successor periods in 2017.</w:t>
      </w:r>
    </w:p>
    <w:p>
      <w:pPr>
        <w:spacing w:after="0" w:line="169"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In determining annual expense for the principal U.S. pension plan, Historical DuPont uses a market-related value of assets rather than its fair value. Accordingly, there may be a lag in recognition of changes in market valuation. As a result, changes in the fair value of assets are not immediately reflected in Historical DuPont’s calculation of net periodic pension cost. Generally, the market-related value of assets is calculated by averaging market returns over 36 months, however, as a result of the Merger, for the Successor periods, the market-related value of assets was calculated by averaging market returns from September 1, 2017 through the respective year ends.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market-related value and fair value of plan assets for the principal U.S. pension plan:</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vMerge w:val="restart"/>
          </w:tcPr>
          <w:p>
            <w:pPr>
              <w:jc w:val="right"/>
              <w:ind w:right="65"/>
              <w:spacing w:after="0"/>
              <w:rPr>
                <w:sz w:val="20"/>
                <w:szCs w:val="20"/>
                <w:color w:val="auto"/>
              </w:rPr>
            </w:pPr>
            <w:r>
              <w:rPr>
                <w:rFonts w:ascii="Arial" w:cs="Arial" w:eastAsia="Arial" w:hAnsi="Arial"/>
                <w:sz w:val="14"/>
                <w:szCs w:val="14"/>
                <w:b w:val="1"/>
                <w:bCs w:val="1"/>
                <w:color w:val="auto"/>
                <w:w w:val="84"/>
              </w:rPr>
              <w:t>Successor</w:t>
            </w: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8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4"/>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(Dollars in billions)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6"/>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28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6"/>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Market-related value of assets</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Borders>
              <w:top w:val="single" w:sz="8" w:color="CCEEFF"/>
              <w:right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0" w:hanging="436"/>
        <w:spacing w:after="0" w:line="264" w:lineRule="auto"/>
        <w:tabs>
          <w:tab w:leader="none" w:pos="6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During the fourth quarter of 2017 and 2016, the plan’s trust fund paid approximately $140 million and $550 million, respectively, to a group of separated, vested plan participants who elected a limited-time opportunity to receive a lump sum payout. See further discussion under “Long-term Employee Benefits.”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plans other than the principal U.S. pension plan, pension expense is determined using the fair value of assets.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highlights the potential impact on Historical DuPont’s pre-tax earnings due to changes in certain key assumptions with respect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Historical DuPont’s pension and OPEB plans, based on assets and liabilities at December 31, 2018:</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Pre-tax Earnings Benefit (Charge)</w:t>
            </w:r>
          </w:p>
        </w:tc>
        <w:tc>
          <w:tcPr>
            <w:tcW w:w="2800" w:type="dxa"/>
            <w:vAlign w:val="bottom"/>
            <w:gridSpan w:val="4"/>
          </w:tcPr>
          <w:p>
            <w:pPr>
              <w:jc w:val="center"/>
              <w:ind w:left="668"/>
              <w:spacing w:after="0"/>
              <w:rPr>
                <w:sz w:val="20"/>
                <w:szCs w:val="20"/>
                <w:color w:val="auto"/>
              </w:rPr>
            </w:pPr>
            <w:r>
              <w:rPr>
                <w:rFonts w:ascii="Arial" w:cs="Arial" w:eastAsia="Arial" w:hAnsi="Arial"/>
                <w:sz w:val="14"/>
                <w:szCs w:val="14"/>
                <w:b w:val="1"/>
                <w:bCs w:val="1"/>
                <w:color w:val="auto"/>
                <w:w w:val="91"/>
              </w:rPr>
              <w:t>1/4 Percentage</w:t>
            </w:r>
          </w:p>
        </w:tc>
        <w:tc>
          <w:tcPr>
            <w:tcW w:w="154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88"/>
              </w:rPr>
              <w:t>1/4 Percentage</w:t>
            </w: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Point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Point</w:t>
            </w:r>
          </w:p>
        </w:tc>
      </w:tr>
      <w:tr>
        <w:trPr>
          <w:trHeight w:val="171"/>
        </w:trPr>
        <w:tc>
          <w:tcPr>
            <w:tcW w:w="40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Decrease</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Expected rate of return on plan assets</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bl>
    <w:p>
      <w:pPr>
        <w:spacing w:after="0" w:line="187"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Additional information with respect to pension and OPEB expenses, liabilities and assumptions is discussed under “Long-term Employee Benefits” and in note 18 to the annual consolidated financial statements, which are incorporated by reference herein and filed as Exhibit 99.2 to the Form 10 of which this information statement forms a part.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left="200" w:right="100"/>
        <w:spacing w:after="0" w:line="286" w:lineRule="auto"/>
        <w:rPr>
          <w:sz w:val="20"/>
          <w:szCs w:val="20"/>
          <w:color w:val="auto"/>
        </w:rPr>
      </w:pPr>
      <w:r>
        <w:rPr>
          <w:rFonts w:ascii="Arial" w:cs="Arial" w:eastAsia="Arial" w:hAnsi="Arial"/>
          <w:sz w:val="16"/>
          <w:szCs w:val="16"/>
          <w:color w:val="auto"/>
        </w:rPr>
        <w:t>Accruals for environmental matters are recorded when it is probable that a liability has been incurred and the amount of the liability can be reasonably estimated. At December 31, 2018, Historical DuPont had accrued obligations of $381 million for probable environmental remediation and restoration costs, including $54 million for the remediation of sites under the Comprehensive Environmental Response, Compensation and Liability Act (“Superfund”). As remediation activities vary substantially in duration and cost from site to site, it is difficult to develop precise estimates of future site remediation costs. Historical DuPont’s estimates are based on a number of factors, including the complexity of the geology, the nature and extent of contamination, the type of remedy, the outcome of discussions with regulatory agencies and other PRPs at multi-party sites and the number of and financial viability of other PRPs. Therefore, considerable uncertainty exists with respect to environmental remediation and costs, and, under adverse changes in circumstances, it is reasonably possible that the ultimate cost with respect to these particular matters could range up to $750 million above that amount. Consequently, it is reasonably possible that environmental remediation and restoration costs in excess of amounts accrued could have a material impact on Historical DuPont’s results of operations, financial condition and cash flows. It is the opinion of Historical DuPont’s management, however, that the possibility is remote that costs in excess of the range disclosed will have a material impact on Historical DuPont’s results of operations, financial condition or cash flows. For further discussion, see notes 1 and 16 to the annual consolidated financial statements, which are incorporated by reference herein and filed as Exhibit 99.2 to the Form 10 of which this information statement forms a part.</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Legal Contingencies</w:t>
      </w:r>
    </w:p>
    <w:p>
      <w:pPr>
        <w:spacing w:after="0" w:line="11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Historical DuPont’s results of operations could be affected by significant litigation adverse to Historical DuPont, including product liability claims, patent infringement and antitrust claims, and claims for third party property damage or personal injury stemming from alleged environmental torts. Historical DuPont records accruals for legal matters when the information available indicates that it is probable that a liability has been incurred and the amount of the loss can be reasonably estimated. Historical DuPont’s management makes adjustments to these accruals to reflect the impact and status of negotiations, settlements, rulings, advice of counsel and other information and events that may pertain to a particular matter. Predicting the outcome of claims and lawsuits and estimating related costs and exposure involves substantial uncertainties that could cause actual costs to vary materially from estimates. In making determinations of likely outcomes of litigation matters, Historical DuPont’s management considers many factors. These factors include, but are not limited to, the nature of specific claims including unasserted claims, Historical DuPont’s experience with similar types of claims, the jurisdiction in which the matter is filed, input from outside legal counsel, the likelihood of resolving the matter through alternative dispute resolution mechanisms, and the matter’s current status. Considerable judgment is required in determining whether to establish a litigation accrual when an adverse judgment is rendered against Historical DuPont in a court proceeding. In such situations, Historical DuPont will not recognize a loss if, based upon a</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60"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20"/>
        <w:spacing w:after="0" w:line="312" w:lineRule="auto"/>
        <w:rPr>
          <w:sz w:val="20"/>
          <w:szCs w:val="20"/>
          <w:color w:val="auto"/>
        </w:rPr>
      </w:pPr>
      <w:r>
        <w:rPr>
          <w:rFonts w:ascii="Arial" w:cs="Arial" w:eastAsia="Arial" w:hAnsi="Arial"/>
          <w:sz w:val="16"/>
          <w:szCs w:val="16"/>
          <w:color w:val="auto"/>
        </w:rPr>
        <w:t>thorough review of all relevant facts and information, Historical DuPont’s management believes that it is probable that the pending judgment will be successfully overturned on appeal. A detailed discussion of significant litigation matters is contained in note 16 to the annual consolidated financial statements, which are incorporated by reference herein and filed as Exhibit 99.2 to the Form 10 of which this information statement forms a part.</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Indemnification Assets</w:t>
      </w:r>
    </w:p>
    <w:p>
      <w:pPr>
        <w:spacing w:after="0" w:line="117"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On July 1, 2015, Historical DuPont completed the separation of its Performance Chemicals segment through the Chemours Separation. In connection with the Chemours Separation, Historical DuPont and Chemours entered into the Chemours Separation Agreement. Pursuant to the Chemours Separation Agreement, as discussed in note 4 to the annual consolidated financial statements, which are incorporated by reference herein and filed as Exhibit 99.2 to the Form 10 of which this information statement forms a part, Historical DuPont is indemnified by Chemours against certain litigation, environmental, workers’ compensation, and other liabilities that arose prior to the separation. The term of this indemnification is indefinite and includes defense costs and expenses, as well as monetary and non-monetary settlements and judgments. In connection with the recognition of liabilities related to these indemnified matters, Historical DuPont records an indemnification asset when recovery is deemed probable. In assessing the probability of recovery, Historical DuPont considers the contractual rights under the Chemours Separation Agreement and any potential credit risk. Future events, such as potential disputes related to recovery as well as the solvency of Chemours, could cause the indemnification assets to have a lower value than anticipated and recorded. Historical DuPont evaluates the recovery of the indemnification assets recorded when events or changes in circumstances indicate the carrying values may not be fully recoverable.</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breadth of Historical DuPont’s operations and the global complexity of tax regulations require assessments of uncertainties and judgments in estimating taxes Historical DuPont will ultimately pay. The final taxes paid are dependent upon many factors, including negotiations with taxing authorities in various jurisdictions, outcomes of tax litigation and resolution of disputes arising from federal, state and international tax audits in the normal course of business. The resolution of these uncertainties may result in adjustments to Historical DuPont’s tax assets and tax liabilities. It is reasonably possible that changes to Historical DuPont’s global unrecognized tax benefits could be significant; however, due to the uncertainty regarding the timing of completion of audits and possible outcomes, a current estimate of the range of increases or decreases that may occur within the next twelve months cannot be made.</w:t>
      </w:r>
    </w:p>
    <w:p>
      <w:pPr>
        <w:spacing w:after="0" w:line="189"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Deferred income taxes result from differences between the financial and tax basis of Historical DuPont’s assets and liabilities and are adjusted for changes in tax rates and tax laws when changes are enacted. Valuation allowances are recorded to reduce deferred tax assets when it is more likely than not that a tax benefit will not be realized. Significant judgment is required in evaluating the need for and magnitude of appropriate valuation allowances against deferred tax assets. The realization of these assets is dependent on generating future taxable income, as well as successful implementation of various tax planning strategies. For example, changes in facts and circumstances that alter the probability that Historical DuPont will realize deferred tax assets could result in recording a valuation allowance, thereby reducing the deferred tax asset and generating a deferred tax expense in the relevant period. In some situations, these changes could be material. See note 9 to the annual consolidated financial statements, which are incorporated by reference herein and filed as Exhibit 99.2 to the Form 10 of which this information statement forms a part, for additional information.</w:t>
      </w:r>
    </w:p>
    <w:p>
      <w:pPr>
        <w:spacing w:after="0" w:line="166"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At December 31, 2018, Historical DuPont had a net deferred tax liability balance of $5.1 billion, net of a valuation allowance of $1.1 billion. Realization of deferred tax assets is expected to occur over an extended period of time. As a result, changes in tax laws, assumptions with respect to future taxable income, and tax planning strategies could result in adjustments to deferred tax assets. See note 9 to the annual consolidated financial statements, which are incorporated by reference herein and filed as Exhibit 99.2 to the Form 10 of which this information statement forms a part, for additional details related to the deferred tax liability balance.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60"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Assets and Impairment Considerations</w:t>
      </w:r>
    </w:p>
    <w:p>
      <w:pPr>
        <w:spacing w:after="0" w:line="117"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The assets and liabilities of acquired businesses are measured at their estimated fair values at the dates of acquisition. The excess of the purchase price over the estimated fair value of the net assets acquired, including identified intangibles, is recorded as goodwill. The determination and allocation of fair value to the assets acquired and liabilities assumed is based on various assumptions and valuation methodologies requiring considerable management judgment, including estimates based on historical information, current market data and future expectations. The principal assumptions utilized in Historical DuPont’s valuation methodologies include revenue growth rates, operating margin estimates, royalty rates, and discount rates. Although the estimates are deemed reasonable by management based on information available at the dates of acquisition, those estimates are inherently uncertain.</w:t>
      </w:r>
    </w:p>
    <w:p>
      <w:pPr>
        <w:spacing w:after="0" w:line="165"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Assessment of the potential impairment of goodwill, other intangible assets, property, plant and equipment, investments in nonconsolidated affiliates, and other assets is an integral part of Historical DuPont’s normal ongoing review of operations. Testing for potential impairment of these assets is significantly dependent on numerous assumptions and reflects management’s best estimates at a particular point in time. The dynamic economic environments in which Historical DuPont’s diversified product lines operate, and key economic and product line assumptions with respect to projected selling prices, market growth and inflation rates, can significantly affect the outcome of impairment tests. Estimates based on these assumptions may differ significantly from actual results. Changes in factors and assumptions used in assessing potential impairments can have a significant impact on the existence and magnitude of impairments, as well as the time in which such impairments are recognized. In addition, Historical DuPont continually reviews its diverse portfolio of assets to ensure they are achieving their greatest potential and are aligned with Historical DuPont’s growth strategy. Strategic decisions involving a particular group of assets may trigger an assessment of the recoverability of the related assets. Such an assessment could result in impairment losses.</w:t>
      </w:r>
    </w:p>
    <w:p>
      <w:pPr>
        <w:spacing w:after="0" w:line="178"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Historical DuPont performs goodwill impairment testing at the reporting unit level which is defined as the operating segment or one level below the operating segment. One level below the operating segment, or component, is a business in which discrete financial information is available and regularly reviewed by segment management. Historical DuPont aggregates certain components into reporting units based on economic similarities. Subsequent to the Merger, Historical DuPont identified nine reporting units, of which eight have goodwill assigned. In connection with the Merger, Historical DuPont adopted the policy of the parent company and performs its annual goodwill impairment test in the fourth quarter.</w:t>
      </w:r>
    </w:p>
    <w:p>
      <w:pPr>
        <w:spacing w:after="0" w:line="173"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For purposes of the annual goodwill impairment test, Historical DuPont has the option to first perform qualitative testing to determine whether it is more likely than not that the fair value of a reporting unit is less than its carrying value. Qualitative factors assessed at Historical DuPont level include, but are not limited to, GDP growth rates, long-term commodity prices, equity and credit market activity, discount rates, foreign exchange rates, and overall financial performance. Qualitative factors assessed at the reporting unit level include, but are not limited to, changes in industry and market structure, competitive environments, planned capacity and new product launches, cost factors such as raw material prices, and financial performance of the reporting unit. If Historical DuPont chooses not to complete a qualitative assessment for a given reporting unit or if the initial assessment indicates that it is more likely than not that the carrying value of a reporting unit exceeds its estimated fair value, additional quantitative testing is required.</w:t>
      </w:r>
    </w:p>
    <w:p>
      <w:pPr>
        <w:spacing w:after="0" w:line="16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If additional quantitative testing is required, the reporting unit’s fair value is compared with its carrying amount, and an impairment charge, if any, is recognized for the amount by which the carrying amount exceeds the reporting unit’s fair value. Historical DuPont determined fair values for each of the reporting units using the income approach.</w:t>
      </w:r>
    </w:p>
    <w:p>
      <w:pPr>
        <w:spacing w:after="0" w:line="181"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Under the income approach, fair value is determined based on the present value of estimated future cash flows, discounted at an appropriate risk-adjusted rate. Historical DuPont uses its internal forecasts to estimate future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60"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cash flows and includes an estimate of long-term future growth rates based on its most recent views of the long-term outlook for each reporting unit. Actual results may differ from those assumed in Historical DuPont’s forecasts. Historical DuPont derives its discount rates using a capital asset pricing model and analyzing published rates for industries relevant to its reporting units to estimate the cost of equity financing. Historical DuPont uses discount rates that are commensurate with the risks and uncertainty inherent in the respective reporting units and in its internally developed forecasts. Discount rates used in Historical DuPont’s reporting unit valuations ranged from 7.25% to 13.75%.</w:t>
      </w:r>
    </w:p>
    <w:p>
      <w:pPr>
        <w:spacing w:after="0" w:line="173"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Estimating the fair value of reporting units requires the use of estimates and significant judgments that are based on a number of factors including actual operating results. It is reasonably possible that the judgments and estimates described above could change in future periods. Historical DuPont’s assets and liabilities were measured at fair value as of the date of the Merger, and as a result, any declines in projected cash flows or increases in discount rates could have a material, negative impact on the fair value of Historical DuPont’s reporting units and assets and therefore result in an impairment.</w:t>
      </w:r>
    </w:p>
    <w:p>
      <w:pPr>
        <w:spacing w:after="0" w:line="154" w:lineRule="exact"/>
        <w:rPr>
          <w:sz w:val="20"/>
          <w:szCs w:val="20"/>
          <w:color w:val="auto"/>
        </w:rPr>
      </w:pPr>
    </w:p>
    <w:p>
      <w:pPr>
        <w:ind w:left="200" w:right="140"/>
        <w:spacing w:after="0" w:line="288" w:lineRule="auto"/>
        <w:rPr>
          <w:sz w:val="20"/>
          <w:szCs w:val="20"/>
          <w:color w:val="auto"/>
        </w:rPr>
      </w:pPr>
      <w:r>
        <w:rPr>
          <w:rFonts w:ascii="Arial" w:cs="Arial" w:eastAsia="Arial" w:hAnsi="Arial"/>
          <w:sz w:val="16"/>
          <w:szCs w:val="16"/>
          <w:color w:val="auto"/>
        </w:rPr>
        <w:t>Historical DuPont commenced strategic business reviews during the third quarter 2018 and assembled updated financial projections. The revised financial projections of the agriculture reporting unit assessed and quantified the impacts of developing market conditions, events and circumstances previously discussed by DowDuPont that have evolved throughout 2018, resulting in a reduction in the forecasts of sales and profitability as compared to prior forecasts. The reduction in financial projections was principally driven by lower growth in sales and margins in North America and Latin America and unfavorable currency impacts related to the Brazilian real. The lower growth is driven by reduced planted area, an expected unfavorable shift to soybeans from corn in Latin America, and delays in expected product registrations. In addition, decreases in commodity prices and higher than anticipated industry grain inventories are expected to impact farmers’ income and buying choices resulting in shifts to lower technologies and pricing pressure. Historical DuPont considered the combination of these factors and the resulting reduction in its forecasted projections for the agriculture reporting unit and determined it was more likely than not that the fair value of the agriculture reporting unit was less than the carrying value, thus requiring the performance of an updated goodwill and intangible asset impairment analysis for the agriculture reporting unit as of September 30, 2018.</w:t>
      </w:r>
    </w:p>
    <w:p>
      <w:pPr>
        <w:spacing w:after="0" w:line="169"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Historical DuPont performed an interim impairment analysis for the agriculture reporting unit using a discounted cash flow model (a form of the income approach), utilizing Level 3 unobservable inputs. Historical DuPont’s significant estimates in this analysis include, but are not limited to, future cash flow projections, Merger-related cost and growth synergies, the weighted average cost of capital, the terminal growth rate, and the tax rate. Historical DuPont believes the current assumptions and estimates utilized are both reasonable and appropriate. The key assumption driving the change in fair value was the lower financial projections discussed above. Future cash flow estimates are, by their nature, subjective and actual results may differ materially from Historical DuPont’s estimates. If Historical DuPont’s ongoing estimates of future cash flows are not met, Historical DuPont may have to record additional impairment charges in future periods. Historical DuPont’s estimates of future cash flows are based on current regulatory and economic climates, recent operating results, and planned business strategy. These estimates could be negatively affected by changes in federal, state, or local regulations or economic downturns. Based on the analysis performed, Historical DuPont determined that the carrying amount of the agriculture reporting unit exceeded its fair value resulting in a $4.5 billion pre-tax (and after-tax) goodwill impairment charge. Historical DuPont also performed an impairment test on indefinite-lived intangibles and determined that the fair value of certain IPR&amp;D assets had declined as a result of delays in timing of commercialization and increases to expected R&amp;D costs. This resulted in a pre-tax impairment charge of $85 million ($66 million after-tax). The assumptions and estimates used in determining the fair values of this reporting unit and its indefinite-lived intangibles contain uncertainties, and any changes to these assumptions and estimates could have a negative impact and result in a future impairment. For further information see notes 6, 14 and 21 to the annual consolidated financial statements, which are incorporated by reference herein and filed as Exhibit 99.2 to the Form 10 of which this information statement forms a part.</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60"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In the fourth quarter of 2018, quantitative testing was performed on all of Historical DuPont’s reporting units. Based on the results of the step one testing, the estimated fair value of each of the reporting units exceeded their carrying values. Due to the fair value and carrying value of these reporting units being equal at the date of the Merger resulting in little, if any, margin of fair value in excess of carrying value, Historical DuPont believes these reporting units are at risk to have impairment charges in future periods. The dynamic economic environments in which Historical DuPont’s diversified product lines operate, and key economic and product line assumptions with respect to projected selling prices, market growth and inflation rates, can significantly affect the outcome of impairment tests. Estimates based on these assumptions may differ significantly from actual results. Changes in factors, circumstances and assumptions used in assessing potential impairments can have a significant impact on the existence and magnitude of impairments, as well as the time in which such impairments are recognized.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Historical DuPont’s goodwill and indefinite-lived intangibles by reporting unit at December 31, 2018 is shown below (in millions):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Unit</w:t>
            </w:r>
          </w:p>
        </w:tc>
        <w:tc>
          <w:tcPr>
            <w:tcW w:w="150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Goodwill</w:t>
            </w:r>
          </w:p>
        </w:tc>
        <w:tc>
          <w:tcPr>
            <w:tcW w:w="8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Indefinite-Lived</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920" w:type="dxa"/>
            <w:vAlign w:val="bottom"/>
            <w:gridSpan w:val="4"/>
          </w:tcPr>
          <w:p>
            <w:pPr>
              <w:ind w:left="820"/>
              <w:spacing w:after="0"/>
              <w:rPr>
                <w:sz w:val="20"/>
                <w:szCs w:val="20"/>
                <w:color w:val="auto"/>
              </w:rPr>
            </w:pPr>
            <w:r>
              <w:rPr>
                <w:rFonts w:ascii="Arial" w:cs="Arial" w:eastAsia="Arial" w:hAnsi="Arial"/>
                <w:sz w:val="14"/>
                <w:szCs w:val="14"/>
                <w:b w:val="1"/>
                <w:bCs w:val="1"/>
                <w:color w:val="auto"/>
                <w:w w:val="93"/>
              </w:rPr>
              <w:t>Intangible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Agriculture</w:t>
            </w:r>
          </w:p>
        </w:tc>
        <w:tc>
          <w:tcPr>
            <w:tcW w:w="1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Electronics and Imaging</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4,056</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Safety and Construction</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Nutrition and Health</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8,742</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and Advanced Polymers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Packaging and Specialty Plastics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3,587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Industrial Biosciences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Clean Tech</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ind w:left="15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40,686</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Prepaid Royalties</w:t>
      </w:r>
    </w:p>
    <w:p>
      <w:pPr>
        <w:spacing w:after="0" w:line="117"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Historical DuPont’s agriculture product line currently has certain third party biotechnology trait license agreements, which require up-front and variable payments subject to the licensor meeting certain conditions. These payments are reflected as other current assets and other assets and are amortized to cost of goods sold as seeds containing the respective trait technology are utilized over the life of the license. At December 31, 2018, the balance of prepaid royalties reflected in other current assets and other assets was $239 million and $1,139 million, respectively. Historical DuPont evaluates the carrying value of the prepaid royalties when events or changes in circumstances indicate the carrying value may not be recoverable. The recoverability of the prepaid royalties and the rate of royalty amortization expense recognized are based on Historical DuPont’s strategic plans which include various assumptions and estimates including product portfolio, market dynamics, farmer preferences, growth rates and projected planted acres. Changes in factors and assumptions included in the strategic plans, including potential changes to the product portfolio in favor of internally developed biotechnology, could impact the recoverability and/or rate of recognition of the relevant prepaid royalty.</w:t>
      </w:r>
    </w:p>
    <w:p>
      <w:pPr>
        <w:spacing w:after="0" w:line="271" w:lineRule="exact"/>
        <w:rPr>
          <w:sz w:val="20"/>
          <w:szCs w:val="20"/>
          <w:color w:val="auto"/>
        </w:rPr>
      </w:pPr>
    </w:p>
    <w:p>
      <w:pPr>
        <w:jc w:val="right"/>
        <w:ind w:right="8440"/>
        <w:spacing w:after="0"/>
        <w:rPr>
          <w:sz w:val="20"/>
          <w:szCs w:val="20"/>
          <w:color w:val="auto"/>
        </w:rPr>
      </w:pPr>
      <w:r>
        <w:rPr>
          <w:rFonts w:ascii="Arial" w:cs="Arial" w:eastAsia="Arial" w:hAnsi="Arial"/>
          <w:sz w:val="17"/>
          <w:szCs w:val="17"/>
          <w:b w:val="1"/>
          <w:bCs w:val="1"/>
          <w:color w:val="auto"/>
        </w:rPr>
        <w:t>Off-Balance Sheet Arrangements</w:t>
      </w:r>
    </w:p>
    <w:p>
      <w:pPr>
        <w:spacing w:after="0" w:line="133" w:lineRule="exact"/>
        <w:rPr>
          <w:sz w:val="20"/>
          <w:szCs w:val="20"/>
          <w:color w:val="auto"/>
        </w:rPr>
      </w:pPr>
    </w:p>
    <w:p>
      <w:pPr>
        <w:jc w:val="right"/>
        <w:ind w:right="8440"/>
        <w:spacing w:after="0"/>
        <w:rPr>
          <w:sz w:val="20"/>
          <w:szCs w:val="20"/>
          <w:color w:val="auto"/>
        </w:rPr>
      </w:pPr>
      <w:r>
        <w:rPr>
          <w:rFonts w:ascii="Arial" w:cs="Arial" w:eastAsia="Arial" w:hAnsi="Arial"/>
          <w:sz w:val="18"/>
          <w:szCs w:val="18"/>
          <w:i w:val="1"/>
          <w:iCs w:val="1"/>
          <w:color w:val="auto"/>
        </w:rPr>
        <w:t>Certain Guarantee Contracts</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Information with respect to Historical DuPont’s guarantees is included in note 16 to the annual consolidated financial statements, which are incorporated by reference herein and filed as Exhibit 99.2 to the Form 10 of which this information statement forms a part. Historically, Historical DuPont has not had to make significant payments to satisfy guarantee obligations; however, Historical DuPont believes it has the financial resources to satisfy these guarantees.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related to Historical DuPont’s significant contractual obligations is summarized in the following table: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2"/>
              </w:rPr>
              <w:t>Total at</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Payments Due In</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2024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40" w:type="dxa"/>
            <w:vAlign w:val="bottom"/>
            <w:gridSpan w:val="3"/>
          </w:tcPr>
          <w:p>
            <w:pPr>
              <w:jc w:val="center"/>
              <w:ind w:left="17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2019</w:t>
            </w: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2020 - 2021</w:t>
            </w: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2022 - 2023</w:t>
            </w:r>
          </w:p>
        </w:tc>
        <w:tc>
          <w:tcPr>
            <w:tcW w:w="1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96"/>
              </w:rPr>
              <w:t>2018</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beyond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and capital lease obligations</w:t>
            </w:r>
            <w:r>
              <w:rPr>
                <w:rFonts w:ascii="Arial" w:cs="Arial" w:eastAsia="Arial" w:hAnsi="Arial"/>
                <w:sz w:val="15"/>
                <w:szCs w:val="15"/>
                <w:color w:val="auto"/>
              </w:rPr>
              <w:t>(1),(2)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line="201" w:lineRule="exact"/>
              <w:rPr>
                <w:sz w:val="20"/>
                <w:szCs w:val="20"/>
                <w:color w:val="auto"/>
              </w:rPr>
            </w:pPr>
            <w:r>
              <w:rPr>
                <w:rFonts w:ascii="Arial" w:cs="Arial" w:eastAsia="Arial" w:hAnsi="Arial"/>
                <w:sz w:val="18"/>
                <w:szCs w:val="18"/>
                <w:color w:val="auto"/>
                <w:w w:val="94"/>
              </w:rPr>
              <w:t>Expected cumulative cash requirements for interest payments through</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maturity</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189</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Information technology infrastructure &amp; services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Raw material obligations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Utility obligations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obligations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liabilities</w:t>
            </w:r>
            <w:r>
              <w:rPr>
                <w:rFonts w:ascii="Arial" w:cs="Arial" w:eastAsia="Arial" w:hAnsi="Arial"/>
                <w:sz w:val="15"/>
                <w:szCs w:val="15"/>
                <w:color w:val="auto"/>
              </w:rPr>
              <w:t>(1),(4)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other post employment benefits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Workers’ compensation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Environmental remediation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License agreements</w:t>
            </w:r>
            <w:r>
              <w:rPr>
                <w:rFonts w:ascii="Arial" w:cs="Arial" w:eastAsia="Arial" w:hAnsi="Arial"/>
                <w:sz w:val="15"/>
                <w:szCs w:val="15"/>
                <w:color w:val="auto"/>
              </w:rPr>
              <w:t>(5)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8,670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r>
              <w:rPr>
                <w:rFonts w:ascii="Arial" w:cs="Arial" w:eastAsia="Arial" w:hAnsi="Arial"/>
                <w:sz w:val="15"/>
                <w:szCs w:val="15"/>
                <w:color w:val="auto"/>
              </w:rPr>
              <w:t>(7)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2,325</w:t>
            </w:r>
          </w:p>
        </w:tc>
        <w:tc>
          <w:tcPr>
            <w:tcW w:w="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258" w:lineRule="auto"/>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Included in the annual consolidated financial statements, which are incorporated by reference herein and filed as Exhibit 99.2 to the Form 10 of which this information statement forms a part.</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Excludes unamortized debt step-up premium of $78 million and unamortized debt fees of $2 million.</w:t>
      </w:r>
    </w:p>
    <w:p>
      <w:pPr>
        <w:spacing w:after="0" w:line="9" w:lineRule="exact"/>
        <w:rPr>
          <w:rFonts w:ascii="Arial" w:cs="Arial" w:eastAsia="Arial" w:hAnsi="Arial"/>
          <w:sz w:val="18"/>
          <w:szCs w:val="18"/>
          <w:color w:val="auto"/>
        </w:rPr>
      </w:pPr>
    </w:p>
    <w:p>
      <w:pPr>
        <w:ind w:left="640" w:right="540" w:hanging="436"/>
        <w:spacing w:after="0" w:line="250" w:lineRule="auto"/>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Represents enforceable and legally binding agreements in excess of $1 million to purchase goods or services that specify fixed or minimum quantities; fixed, minimum or variable price provisions; and the approximate timing of the agreement.</w:t>
      </w:r>
    </w:p>
    <w:p>
      <w:pPr>
        <w:ind w:left="640" w:right="320" w:hanging="436"/>
        <w:spacing w:after="0" w:line="250" w:lineRule="auto"/>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Historical DuPont’s contractual obligations do not reflect an offset for recoveries associated with indemnifications by Chemours in accordance with the Chemours Separation Agreement. Refer to notes 4 and 16 to the annual consolidated financial statements, which are incorporated by reference herein and filed as Exhibit 99.2 to the Form 10 of which this information statement forms a part, for additional detail related to the indemnifications.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Represents undiscounted remaining payments under Historical DuPont Pioneer license agreements ($806 million on a discounted basis).</w:t>
      </w:r>
    </w:p>
    <w:p>
      <w:pPr>
        <w:spacing w:after="0" w:line="20" w:lineRule="exact"/>
        <w:rPr>
          <w:rFonts w:ascii="Arial" w:cs="Arial" w:eastAsia="Arial" w:hAnsi="Arial"/>
          <w:sz w:val="17"/>
          <w:szCs w:val="17"/>
          <w:color w:val="auto"/>
        </w:rPr>
      </w:pPr>
    </w:p>
    <w:p>
      <w:pPr>
        <w:ind w:left="640" w:hanging="436"/>
        <w:spacing w:after="0"/>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Primarily represents employee-related benefits other than pensions and other post employment benefits.</w:t>
      </w:r>
    </w:p>
    <w:p>
      <w:pPr>
        <w:spacing w:after="0" w:line="9" w:lineRule="exact"/>
        <w:rPr>
          <w:rFonts w:ascii="Arial" w:cs="Arial" w:eastAsia="Arial" w:hAnsi="Arial"/>
          <w:sz w:val="18"/>
          <w:szCs w:val="18"/>
          <w:color w:val="auto"/>
        </w:rPr>
      </w:pPr>
    </w:p>
    <w:p>
      <w:pPr>
        <w:ind w:left="640" w:right="160" w:hanging="436"/>
        <w:spacing w:after="0" w:line="254" w:lineRule="auto"/>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Due to uncertainty regarding the completion of tax audits and possible outcomes, the timing of certain payments of obligations related to unrecognized tax benefits cannot be made and have been excluded from the table above. See note 9 to the annual consolidated financial statements, which are incorporated by reference herein and filed as Exhibit 99.2 to the Form 10 of which this information statement forms a part, for additional detail.</w:t>
      </w:r>
    </w:p>
    <w:p>
      <w:pPr>
        <w:spacing w:after="0" w:line="19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Historical DuPont expects to meet its contractual obligations through its normal sources of liquidity and believes it has the financial resources to satisfy the contractual obligations that arise in the ordinary course of business.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240" w:top="459" w:right="4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Employee Benefits</w:t>
      </w:r>
    </w:p>
    <w:p>
      <w:pPr>
        <w:spacing w:after="0" w:line="12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Historical DuPont has various obligations to its employees and retirees. Historical DuPont maintains retirement-related programs in many countries that have a long-term impact on Historical DuPont’s earnings and cash flows. These plans are typically defined benefit pension plans, as well as medical, dental and life insurance benefits for pensioners and survivors and disability benefits for employees (OPEB plans). Approximately 80 percent of Historical DuPont’s worldwide benefit obligation for pensions and essentially all of Historical DuPont’s worldwide OPEB obligations are attributable to the U.S. benefit plans.</w:t>
      </w:r>
    </w:p>
    <w:p>
      <w:pPr>
        <w:spacing w:after="0" w:line="188" w:lineRule="exact"/>
        <w:rPr>
          <w:sz w:val="20"/>
          <w:szCs w:val="20"/>
          <w:color w:val="auto"/>
        </w:rPr>
      </w:pPr>
    </w:p>
    <w:p>
      <w:pPr>
        <w:ind w:left="200" w:right="320"/>
        <w:spacing w:after="0" w:line="302" w:lineRule="auto"/>
        <w:rPr>
          <w:sz w:val="20"/>
          <w:szCs w:val="20"/>
          <w:color w:val="auto"/>
        </w:rPr>
      </w:pPr>
      <w:r>
        <w:rPr>
          <w:rFonts w:ascii="Arial" w:cs="Arial" w:eastAsia="Arial" w:hAnsi="Arial"/>
          <w:sz w:val="16"/>
          <w:szCs w:val="16"/>
          <w:color w:val="auto"/>
        </w:rPr>
        <w:t>Pension coverage for employees of Historical DuPont’s non-U.S. consolidated subsidiaries is provided, to the extent deemed appropriate, through separate plans. Historical DuPont regularly explores alternative solutions to meet its global pension obligations in the most cost effective manner possible as demographics, life expectancy and country-specific pension funding rules change. Where permitted by applicable law, Historical DuPont reserves the right to change, modify or discontinue its plans that provide pension, medical, dental, life insurance and disability benefits.</w:t>
      </w:r>
    </w:p>
    <w:p>
      <w:pPr>
        <w:spacing w:after="0" w:line="154"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Benefits under defined benefit pension plans are based primarily on years of service and employees’ pay near retirement. In November 2016, Historical DuPont announced changes to the U.S. pension and OPEB plans. Historical DuPont froze the pay and service amounts used to calculate pension benefits for active employees who participate in the U.S. pension plans on November 30, 2018. Therefore, as of November 30, 2018, employees participating in the U.S. pension plans no longer accrue additional benefits for future service and eligible compensation received. In addition to the changes to the U.S. pension plans, OPEB eligible employees who will be under the age of 50 as of November 30, 2018 will not receive post-retirement medical, dental and life insurance benefits. As a result of these changes, Historical DuPont recognized a pre-tax curtailment gain of $382 million during the fourth quarter of 2016. The majority of employees hired in the U.S. on or after January 1, 2007 are not eligible to participate in the pension and post-retirement medical, dental and life insurance plans, but receive benefits in the defined contribution plans.</w:t>
      </w:r>
    </w:p>
    <w:p>
      <w:pPr>
        <w:spacing w:after="0" w:line="166"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In the fourth quarter 2016, about $550 million of lump-sum payments were made from the principal U.S. pension plan trust fund to a group of separated, vested plan participants who were extended a limited-time opportunity and voluntarily elected to receive their pension benefits in a single lump-sum payment. In the fourth quarter of 2017, about $140 million of lump-sum payments were made from the principal U.S. pension plan trust fund under a similar program.</w:t>
      </w:r>
    </w:p>
    <w:p>
      <w:pPr>
        <w:spacing w:after="0" w:line="187"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Pension benefits are paid primarily from trust funds established to comply with applicable laws and regulations of the sovereign country in which the pension plan operates. Unless required by law, Historical DuPont does not make contributions that are in excess of tax deductible limits. The actuarial assumptions and procedures utilized are reviewed periodically by the plans’ actuaries to provide reasonable assurance that there will be adequate funds for the payment of benefits. Thus, there is not necessarily a direct correlation between pension funding and pension expense. In general, however, improvements in plans’ funded status tends to moderate subsequent funding needs.</w:t>
      </w:r>
    </w:p>
    <w:p>
      <w:pPr>
        <w:spacing w:after="0" w:line="17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Historical DuPont contributed $2,900 million and $1,100 million to the principal U.S. pension plan for the period January 1, 2017 through August 31, 2017, and the year ended December 31, 2018, respectively.</w:t>
      </w:r>
    </w:p>
    <w:p>
      <w:pPr>
        <w:spacing w:after="0" w:line="170"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Historical DuPont contributed $103 million, $34 million, $67 million and $121 million to its funded pension plans other than the principal U.S. pension plan for the year ended December 31, 2018, for the period September 1 through December 31, 2017, for the period January 1 through August 31, 2017, and for the year ended December 31, 2016, respectively.</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U.S. pension benefits that exceed federal limitations are covered by separate unfunded plans and these benefits are paid to pensioners and survivors from operating cash flows. Historical DuPont’s remaining pension plans with no plan assets are paid from operating cash flows. Historical DuPont made benefit payments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60"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spacing w:after="0" w:line="342" w:lineRule="auto"/>
        <w:rPr>
          <w:sz w:val="20"/>
          <w:szCs w:val="20"/>
          <w:color w:val="auto"/>
        </w:rPr>
      </w:pPr>
      <w:r>
        <w:rPr>
          <w:rFonts w:ascii="Arial" w:cs="Arial" w:eastAsia="Arial" w:hAnsi="Arial"/>
          <w:sz w:val="16"/>
          <w:szCs w:val="16"/>
          <w:color w:val="auto"/>
        </w:rPr>
        <w:t>$105 million, $34 million, $57 million and $184 million to its unfunded plans for the year ended December 31, 2018, for the period September 1 through December 31, 2017, for the period January 1 through August 31, 2017, and for the year ended December 31, 2016, respectively.</w:t>
      </w:r>
    </w:p>
    <w:p>
      <w:pPr>
        <w:spacing w:after="0" w:line="124"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Historical DuPont’s OPEB plans are unfunded and the cost of the approved claims is paid from operating cash flows. Pre-tax cash requirements to cover actual net claims costs and related administrative expenses were $216 million, $59 million, $166 million, and $218 million for the year ended December 31, 2018, for the period September 1 through December 31, 2017, for the period January 1 through August 31, 2017, and for the year ended December 31, 2016, respectively. Changes in cash requirements reflect the net impact of higher per capita health care costs, demographic changes, plan amendments and changes in participant premiums, co-pays and deductibles.</w:t>
      </w:r>
    </w:p>
    <w:p>
      <w:pPr>
        <w:spacing w:after="0" w:line="188"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In 2019, Historical DuPont expects to contribute approximately $190 million to its funded pension plans other than the principal U.S. pension plan and its remaining plans with no plan assets, and about $240 million for its OPEB plans. Historical DuPont does not expect to make contributions to the principal U.S. pension plan in 2019. The amount and timing of actual future contributions will depend on applicable funding requirements, discount rates, investment performance, plan design, and various other factors, including the Internal Reorganization, separations and distributions.</w:t>
      </w:r>
    </w:p>
    <w:p>
      <w:pPr>
        <w:spacing w:after="0" w:line="154"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Historical DuPont’s income can be significantly affected by pension and defined contribution charges/(benefits) as well as OPEB costs. The following table summarizes the extent to which Historical DuPont’s income for the year ended December 31, 2018, for the period September 1 through December 31, 2017, for the period January 1 through August 31, 2017, and for the year ended December 31, 2016 was affected by pre-tax charges related to long-term employee benefits: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w w:val="90"/>
              </w:rPr>
              <w:t>Successor</w:t>
            </w: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0"/>
              </w:rPr>
              <w:t>Predecessor</w:t>
            </w: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1580" w:type="dxa"/>
            <w:vAlign w:val="bottom"/>
            <w:gridSpan w:val="3"/>
          </w:tcPr>
          <w:p>
            <w:pPr>
              <w:jc w:val="center"/>
              <w:ind w:left="584"/>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26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900" w:type="dxa"/>
            <w:vAlign w:val="bottom"/>
          </w:tcPr>
          <w:p>
            <w:pPr>
              <w:spacing w:after="0"/>
              <w:rPr>
                <w:sz w:val="10"/>
                <w:szCs w:val="10"/>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Borders>
              <w:right w:val="single" w:sz="8" w:color="auto"/>
            </w:tcBorders>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September 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4"/>
              </w:rPr>
              <w:t>January 1</w:t>
            </w:r>
          </w:p>
        </w:tc>
        <w:tc>
          <w:tcPr>
            <w:tcW w:w="9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Ended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through</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4"/>
              </w:rPr>
              <w:t>through</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20" w:type="dxa"/>
            <w:vAlign w:val="bottom"/>
            <w:gridSpan w:val="3"/>
          </w:tcPr>
          <w:p>
            <w:pPr>
              <w:jc w:val="center"/>
              <w:ind w:left="35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80" w:type="dxa"/>
            <w:vAlign w:val="bottom"/>
          </w:tcPr>
          <w:p>
            <w:pPr>
              <w:spacing w:after="0"/>
              <w:rPr>
                <w:sz w:val="12"/>
                <w:szCs w:val="12"/>
                <w:color w:val="auto"/>
              </w:rPr>
            </w:pPr>
          </w:p>
        </w:tc>
        <w:tc>
          <w:tcPr>
            <w:tcW w:w="1160" w:type="dxa"/>
            <w:vAlign w:val="bottom"/>
            <w:tcBorders>
              <w:right w:val="single" w:sz="8" w:color="auto"/>
            </w:tcBorders>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August 31,</w:t>
            </w:r>
          </w:p>
        </w:tc>
        <w:tc>
          <w:tcPr>
            <w:tcW w:w="1780" w:type="dxa"/>
            <w:vAlign w:val="bottom"/>
            <w:gridSpan w:val="4"/>
          </w:tcPr>
          <w:p>
            <w:pPr>
              <w:jc w:val="center"/>
              <w:ind w:left="74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2018</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employee benefit plan charges</w:t>
            </w:r>
          </w:p>
        </w:tc>
        <w:tc>
          <w:tcPr>
            <w:tcW w:w="4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w:t>
            </w:r>
            <w:r>
              <w:rPr>
                <w:rFonts w:ascii="Arial" w:cs="Arial" w:eastAsia="Arial" w:hAnsi="Arial"/>
                <w:sz w:val="15"/>
                <w:szCs w:val="15"/>
                <w:color w:val="auto"/>
              </w:rPr>
              <w:t>(1)</w:t>
            </w: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342" w:lineRule="auto"/>
        <w:tabs>
          <w:tab w:leader="none" w:pos="6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long-term employee benefit plan charges (benefit) include discontinued operations of $2 million, $8 million and $6 million for the periods September 1 through December 31, 2017 and January 1 through August 31, 2017 and for the year ended December 31, 2016, respectively.</w:t>
      </w:r>
    </w:p>
    <w:p>
      <w:pPr>
        <w:spacing w:after="0" w:line="124"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The above charges (benefit) for pension and OPEB are determined as of the beginning of each period. Activities for the period ended December 31, 2018 and for the period September 1 through December 31, 2017 benefited from the absence of the amortization of net losses from AOCL. Long-term employee benefit expense in 2016 include a $382 million curtailment gain as a result of changes made to the U.S. Pension and OPEB benefits in 2016 described above. See “Pension Plans and Other Post Employment Benefits” for additional information on determining annual expense.</w:t>
      </w:r>
    </w:p>
    <w:p>
      <w:pPr>
        <w:spacing w:after="0" w:line="154"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 2019, Historical DuPont expects long term employee benefit expense from continuing operations to increase by about $30 million. The increase is mainly due to lower expected return on plan assets.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Historical DuPont operates global manufacturing, product handling and distribution facilities that are subject to a broad array of environmental laws and regulations. Such rules are subject to change by the implementing governmental agency, and Historical DuPont monitors these changes closely. Company policy requires that all operations fully meet or exceed legal and regulatory requirements. In addition, Historical DuPont implements voluntary programs to reduce air emissions, minimize the generation of hazardous waste, decrease the volume of</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60"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59" w:lineRule="auto"/>
        <w:rPr>
          <w:sz w:val="20"/>
          <w:szCs w:val="20"/>
          <w:color w:val="auto"/>
        </w:rPr>
      </w:pPr>
      <w:r>
        <w:rPr>
          <w:rFonts w:ascii="Arial" w:cs="Arial" w:eastAsia="Arial" w:hAnsi="Arial"/>
          <w:sz w:val="18"/>
          <w:szCs w:val="18"/>
          <w:color w:val="auto"/>
        </w:rPr>
        <w:t>water use and discharges, increase the efficiency of energy use and reduce the generation of persistent, bioaccumulative and toxic materials. Management has noted a global upward trend in the amount and complexity of proposed chemicals regulation. The costs to comply with complex environmental laws and regulations, as well as internal voluntary programs and goals, are significant and will continue to be significant for the foreseeable future.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Pre-tax environmental expenses charged to income from continuing operations are summarized below:</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vMerge w:val="restart"/>
          </w:tcPr>
          <w:p>
            <w:pPr>
              <w:jc w:val="right"/>
              <w:ind w:right="42"/>
              <w:spacing w:after="0"/>
              <w:rPr>
                <w:sz w:val="20"/>
                <w:szCs w:val="20"/>
                <w:color w:val="auto"/>
              </w:rPr>
            </w:pPr>
            <w:r>
              <w:rPr>
                <w:rFonts w:ascii="Arial" w:cs="Arial" w:eastAsia="Arial" w:hAnsi="Arial"/>
                <w:sz w:val="14"/>
                <w:szCs w:val="14"/>
                <w:b w:val="1"/>
                <w:bCs w:val="1"/>
                <w:color w:val="auto"/>
                <w:w w:val="87"/>
              </w:rPr>
              <w:t>Successor</w:t>
            </w: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2"/>
            <w:vMerge w:val="restart"/>
          </w:tcPr>
          <w:p>
            <w:pPr>
              <w:jc w:val="right"/>
              <w:ind w:right="167"/>
              <w:spacing w:after="0"/>
              <w:rPr>
                <w:sz w:val="20"/>
                <w:szCs w:val="20"/>
                <w:color w:val="auto"/>
              </w:rPr>
            </w:pPr>
            <w:r>
              <w:rPr>
                <w:rFonts w:ascii="Arial" w:cs="Arial" w:eastAsia="Arial" w:hAnsi="Arial"/>
                <w:sz w:val="14"/>
                <w:szCs w:val="14"/>
                <w:b w:val="1"/>
                <w:bCs w:val="1"/>
                <w:color w:val="auto"/>
                <w:w w:val="83"/>
              </w:rPr>
              <w:t>Predecessor</w:t>
            </w: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1540" w:type="dxa"/>
            <w:vAlign w:val="bottom"/>
            <w:gridSpan w:val="3"/>
          </w:tcPr>
          <w:p>
            <w:pPr>
              <w:jc w:val="center"/>
              <w:ind w:left="524"/>
              <w:spacing w:after="0" w:line="119" w:lineRule="exact"/>
              <w:rPr>
                <w:sz w:val="20"/>
                <w:szCs w:val="20"/>
                <w:color w:val="auto"/>
              </w:rPr>
            </w:pPr>
            <w:r>
              <w:rPr>
                <w:rFonts w:ascii="Arial" w:cs="Arial" w:eastAsia="Arial" w:hAnsi="Arial"/>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820" w:type="dxa"/>
            <w:vAlign w:val="bottom"/>
          </w:tcPr>
          <w:p>
            <w:pPr>
              <w:spacing w:after="0"/>
              <w:rPr>
                <w:sz w:val="10"/>
                <w:szCs w:val="10"/>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September 1</w:t>
            </w:r>
          </w:p>
        </w:tc>
        <w:tc>
          <w:tcPr>
            <w:tcW w:w="2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January 1</w:t>
            </w:r>
          </w:p>
        </w:tc>
        <w:tc>
          <w:tcPr>
            <w:tcW w:w="8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through</w:t>
            </w:r>
          </w:p>
        </w:tc>
        <w:tc>
          <w:tcPr>
            <w:tcW w:w="2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through</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700" w:type="dxa"/>
            <w:vAlign w:val="bottom"/>
            <w:gridSpan w:val="3"/>
          </w:tcPr>
          <w:p>
            <w:pPr>
              <w:jc w:val="center"/>
              <w:ind w:left="77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August 31,</w:t>
            </w:r>
          </w:p>
        </w:tc>
        <w:tc>
          <w:tcPr>
            <w:tcW w:w="1700" w:type="dxa"/>
            <w:vAlign w:val="bottom"/>
            <w:gridSpan w:val="4"/>
          </w:tcPr>
          <w:p>
            <w:pPr>
              <w:jc w:val="center"/>
              <w:ind w:left="66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2017</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operating costs</w:t>
            </w: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Environmental remediation costs</w:t>
            </w: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220" w:type="dxa"/>
            <w:vAlign w:val="bottom"/>
            <w:tcBorders>
              <w:righ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About 66 percent of total pre-tax environmental expenses charged to income from continuing operations for the year ended December 31, 2018 resulted from operations in the United States. Based on existing facts and circumstances, Historical DuPont’s management does not believe that year-over-year changes, if any, in environmental expenses charged to current operations will have a material impact on Historical DuPont’s financial position, liquidity or results of operations. Annual expenditures in the near term are not expected to vary significantly from the range of such expenditures experienced in the past few years. Longer term, expenditures are subject to considerable uncertainty and may fluctuate significantly.</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Environmental Operating Costs</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As a result of its operations, Historical DuPont incurs costs for pollution abatement activities including waste collection and disposal, installation and maintenance of air pollution controls and wastewater treatment, emissions testing and monitoring, and obtaining permits. Historical DuPont also incurs costs related to environmental related research and development activities including environmental field and treatment studies as well as toxicity and degradation testing to evaluate the environmental impact of products and raw materials.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Remediation Accrual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the remediation accrual balance are summarized below:</w:t>
      </w:r>
    </w:p>
    <w:p>
      <w:pPr>
        <w:spacing w:after="0" w:line="248" w:lineRule="exact"/>
        <w:rPr>
          <w:sz w:val="20"/>
          <w:szCs w:val="20"/>
          <w:color w:val="auto"/>
        </w:rPr>
      </w:pPr>
    </w:p>
    <w:tbl>
      <w:tblPr>
        <w:tblLayout w:type="fixed"/>
        <w:tblInd w:w="1980" w:type="dxa"/>
        <w:tblCellMar>
          <w:top w:w="0" w:type="dxa"/>
          <w:left w:w="0" w:type="dxa"/>
          <w:bottom w:w="0" w:type="dxa"/>
          <w:right w:w="0" w:type="dxa"/>
        </w:tblCellMar>
      </w:tblPr>
      <w:tr>
        <w:trPr>
          <w:trHeight w:val="167"/>
        </w:trPr>
        <w:tc>
          <w:tcPr>
            <w:tcW w:w="34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040" w:type="dxa"/>
            <w:vAlign w:val="bottom"/>
          </w:tcPr>
          <w:p>
            <w:pPr>
              <w:spacing w:after="0"/>
              <w:rPr>
                <w:sz w:val="14"/>
                <w:szCs w:val="14"/>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1"/>
              </w:rPr>
              <w:t xml:space="preserve">Balance at December 31, 2016 </w:t>
            </w:r>
            <w:r>
              <w:rPr>
                <w:rFonts w:ascii="Arial" w:cs="Arial" w:eastAsia="Arial" w:hAnsi="Arial"/>
                <w:sz w:val="18"/>
                <w:szCs w:val="18"/>
                <w:b w:val="1"/>
                <w:bCs w:val="1"/>
                <w:color w:val="auto"/>
                <w:w w:val="91"/>
              </w:rPr>
              <w:t>(Predecessor)</w:t>
            </w:r>
          </w:p>
        </w:tc>
        <w:tc>
          <w:tcPr>
            <w:tcW w:w="4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Remediation payments</w:t>
            </w:r>
          </w:p>
        </w:tc>
        <w:tc>
          <w:tcPr>
            <w:tcW w:w="4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remediation accrual </w:t>
            </w:r>
            <w:r>
              <w:rPr>
                <w:rFonts w:ascii="Arial" w:cs="Arial" w:eastAsia="Arial" w:hAnsi="Arial"/>
                <w:sz w:val="15"/>
                <w:szCs w:val="15"/>
                <w:color w:val="auto"/>
              </w:rPr>
              <w:t>(1)</w:t>
            </w:r>
          </w:p>
        </w:tc>
        <w:tc>
          <w:tcPr>
            <w:tcW w:w="4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 xml:space="preserve">Net change, indemnification </w:t>
            </w:r>
            <w:r>
              <w:rPr>
                <w:rFonts w:ascii="Arial" w:cs="Arial" w:eastAsia="Arial" w:hAnsi="Arial"/>
                <w:sz w:val="15"/>
                <w:szCs w:val="15"/>
                <w:color w:val="auto"/>
              </w:rPr>
              <w:t>(2)</w:t>
            </w:r>
          </w:p>
        </w:tc>
        <w:tc>
          <w:tcPr>
            <w:tcW w:w="404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4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97"/>
              </w:rPr>
              <w:t xml:space="preserve">Balance at September 1, 2017 </w:t>
            </w:r>
            <w:r>
              <w:rPr>
                <w:rFonts w:ascii="Arial" w:cs="Arial" w:eastAsia="Arial" w:hAnsi="Arial"/>
                <w:sz w:val="18"/>
                <w:szCs w:val="18"/>
                <w:b w:val="1"/>
                <w:bCs w:val="1"/>
                <w:color w:val="auto"/>
                <w:w w:val="97"/>
              </w:rPr>
              <w:t>(Successor)</w:t>
            </w:r>
          </w:p>
        </w:tc>
        <w:tc>
          <w:tcPr>
            <w:tcW w:w="4040" w:type="dxa"/>
            <w:vAlign w:val="bottom"/>
          </w:tcPr>
          <w:p>
            <w:pPr>
              <w:jc w:val="right"/>
              <w:ind w:right="30"/>
              <w:spacing w:after="0"/>
              <w:rPr>
                <w:sz w:val="20"/>
                <w:szCs w:val="20"/>
                <w:color w:val="auto"/>
              </w:rPr>
            </w:pPr>
            <w:r>
              <w:rPr>
                <w:rFonts w:ascii="Arial" w:cs="Arial" w:eastAsia="Arial" w:hAnsi="Arial"/>
                <w:sz w:val="18"/>
                <w:szCs w:val="18"/>
                <w:color w:val="auto"/>
              </w:rPr>
              <w:t>483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Remediation payments</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 xml:space="preserve">Net increase in remediation accrual </w:t>
            </w:r>
            <w:r>
              <w:rPr>
                <w:rFonts w:ascii="Arial" w:cs="Arial" w:eastAsia="Arial" w:hAnsi="Arial"/>
                <w:sz w:val="15"/>
                <w:szCs w:val="15"/>
                <w:color w:val="auto"/>
              </w:rPr>
              <w:t>(1)</w:t>
            </w:r>
          </w:p>
        </w:tc>
        <w:tc>
          <w:tcPr>
            <w:tcW w:w="40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change, indemnification </w:t>
            </w:r>
            <w:r>
              <w:rPr>
                <w:rFonts w:ascii="Arial" w:cs="Arial" w:eastAsia="Arial" w:hAnsi="Arial"/>
                <w:sz w:val="15"/>
                <w:szCs w:val="15"/>
                <w:color w:val="auto"/>
              </w:rPr>
              <w:t>(2)</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4040" w:type="dxa"/>
            <w:vAlign w:val="bottom"/>
          </w:tcPr>
          <w:p>
            <w:pPr>
              <w:jc w:val="right"/>
              <w:ind w:right="30"/>
              <w:spacing w:after="0"/>
              <w:rPr>
                <w:sz w:val="20"/>
                <w:szCs w:val="20"/>
                <w:color w:val="auto"/>
              </w:rPr>
            </w:pPr>
            <w:r>
              <w:rPr>
                <w:rFonts w:ascii="Arial" w:cs="Arial" w:eastAsia="Arial" w:hAnsi="Arial"/>
                <w:sz w:val="18"/>
                <w:szCs w:val="18"/>
                <w:color w:val="auto"/>
              </w:rPr>
              <w:t>$433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Remediation payments</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 xml:space="preserve">Net increase in remediation accrual </w:t>
            </w:r>
            <w:r>
              <w:rPr>
                <w:rFonts w:ascii="Arial" w:cs="Arial" w:eastAsia="Arial" w:hAnsi="Arial"/>
                <w:sz w:val="15"/>
                <w:szCs w:val="15"/>
                <w:color w:val="auto"/>
              </w:rPr>
              <w:t>(1)</w:t>
            </w:r>
          </w:p>
        </w:tc>
        <w:tc>
          <w:tcPr>
            <w:tcW w:w="404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change, indemnification </w:t>
            </w:r>
            <w:r>
              <w:rPr>
                <w:rFonts w:ascii="Arial" w:cs="Arial" w:eastAsia="Arial" w:hAnsi="Arial"/>
                <w:sz w:val="15"/>
                <w:szCs w:val="15"/>
                <w:color w:val="auto"/>
              </w:rPr>
              <w:t>(2)</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4040" w:type="dxa"/>
            <w:vAlign w:val="bottom"/>
          </w:tcPr>
          <w:p>
            <w:pPr>
              <w:jc w:val="right"/>
              <w:ind w:right="30"/>
              <w:spacing w:after="0"/>
              <w:rPr>
                <w:sz w:val="20"/>
                <w:szCs w:val="20"/>
                <w:color w:val="auto"/>
              </w:rPr>
            </w:pPr>
            <w:r>
              <w:rPr>
                <w:rFonts w:ascii="Arial" w:cs="Arial" w:eastAsia="Arial" w:hAnsi="Arial"/>
                <w:sz w:val="18"/>
                <w:szCs w:val="18"/>
                <w:color w:val="auto"/>
              </w:rPr>
              <w:t>$381</w:t>
            </w:r>
          </w:p>
        </w:tc>
      </w:tr>
      <w:tr>
        <w:trPr>
          <w:trHeight w:val="350"/>
        </w:trPr>
        <w:tc>
          <w:tcPr>
            <w:tcW w:w="3440" w:type="dxa"/>
            <w:vAlign w:val="bottom"/>
          </w:tcPr>
          <w:p>
            <w:pPr>
              <w:spacing w:after="0"/>
              <w:rPr>
                <w:sz w:val="24"/>
                <w:szCs w:val="24"/>
                <w:color w:val="auto"/>
              </w:rPr>
            </w:pPr>
          </w:p>
        </w:tc>
        <w:tc>
          <w:tcPr>
            <w:tcW w:w="4040" w:type="dxa"/>
            <w:vAlign w:val="bottom"/>
          </w:tcPr>
          <w:p>
            <w:pPr>
              <w:jc w:val="right"/>
              <w:ind w:right="3530"/>
              <w:spacing w:after="0"/>
              <w:rPr>
                <w:sz w:val="20"/>
                <w:szCs w:val="20"/>
                <w:color w:val="auto"/>
              </w:rPr>
            </w:pPr>
            <w:r>
              <w:rPr>
                <w:rFonts w:ascii="Arial" w:cs="Arial" w:eastAsia="Arial" w:hAnsi="Arial"/>
                <w:sz w:val="18"/>
                <w:szCs w:val="18"/>
                <w:color w:val="auto"/>
              </w:rPr>
              <w:t>125</w:t>
            </w:r>
          </w:p>
        </w:tc>
      </w:tr>
    </w:tbl>
    <w:p>
      <w:pPr>
        <w:sectPr>
          <w:pgSz w:w="11900" w:h="16838" w:orient="portrait"/>
          <w:cols w:equalWidth="0" w:num="1">
            <w:col w:w="11140"/>
          </w:cols>
          <w:pgMar w:left="240" w:top="459" w:right="5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Excludes indemnified remediation obligations.</w:t>
      </w:r>
    </w:p>
    <w:p>
      <w:pPr>
        <w:spacing w:after="0" w:line="23" w:lineRule="exact"/>
        <w:rPr>
          <w:rFonts w:ascii="Arial" w:cs="Arial" w:eastAsia="Arial" w:hAnsi="Arial"/>
          <w:sz w:val="18"/>
          <w:szCs w:val="18"/>
          <w:color w:val="auto"/>
        </w:rPr>
      </w:pPr>
    </w:p>
    <w:p>
      <w:pPr>
        <w:ind w:left="640" w:right="120" w:hanging="436"/>
        <w:spacing w:after="0" w:line="295" w:lineRule="auto"/>
        <w:tabs>
          <w:tab w:leader="none" w:pos="6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Represents the net change in indemnified remediation obligations based on activity as well as the removal from Historical DuPont’s accrued remediation liabilities of obligations that have been fully transferred to Chemours. Pursuant to the Chemours Separation Agreement, as discussed below and in note 4 to the annual consolidated financial statements, which are incorporated by reference herein and filed as Exhibit 99.2 to the Form 10 of which this information statement forms a part, Historical DuPont is indemnified by Chemours for certain environmental matters.</w:t>
      </w:r>
    </w:p>
    <w:p>
      <w:pPr>
        <w:spacing w:after="0" w:line="162"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Considerable uncertainty exists with respect to environmental remediation costs, and, under adverse changes in circumstances, the potential liability may range up to $750 million above the amount accrued as of December 31, 2018. However, based on existing facts and circumstances, management does not believe that any loss, in excess of amounts accrued, related to remediation activities at any individual site will have a material impact on the financial position, liquidity or results of operations of Historical DuPont.</w:t>
      </w:r>
    </w:p>
    <w:p>
      <w:pPr>
        <w:spacing w:after="0" w:line="187" w:lineRule="exact"/>
        <w:rPr>
          <w:sz w:val="20"/>
          <w:szCs w:val="20"/>
          <w:color w:val="auto"/>
        </w:rPr>
      </w:pPr>
    </w:p>
    <w:p>
      <w:pPr>
        <w:ind w:left="200" w:right="200"/>
        <w:spacing w:after="0" w:line="297" w:lineRule="auto"/>
        <w:rPr>
          <w:sz w:val="20"/>
          <w:szCs w:val="20"/>
          <w:color w:val="auto"/>
        </w:rPr>
      </w:pPr>
      <w:r>
        <w:rPr>
          <w:rFonts w:ascii="Arial" w:cs="Arial" w:eastAsia="Arial" w:hAnsi="Arial"/>
          <w:sz w:val="16"/>
          <w:szCs w:val="16"/>
          <w:color w:val="auto"/>
        </w:rPr>
        <w:t>Pursuant to the Chemours Separation Agreement discussed in note 4 to the annual consolidated financial statements, which are incorporated by reference herein and filed as Exhibit 99.2 to the Form 10 of which this information statement forms a part, Historical DuPont is indemnified by Chemours for certain environmental matters, included in the liability of $381 million, that have an estimated liability of $193 million at December 31, 2018 and a potential exposure that ranges up to approximately $310 million above the amount accrued. As such, Historical DuPont has recorded an indemnification asset of $193 million corresponding to Historical DuPont’s accrual balance related to these matters at December 31, 2018.</w:t>
      </w:r>
    </w:p>
    <w:p>
      <w:pPr>
        <w:spacing w:after="0" w:line="158"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As of December 31, 2018, Historical DuPont has been notified of potential liability under the Superfund or similar state laws at about 500 sites around the U.S., including approximately 100 sites for which Historical DuPont does not believe it has liability based on current information. Active remediation is under way at 69 of the 500 sites. In addition, Historical DuPont has resolved its liability at approximately 200 sites, either by completing remedial actions with other PRPs or by participating in “de minimis buyouts” with other PRPs whose waste, like Historical DuPont’s, represented only a small fraction of the total waste present at a site. Historical DuPont received notice of potential liability at 2 new sites during 2018 compared with 3 notices in 2017 and 1 in 2016.</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Environmental Capital Expenditures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Capital expenditures for environmental projects, either required by law or necessary to meet Historical DuPont’s internal environmental goals, were</w:t>
      </w:r>
    </w:p>
    <w:p>
      <w:pPr>
        <w:spacing w:after="0" w:line="46"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$29 million for the year ended December 31, 2018. Historical DuPont currently estimates expenditures for environmental-related capital projects to be approximately $55 million in 2019.</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Climate Change</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Historical DuPont believes that climate change is an important global issue that presents risks and opportunities. For instance, Historical DuPont continuously evaluates opportunities for existing and new product and service offerings to meet the anticipated demands of a low-carbon economy. Historical DuPont also manages and reports its operational resource efficiency. Expanding upon significant greenhouse gas (“GHG”) emissions and other environmental footprint reductions made in the period 1990-2010, in 2015, Historical DuPont announced its 2020 Sustainability Goals, including a goal to achieve a 7 percent reduction in GHG emissions intensity (2015 baseline) and a 10 percent improvement in energy intensity (2010 baseline). While Historical DuPont’s 2017 GHG intensity held relatively flat with its 2015 goal baseline, Historical DuPont has achieved a 12.7 percent reduction in GHG intensity since 2010. In addition, Historical DuPont has achieved a 14.9 percent improvement in non-renewable energy intensity since 2010.</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60"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Historical DuPont is actively engaged in efforts to develop constructive public policies to reduce GHG emissions and encourage lower-carbon forms of energy. Such policies may bring higher operating costs as well as greater revenue and margin opportunities. Legislative efforts to control or limit GHG emissions could affect Historical DuPont’s energy source and supply choices as well as increase the cost of energy and raw materials derived from fossil fuels. Such efforts are also anticipated to provide the business community with greater certainty for the regulatory future, help guide investment decisions, and drive growth in demand for low-carbon and energy-efficient products, technologies, and services. Similarly, demand is expected to grow for products that facilitate adaptation to a changing climate. However, the current unsettled policy environment in the United States, where many company facilities are located, adds an element of uncertainty to business decisions, particularly those relating to long-term capital investments.</w:t>
      </w:r>
    </w:p>
    <w:p>
      <w:pPr>
        <w:spacing w:after="0" w:line="167"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In addition, significant differences in regional or national approaches could present challenges in a global marketplace. An effective global climate policy framework will help drive the market changes that are needed to stimulate and efficiently deploy new innovations in science and technology, while maintaining open and competitive global markets.</w:t>
      </w:r>
    </w:p>
    <w:p>
      <w:pPr>
        <w:spacing w:after="0" w:line="18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Historical DuPont’s global operations are exposed to financial market risks relating to fluctuations in foreign currency exchange rates, commodity prices, and interest rates. Historical DuPont has established a variety of programs including the use of derivative instruments and other financial instruments to manage the exposure to financial market risks as to minimize volatility of financial results. In the ordinary course of business, Historical DuPont enters into derivative instruments to hedge its exposure to foreign currency, interest rate and commodity price risks under established procedures and controls. For additional information on these derivatives and related exposures, see note 20 to the annual consolidated financial statements, which are incorporated by reference herein and filed as Exhibit 99.2 to the Form 10 of which this information statement forms a part. Decisions regarding whether or not to hedge a given commitment are made on a case-by-case basis, taking into consideration the amount and duration of the exposure, market volatility and economic trends. Foreign currency exchange contracts are also used, from time to time, to manage near-term foreign currency cash requirements.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Exchange Rate Risks</w:t>
      </w:r>
    </w:p>
    <w:p>
      <w:pPr>
        <w:spacing w:after="0" w:line="121"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Historical DuPont has significant international operations resulting in a large number of currency transactions that result from international sales, purchases, investments and borrowings. The primary currencies for which Historical DuPont has an exchange rate exposure are the European euro (“EUR”), Chinese yuan, Brazilian real and Japanese yen. Historical DuPont uses forward exchange contracts to offset its net exposures, by currency, related to the foreign currency denominated monetary assets and liabilities of its operations. In addition to the contracts disclosed in note 20 to the annual consolidated financial statements, which are incorporated by reference herein and filed as Exhibit 99.2 to the Form 10 of which this information statement forms a part, from time to time, Historical DuPont will enter into foreign currency exchange contracts to establish with certainty the U.S. dollar amount of future firm commitments denominated in a foreign currency.</w:t>
      </w:r>
    </w:p>
    <w:p>
      <w:pPr>
        <w:spacing w:after="0" w:line="17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following table illustrates the fair values of outstanding foreign currency contracts at December 31, 2018 and 2017, and the effect on fair values of a hypothetical adverse change in the foreign exchange rates that existed at December 31, 2018 and 2017. The sensitivities for foreign currency contracts are based on a 10 percent adverse change in foreign exchange rates.</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460" w:type="dxa"/>
            <w:vAlign w:val="bottom"/>
            <w:gridSpan w:val="4"/>
          </w:tcPr>
          <w:p>
            <w:pPr>
              <w:ind w:lef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440" w:type="dxa"/>
            <w:vAlign w:val="bottom"/>
          </w:tcPr>
          <w:p>
            <w:pPr>
              <w:spacing w:after="0"/>
              <w:rPr>
                <w:sz w:val="14"/>
                <w:szCs w:val="14"/>
                <w:color w:val="auto"/>
              </w:rPr>
            </w:pPr>
          </w:p>
        </w:tc>
        <w:tc>
          <w:tcPr>
            <w:tcW w:w="1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Asset/(Liability)</w:t>
            </w:r>
          </w:p>
        </w:tc>
        <w:tc>
          <w:tcPr>
            <w:tcW w:w="220" w:type="dxa"/>
            <w:vAlign w:val="bottom"/>
          </w:tcPr>
          <w:p>
            <w:pPr>
              <w:spacing w:after="0"/>
              <w:rPr>
                <w:sz w:val="14"/>
                <w:szCs w:val="14"/>
                <w:color w:val="auto"/>
              </w:rPr>
            </w:pPr>
          </w:p>
        </w:tc>
        <w:tc>
          <w:tcPr>
            <w:tcW w:w="1460" w:type="dxa"/>
            <w:vAlign w:val="bottom"/>
            <w:gridSpan w:val="4"/>
          </w:tcPr>
          <w:p>
            <w:pPr>
              <w:ind w:left="360"/>
              <w:spacing w:after="0"/>
              <w:rPr>
                <w:sz w:val="20"/>
                <w:szCs w:val="20"/>
                <w:color w:val="auto"/>
              </w:rPr>
            </w:pPr>
            <w:r>
              <w:rPr>
                <w:rFonts w:ascii="Arial" w:cs="Arial" w:eastAsia="Arial" w:hAnsi="Arial"/>
                <w:sz w:val="14"/>
                <w:szCs w:val="14"/>
                <w:b w:val="1"/>
                <w:bCs w:val="1"/>
                <w:color w:val="auto"/>
              </w:rPr>
              <w:t>Sensitivity</w:t>
            </w: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$ 51</w:t>
            </w: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(33)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$(402)</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460"/>
        <w:spacing w:after="0" w:line="277" w:lineRule="auto"/>
        <w:rPr>
          <w:sz w:val="20"/>
          <w:szCs w:val="20"/>
          <w:color w:val="auto"/>
        </w:rPr>
      </w:pPr>
      <w:r>
        <w:rPr>
          <w:rFonts w:ascii="Arial" w:cs="Arial" w:eastAsia="Arial" w:hAnsi="Arial"/>
          <w:sz w:val="18"/>
          <w:szCs w:val="18"/>
          <w:color w:val="auto"/>
        </w:rPr>
        <w:t>Since Historical DuPont’s risk management programs are highly effective, the potential loss in value for each risk management portfolio described above would be largely offset by changes in the value of the underlying exposure.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Historical DuPont maintains cash and cash equivalents, marketable securities, derivatives and certain other financial instruments with various financial institutions. These financial institutions are generally highly rated and geographically dispersed and Historical DuPont has a policy to limit the dollar amount of credit exposure with any one institution.</w:t>
      </w:r>
    </w:p>
    <w:p>
      <w:pPr>
        <w:spacing w:after="0" w:line="18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As part of Historical DuPont’s financial risk management processes, it continuously evaluates the relative credit standing of all of the financial institutions that service Historical DuPont and monitors actual exposures versus established limits. Historical DuPont has not sustained credit losses from instruments held at financial institutions.</w:t>
      </w:r>
    </w:p>
    <w:p>
      <w:pPr>
        <w:spacing w:after="0" w:line="181"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Historical DuPont’s sales are not materially dependent on any single customer. As of December 31, 2018, no one individual customer balance represented more than five percent of Historical DuPont’s total outstanding receivables balance. Credit risk associated with its receivables balance is representative of the geographic, industry and customer diversity associated with Historical DuPont’s global product lines.</w:t>
      </w:r>
    </w:p>
    <w:p>
      <w:pPr>
        <w:spacing w:after="0" w:line="166"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Historical DuPont also maintains strong credit controls in evaluating and granting customer credit. As a result, it may require that customers provide some type of financial guarantee in certain circumstances. Length of terms for customer credit varies by industry and region.</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240" w:top="460" w:right="5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Corteva combines the DuPont Pioneer, Dow AgroSciences and DuPont Crop Protection businesses to create a stronger global provider of agricultural products. We are recognized by farmers as a leader in the seed and crop protection markets globally. Our seed platform develops and supplies high quality germplasm combined with advanced traits to produce higher yields for farmers around the world. Our crop protection platform supplies products to protect crop yields against weeds, insects and disease, enabling farmers to achieve optimal results. The combination of these leading platforms creates one of the broadest portfolios of agriculture solutions in the industry, fueling farmer productivity in more than 140 countries and generating pro forma annual sales of $14.3 billion for the year ended December 31, 2018. Our strategy is to provide farmers with the right mix of seeds, crop protection and digital solutions to maximize their yields and improve their profitability, while strengthening customer relationships and ensuring an abundant food supply for a growing global population. We have the opportunity to enhance our performance by completing the delivery of nearly $1.7 billion from merger-related synergies, including approximately $1.2 billion in cost synergies and $500 million in growth synergies. For further information relating to merger-related synergies and costs, see the section entitled “Management’s Discussion and Analysis of Financial Condition and Results of Operations —DowDuPont Cost Synergy Program.”</w:t>
      </w:r>
    </w:p>
    <w:p>
      <w:pPr>
        <w:spacing w:after="0" w:line="183" w:lineRule="exact"/>
        <w:rPr>
          <w:sz w:val="20"/>
          <w:szCs w:val="20"/>
          <w:color w:val="auto"/>
        </w:rPr>
      </w:pPr>
    </w:p>
    <w:p>
      <w:pPr>
        <w:ind w:left="200" w:right="220"/>
        <w:spacing w:after="0" w:line="253" w:lineRule="auto"/>
        <w:rPr>
          <w:sz w:val="20"/>
          <w:szCs w:val="20"/>
          <w:color w:val="auto"/>
        </w:rPr>
      </w:pPr>
      <w:r>
        <w:rPr>
          <w:rFonts w:ascii="Arial" w:cs="Arial" w:eastAsia="Arial" w:hAnsi="Arial"/>
          <w:sz w:val="18"/>
          <w:szCs w:val="18"/>
          <w:color w:val="auto"/>
        </w:rPr>
        <w:t>We will operate in two reportable segments: seed and crop protection. Our seed segment is a global leader in developing and supplying advanced germplasm and traits that produce optimum yield for farms around the world. We are a leader in many of our key seed markets, including North America corn and soybeans, Europe corn and sunflower, as well as Brazil, India, South Africa and Argentina corn. We offer trait technologies that improve resistance to weather, disease, insects and weeds, and trait technologies that enhance food and nutritional characteristics. We also provide digital solutions that assist farmer decision-making with a view to optimize product selection and, ultimately, maximize yield and profitability. We compete in a wide variety of agricultural markets. Our crop protection segment serves the global agricultural input industry with products that protect against weeds, insects and other pests, and disease, and that improve overall crop health both above and below ground via nitrogen management and seed-applied technologies. We are a leader in global herbicides, insecticides, below-ground nitrogen stabilizers and pasture and range management herbicides.</w:t>
      </w:r>
    </w:p>
    <w:p>
      <w:pPr>
        <w:spacing w:after="0" w:line="197"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We aspire to create shareholder value by working to achieve a best-in-class cost structure, which we expect to benchmark against our peers based upon representative metrics such as cost of sales, general and administrative expenses and research and development expense, in each case as a percentage of sales. Another key driver is driving disciplined capital and resource allocation processes, including a performance-based culture, with a strong focus on return on invested capital, including through stable dividends and share repurchases, selectively assessing strategic opportunities and continuing to advance our science-based innovation. Our innovation is focused on delivering a wide range of improved products and services to our customers. Through our merger of the Historical DuPont and Historical Dow innovations pipelines, we have created one of the broadest and most productive new product pipelines in the agriculture industry. We intend to leverage our rich heritage of over 275 combined years of scientific achievement to advance our robust innovation pipeline and continue to shape the future of responsible agriculture. We intend to launch 21 new products, balanced between seeds and crop protection, between 2017 and 2021. New products are crucial to solving farmers’ productivity challenges amid a growing global population while addressing natural resistance, regulatory changes, safety requirements and competitive dynamics. Our investment in technology-based and solution-based product offerings allow us to meet farmers’ evolving needs while ensuring that our investments generate sufficient returns. Meanwhile, through our unique routes to market, we continue to work face-to-face with farmers around the world to deeply understand their needs.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The global agricultural landscape is rapidly changing as farmers continue to face a variety of challenges, including the need to feed a growing population with limited land and stricter rules and regulations surrounding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60"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biotechnology and chemical compounds. These rules and regulations, which may be enacted to protect farmers, consumers or the environment, often vary across geographies and can quickly change. Consumers are also re-shaping the industry by demanding healthier, more affordable and safer food, with an increased focus on sustainability and greater transparency in order to facilitate their understanding of the agricultural products they purchase and consume.</w:t>
      </w:r>
    </w:p>
    <w:p>
      <w:pPr>
        <w:spacing w:after="0" w:line="187"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These challenges, along with available data analysis allowing farmers to better understand the precise needs of a specific crop in a specific region, create strong incentives for farmers to invest in high technology inputs (such as seed, crop protection and digital solutions) to maximize yields, optimize resources and protect harvests in an environmentally sustainable manner. These technological advances in the agriculture industry challenge agriculture companies to develop customized technology-based and solution-based product offerings for farmers that address their specific needs.</w:t>
      </w:r>
    </w:p>
    <w:p>
      <w:pPr>
        <w:spacing w:after="0" w:line="154"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Companies in our industry also continuously aim to improve existing product offerings to counteract regularly occurring natural resistance. For example, over the years, weeds and pests can evolve to become resistant to current modes of treatment. This resistance to existing products in turn creates both challenges as well as market opportunities for development of new forms of genetically engineered seed and improved complementary crop protection products and applications.</w:t>
      </w:r>
    </w:p>
    <w:p>
      <w:pPr>
        <w:spacing w:after="0" w:line="18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Given these rapidly evolving dynamics, it is critical for companies in the agriculture industry to be agile in adapting their product offerings to respond to changing farmer needs while addressing government regulations and market trends on both a global and localized scale. Companies in our industry in turn compete on the basis of germplasm and trait leadership; weed control as well as insect and disease management superiority; customer service; price; quality; and cost competitiveness, with an intensified focus on research and development and ability to respond to the growing proportion of off-patent seed and crop protection products. While the industry is evolving rapidly, the time and cost to launch new products has only increased. Our response to these global macro-trends is to leverage our deep farmer relationships and our industry leading platform to provide complete and customized solutions that meet the evolving needs of the farmer.</w:t>
      </w:r>
    </w:p>
    <w:p>
      <w:pPr>
        <w:spacing w:after="0" w:line="178"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The global agricultural economy also continues to adjust to declines from the peak commodity prices related to the biofuels demand growth between 2007 and 2010 and the poor weather that reduced global commodity supply into 2013. The declines in prices and profit margins have led participants at all levels of the agricultural supply chain to adopt fundamental changes in their respective business models to maintain competitiveness, improve efficiency and enhance prospects for long-term growth. These factors, along with the high costs and lengthy time periods required to gain approvals and launch new products, have contributed to strategic realignments and consolidation across the agricultural sector. In recent years, our industry has undergone significant consolidation, resulting in an increase in market position by a smaller number of players and changing competitive dynamics.</w:t>
      </w:r>
    </w:p>
    <w:p>
      <w:pPr>
        <w:spacing w:after="0" w:line="165"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color w:val="auto"/>
        </w:rPr>
        <w:t>Against this competitive landscape, Corteva intends to leverage its competitive strengths and harness its strong culture to win in the agriculture marketplace by quickly, effectively and attractively delivering solutions that improve the profitability, efficiency and sustainability of farms globally.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the following attributes provide us with a competitive advantage in our industry: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Leadership position in key markets</w:t>
      </w:r>
    </w:p>
    <w:p>
      <w:pPr>
        <w:spacing w:after="0" w:line="117" w:lineRule="exact"/>
        <w:rPr>
          <w:sz w:val="20"/>
          <w:szCs w:val="20"/>
          <w:color w:val="auto"/>
        </w:rPr>
      </w:pPr>
    </w:p>
    <w:p>
      <w:pPr>
        <w:ind w:left="200" w:right="280"/>
        <w:spacing w:after="0" w:line="312" w:lineRule="auto"/>
        <w:rPr>
          <w:sz w:val="20"/>
          <w:szCs w:val="20"/>
          <w:color w:val="auto"/>
        </w:rPr>
      </w:pPr>
      <w:r>
        <w:rPr>
          <w:rFonts w:ascii="Arial" w:cs="Arial" w:eastAsia="Arial" w:hAnsi="Arial"/>
          <w:sz w:val="16"/>
          <w:szCs w:val="16"/>
          <w:color w:val="auto"/>
        </w:rPr>
        <w:t>We are a leader in many of our key seed markets, including North America corn and soybeans, Europe corn and sunflower, as well as Brazil, India, South Africa and Argentina corn. We are also a crop protection market leader in global herbicides, insecticides, biologics, below-the-ground nitrogen stabilizers and pasture and range management herbicides. Our brand portfolio consists of some of the most recognized and premium brands in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agriculture, such as our flagship premium Pioneer</w:t>
      </w:r>
      <w:r>
        <w:rPr>
          <w:rFonts w:ascii="Arial" w:cs="Arial" w:eastAsia="Arial" w:hAnsi="Arial"/>
          <w:sz w:val="15"/>
          <w:szCs w:val="15"/>
          <w:color w:val="auto"/>
        </w:rPr>
        <w:t>®</w:t>
      </w:r>
      <w:r>
        <w:rPr>
          <w:rFonts w:ascii="Arial" w:cs="Arial" w:eastAsia="Arial" w:hAnsi="Arial"/>
          <w:sz w:val="18"/>
          <w:szCs w:val="18"/>
          <w:color w:val="auto"/>
        </w:rPr>
        <w:t xml:space="preserve"> brand, APPROACH</w:t>
      </w:r>
      <w:r>
        <w:rPr>
          <w:rFonts w:ascii="Arial" w:cs="Arial" w:eastAsia="Arial" w:hAnsi="Arial"/>
          <w:sz w:val="15"/>
          <w:szCs w:val="15"/>
          <w:color w:val="auto"/>
        </w:rPr>
        <w:t>®</w:t>
      </w:r>
      <w:r>
        <w:rPr>
          <w:rFonts w:ascii="Arial" w:cs="Arial" w:eastAsia="Arial" w:hAnsi="Arial"/>
          <w:sz w:val="18"/>
          <w:szCs w:val="18"/>
          <w:color w:val="auto"/>
        </w:rPr>
        <w:t xml:space="preserve"> PRIMA fungicide and QUELEX</w:t>
      </w:r>
      <w:r>
        <w:rPr>
          <w:rFonts w:ascii="Arial" w:cs="Arial" w:eastAsia="Arial" w:hAnsi="Arial"/>
          <w:sz w:val="15"/>
          <w:szCs w:val="15"/>
          <w:color w:val="auto"/>
        </w:rPr>
        <w:t>®</w:t>
      </w:r>
      <w:r>
        <w:rPr>
          <w:rFonts w:ascii="Arial" w:cs="Arial" w:eastAsia="Arial" w:hAnsi="Arial"/>
          <w:sz w:val="18"/>
          <w:szCs w:val="18"/>
          <w:color w:val="auto"/>
        </w:rPr>
        <w:t xml:space="preserve"> herbicide with ARYLEX</w:t>
      </w:r>
      <w:r>
        <w:rPr>
          <w:rFonts w:ascii="Arial" w:cs="Arial" w:eastAsia="Arial" w:hAnsi="Arial"/>
          <w:sz w:val="15"/>
          <w:szCs w:val="15"/>
          <w:color w:val="auto"/>
        </w:rPr>
        <w:t>®</w:t>
      </w:r>
      <w:r>
        <w:rPr>
          <w:rFonts w:ascii="Arial" w:cs="Arial" w:eastAsia="Arial" w:hAnsi="Arial"/>
          <w:sz w:val="18"/>
          <w:szCs w:val="18"/>
          <w:color w:val="auto"/>
        </w:rPr>
        <w:t xml:space="preserve"> active. We also have the largest and most robust germplasm pool in the world, spanning more than ten crops, including key crops such as corn, soybeans and sunflowers, providing us with a strong foundation for future value creation.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Strong customer relationships</w:t>
      </w:r>
    </w:p>
    <w:p>
      <w:pPr>
        <w:spacing w:after="0" w:line="11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We are a trusted partner in the global agriculture and food community, having earned the confidence of those who produce as well as those who consume. Our combination of market penetration, strong brand portfolio and robust germplasm allows us to serve as a trusted partner addressing a wide range of farmer needs in all major geographic regions and in many major crops. Our customer service model “walks the acre,” with our agents meeting face-to-face with farmers. In certain cases, these relationships extend over multiple generations. Through our unique direct access model, we continue to foster strong relationships by developing a deeper understanding of each farmer’s business. We are specialists in our products and the customers and regions we serve, and we customize our offerings to the market by understanding and responding to specific opportunities and challenges. Our knowledge of the customer also enhances our ability to effectively introduce new products that meet customer needs. We introduce test concepts to farmers in target markets as early as four years prior to market launches, allowing farmers to provide constant feedback on our new products and validate the efficacy and safety of our products, which also drives demand before the product launch. We also continue to listen and solicit feedback from farmers after the product launch in order to address their needs and continuously improve our offerings. This approach enhances the success of our new product launches. These strong customer relationships afford us the opportunity to more accurately anticipate customer needs and increase our likelihood of maintaining our customers and continuing to serve as their trusted provider.</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Holistic solutions for farmers</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We deliver a complete end-to-end farm management solution with integrated seed and crop protection offerings consisting of a broad range of products that provide farmers with an integrated approach to crop management. Through the combination of Historical DuPont’s and Historical Dow’s complementary seed and crop protection portfolios, we are now able to serve farmers year-round, offering products covering more than 100 crops that give farmers expanded choice and greater value. In addition, our digital solutions bring clarity about the challenges and risks farmers face at an acre-by-acre level. Due to our broad portfolio of offerings, we enable farmers to fulfill all of their seed and crop protection needs from a single source, which enhances farmer loyalty.</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Enhanced seed and crop protection pipelines</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We have historically invested and will continue to invest significant funds in research and development. By integrating the Historical DuPont and Historical Dow pipelines, we have created one of the broadest and most innovative pipelines in the agricultural input industry. This integration has also enhanced the strengths of the individual pipelines through knowledge sharing and enabled us to leverage our industry-leading product depth and geographic scale. It has also allowed us to allocate research and development dollars more efficiently and leverage the best information available across platforms, accelerating timing for product launches.</w:t>
      </w:r>
    </w:p>
    <w:p>
      <w:pPr>
        <w:spacing w:after="0" w:line="188"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In our seed segment, our leading digital breeding capabilities accelerate identification of native traits for desirable qualities such as maximizing yield as well as drought, disease and insect resistance. In addition, we have other advanced breeding technologies including one of the broadest CRISPR (“Clustered Regularly Interspaced Short Palindromic Repeats”) intellectual property estates in the agriculture industry. In our crop protection segment, our diverse portfolio of leading technology for weed control, insect and nematode management, disease management, nitrogen management and seed applied technology has been developed specifically for discrete regions around the globe. We are focused on expanding our existing robust crop protection pipeline by rapidly launching new products through expanding our proprietary disease control portfolio, and we intend our crop protection segment to commercialize a combined 11 new products over the near-term horizon.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240" w:top="460" w:right="4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Deep industry expertise</w:t>
      </w:r>
    </w:p>
    <w:p>
      <w:pPr>
        <w:spacing w:after="0" w:line="117"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We have a strong management team that combines in-depth industry experience and demonstrated leadership. James C. Collins, Jr., who will be our Chief Executive Officer, is the Chief Operating Officer for the Agriculture Division of DowDuPont and was previously an executive vice president of Historical DuPont responsible for the company’s agriculture segment, including DuPont Crop Protection and Pioneer. Gregory R. Friedman, who will be our Chief Financial Officer, is the Head of Finance for the Agriculture Division and Vice President, DuPont Investor Relations of DowDuPont. Our executive management team has, combined, over 240 years of industry experience. Our leadership team represents leaders from both Historical DuPont and Historical Dow as we retained the top talent during the Merger and separation process. By assigning most of the Merger and integration work to separate focused teams, our business teams have been able to remain focused on driving the business forward and staying connected to customers and their evolving needs. Meanwhile, our team of dedicated scientists collaborates with external partners to advance agriculture systems and serves as a thoughtful, diligent advisor for communities, policymakers, regulatory bodies and institutions.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We believe agriculture continues to undergo a global transformation, driven by population growth, environmental challenges and societal changes. As demand for food continues to grow, the pressure on farms to increase productivity and output will remain high. We believe this requirement provides the foundation of the long-term opportunity in agriculture.</w:t>
      </w:r>
    </w:p>
    <w:p>
      <w:pPr>
        <w:spacing w:after="0" w:line="18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Our strategy is to combine our proven innovation capability with our unmatched customer access to provide farmers with the right mix of seeds, crop protection and digital solutions to maximize their yields and improve their profitability, while strengthening customer relationships and ensuring an abundant food supply for a growing global population. We plan to leverage the work already done by DuPont Pioneer, Dow AgroSciences and DuPont Crop Protection, while enhancing their existing strategies, operating priorities and business focus through a more streamlined, efficient and focused operating structure. We also continue to believe that by operating as a pure play agriculture business, we can more sharply focus on the needs of farmers and instill a culture that best supports our strategy.</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drive industry-leading value creation, we will continue to pursue the following five priorities:</w:t>
      </w:r>
    </w:p>
    <w:p>
      <w:pPr>
        <w:spacing w:after="0" w:line="131" w:lineRule="exact"/>
        <w:rPr>
          <w:sz w:val="20"/>
          <w:szCs w:val="20"/>
          <w:color w:val="auto"/>
        </w:rPr>
      </w:pPr>
    </w:p>
    <w:p>
      <w:pPr>
        <w:ind w:left="1060" w:hanging="316"/>
        <w:spacing w:after="0"/>
        <w:tabs>
          <w:tab w:leader="none" w:pos="10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Instill a strong, performance-based, inclusive, customer-centric culture.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Drive disciplined capital and resource allocation with a strong focus on return on invested capital.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Develop innovative solutions that improve farmer productivity and global food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Work to attain a best-in-class cost structure.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Deliver above-market growth via our robust new product pipeline and best-in-class routes to market.</w:t>
      </w:r>
    </w:p>
    <w:p>
      <w:pPr>
        <w:spacing w:after="0" w:line="22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More broadly, we believe the following key pillars will continue to enable us to create significant value for our customers while delivering strong financial returns to our shareholders.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Develop and launch new offerings that address market needs</w:t>
      </w:r>
    </w:p>
    <w:p>
      <w:pPr>
        <w:spacing w:after="0" w:line="117"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We expect to continue leveraging our robust pipeline to introduce new proprietary seed traits and crop protection formulations that anticipate and meet evolving customer needs. We intend to launch 21 new products, balanced between seeds and crop protection, between 2017 and 2021. Our pipeline is stronger than ever due to the combination of our two heritage companies. In addition, we intend to introduce further advanced digital technology that tracks and analyzes a farmer’s agricultural inputs, and provides additional transparency to allow farmers to make better and faster decisions, while increasing efficiency and reducing costs. We consider digital technology to be a key driver of our future success and are continuously building our expertise in the integration of technology with our seed and crop protection business.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Within the seed segment, we expect to introduce corn and soybean insect control traits with new modes of action, next generation technologies in soybeans including disease control, next generation of multiple mode herbicide tolerance traits in corn and soybeans, and next generation high-oleic oil soybeans. We plan to deliver these new offerings through a combination of in-licensing as well as our own innovation. We recently received regulatory approval for Qrome</w:t>
      </w:r>
      <w:r>
        <w:rPr>
          <w:rFonts w:ascii="Arial" w:cs="Arial" w:eastAsia="Arial" w:hAnsi="Arial"/>
          <w:sz w:val="14"/>
          <w:szCs w:val="14"/>
          <w:color w:val="auto"/>
        </w:rPr>
        <w:t>®</w:t>
      </w:r>
      <w:r>
        <w:rPr>
          <w:rFonts w:ascii="Arial" w:cs="Arial" w:eastAsia="Arial" w:hAnsi="Arial"/>
          <w:sz w:val="17"/>
          <w:szCs w:val="17"/>
          <w:color w:val="auto"/>
        </w:rPr>
        <w:t>, which represents an optimized balance of corn insect protection and agronomic performance. We launched Qrome</w:t>
      </w:r>
      <w:r>
        <w:rPr>
          <w:rFonts w:ascii="Arial" w:cs="Arial" w:eastAsia="Arial" w:hAnsi="Arial"/>
          <w:sz w:val="14"/>
          <w:szCs w:val="14"/>
          <w:color w:val="auto"/>
        </w:rPr>
        <w:t>®</w:t>
      </w:r>
      <w:r>
        <w:rPr>
          <w:rFonts w:ascii="Arial" w:cs="Arial" w:eastAsia="Arial" w:hAnsi="Arial"/>
          <w:sz w:val="17"/>
          <w:szCs w:val="17"/>
          <w:color w:val="auto"/>
        </w:rPr>
        <w:t xml:space="preserve"> as well as Powercore</w:t>
      </w:r>
      <w:r>
        <w:rPr>
          <w:rFonts w:ascii="Arial" w:cs="Arial" w:eastAsia="Arial" w:hAnsi="Arial"/>
          <w:sz w:val="14"/>
          <w:szCs w:val="14"/>
          <w:color w:val="auto"/>
        </w:rPr>
        <w:t>®</w:t>
      </w:r>
      <w:r>
        <w:rPr>
          <w:rFonts w:ascii="Arial" w:cs="Arial" w:eastAsia="Arial" w:hAnsi="Arial"/>
          <w:sz w:val="17"/>
          <w:szCs w:val="17"/>
          <w:color w:val="auto"/>
        </w:rPr>
        <w:t>, both of which offer insect protection traits. In 2018, we also launched Enlist</w:t>
      </w:r>
      <w:r>
        <w:rPr>
          <w:rFonts w:ascii="Arial" w:cs="Arial" w:eastAsia="Arial" w:hAnsi="Arial"/>
          <w:sz w:val="14"/>
          <w:szCs w:val="14"/>
          <w:color w:val="auto"/>
        </w:rPr>
        <w:t>™</w:t>
      </w:r>
      <w:r>
        <w:rPr>
          <w:rFonts w:ascii="Arial" w:cs="Arial" w:eastAsia="Arial" w:hAnsi="Arial"/>
          <w:sz w:val="17"/>
          <w:szCs w:val="17"/>
          <w:color w:val="auto"/>
        </w:rPr>
        <w:t xml:space="preserve"> corn, building on earlier Enlist</w:t>
      </w:r>
      <w:r>
        <w:rPr>
          <w:rFonts w:ascii="Arial" w:cs="Arial" w:eastAsia="Arial" w:hAnsi="Arial"/>
          <w:sz w:val="14"/>
          <w:szCs w:val="14"/>
          <w:color w:val="auto"/>
        </w:rPr>
        <w:t>™</w:t>
      </w:r>
      <w:r>
        <w:rPr>
          <w:rFonts w:ascii="Arial" w:cs="Arial" w:eastAsia="Arial" w:hAnsi="Arial"/>
          <w:sz w:val="17"/>
          <w:szCs w:val="17"/>
          <w:color w:val="auto"/>
        </w:rPr>
        <w:t xml:space="preserve"> cotton launches. Additionally, in first quarter 2019 we received Chinese regulatory approval for Enlist E3</w:t>
      </w:r>
      <w:r>
        <w:rPr>
          <w:rFonts w:ascii="Arial" w:cs="Arial" w:eastAsia="Arial" w:hAnsi="Arial"/>
          <w:sz w:val="14"/>
          <w:szCs w:val="14"/>
          <w:color w:val="auto"/>
        </w:rPr>
        <w:t>TM</w:t>
      </w:r>
      <w:r>
        <w:rPr>
          <w:rFonts w:ascii="Arial" w:cs="Arial" w:eastAsia="Arial" w:hAnsi="Arial"/>
          <w:sz w:val="17"/>
          <w:szCs w:val="17"/>
          <w:color w:val="auto"/>
        </w:rPr>
        <w:t xml:space="preserve"> soybeans and plan to launch commercial sales later this year. Within the crop protection segment, we expect to introduce new disease management technologies in cereals, row crops and specialty crops, while maintaining a continued focus on natural product sourced solutions. The new Pyraxalt</w:t>
      </w:r>
      <w:r>
        <w:rPr>
          <w:rFonts w:ascii="Arial" w:cs="Arial" w:eastAsia="Arial" w:hAnsi="Arial"/>
          <w:sz w:val="14"/>
          <w:szCs w:val="14"/>
          <w:color w:val="auto"/>
        </w:rPr>
        <w:t>TM</w:t>
      </w:r>
      <w:r>
        <w:rPr>
          <w:rFonts w:ascii="Arial" w:cs="Arial" w:eastAsia="Arial" w:hAnsi="Arial"/>
          <w:sz w:val="17"/>
          <w:szCs w:val="17"/>
          <w:color w:val="auto"/>
        </w:rPr>
        <w:t xml:space="preserve"> insecticide, for example, offers protection against piercing insects for key rice crops in Asia. We expect our combined pipeline to deliver novel solutions, with different and new modes of action, bringing groundbreaking and needed innovations to market faster through an enhanced product development process. Through the strength of this pipeline, we also expect to realize growth synergies at the intersection of seed and crop protection, leveraging our combined proprietary portfolio and expanding our seed applied technology across our multiple seed brands.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Utilize our multi-channel and multi-brand capabilities to drive profitable growth</w:t>
      </w:r>
    </w:p>
    <w:p>
      <w:pPr>
        <w:spacing w:after="0" w:line="117"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The combination of DuPont Pioneer, Dow AgroSciences and DuPont Crop Protection allows us to strategically align our brands and capabilities across different sales channels and create a comprehensive multi-channel, multi-brand strategy. We intend to leverage the market strengths of each of our heritage companies, including their operations and sales and marketing capabilities, to broaden our geographic reach and market penetration by offering a wider range of complementary offerings. Our seed distribution model will service customers primarily through the legacy Pioneer direct sales channel in key agricultural geographies, including the United States. Through this agency model, we interact directly with farmers at multiple points in the growing season, from prior to planting all the way through harvest. These regular interactions enable us to provide the advice and service farmers need while giving us real-time insights into their future ordering decisions. This approach is supplemented by strong DuPont Crop Protection and Dow AgroSciences retail channels including distributors, agricultural cooperatives and dealers which supply both seed and crop protection products. The indirect channels extend our reach and efficiently increase exposure of our products to other potential buyers, including smaller farmers or farmers in less concentrated areas. We believe this strategy will make our seed more widely available in retail channels, providing for cross platform growth in both our seed and crop protection platforms. This enhanced approach allows us to have a complete go-to-market strategy covering the direct, dealer and retail chains. As a result, we can offer a complete solution for the farmer, with a localized approach. Moving forward under this approach, the Pioneer</w:t>
      </w:r>
      <w:r>
        <w:rPr>
          <w:rFonts w:ascii="Arial" w:cs="Arial" w:eastAsia="Arial" w:hAnsi="Arial"/>
          <w:sz w:val="13"/>
          <w:szCs w:val="13"/>
          <w:color w:val="auto"/>
        </w:rPr>
        <w:t>®</w:t>
      </w:r>
      <w:r>
        <w:rPr>
          <w:rFonts w:ascii="Arial" w:cs="Arial" w:eastAsia="Arial" w:hAnsi="Arial"/>
          <w:sz w:val="16"/>
          <w:szCs w:val="16"/>
          <w:color w:val="auto"/>
        </w:rPr>
        <w:t xml:space="preserve"> brand, one of our premium global seed brands, will continue to be primarily delivered through our unique, direct route-to-market channel. Brevant</w:t>
      </w:r>
      <w:r>
        <w:rPr>
          <w:rFonts w:ascii="Arial" w:cs="Arial" w:eastAsia="Arial" w:hAnsi="Arial"/>
          <w:sz w:val="13"/>
          <w:szCs w:val="13"/>
          <w:color w:val="auto"/>
        </w:rPr>
        <w:t>TM</w:t>
      </w:r>
      <w:r>
        <w:rPr>
          <w:rFonts w:ascii="Arial" w:cs="Arial" w:eastAsia="Arial" w:hAnsi="Arial"/>
          <w:sz w:val="16"/>
          <w:szCs w:val="16"/>
          <w:color w:val="auto"/>
        </w:rPr>
        <w:t xml:space="preserve"> seeds, also a premium global brand, will primarily serve retail channels outside of the United States. In addition to these two premium global seed brands, we will continue to offer quality country- and region-specific seed brands that complete one of the broadest, most diverse seed portfolios in the world.</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Continue to develop and maintain close connections with our customers</w:t>
      </w:r>
    </w:p>
    <w:p>
      <w:pPr>
        <w:spacing w:after="0" w:line="11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work closely with farmers throughout the entire growing season to ensure all their seed and crop protection needs are anticipated and satisfied. We listen to the customer to understand not only what they want today, but more importantly, what they will need tomorrow and well into the future. This collaboration helps inform our seed and crop protection innovation decisions and focus by allowing us to better understand the value drivers for farmers. We are committed to rigorous ongoing sales training, territory planning and management systems that enable our people to match solutions to specific geographic regions to continue to demonstrate our commitment to our customers.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60"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Focus on operational excellence</w:t>
      </w:r>
    </w:p>
    <w:p>
      <w:pPr>
        <w:spacing w:after="0" w:line="117" w:lineRule="exact"/>
        <w:rPr>
          <w:sz w:val="20"/>
          <w:szCs w:val="20"/>
          <w:color w:val="auto"/>
        </w:rPr>
      </w:pPr>
    </w:p>
    <w:p>
      <w:pPr>
        <w:ind w:left="200" w:right="160"/>
        <w:spacing w:after="0" w:line="270" w:lineRule="auto"/>
        <w:rPr>
          <w:sz w:val="20"/>
          <w:szCs w:val="20"/>
          <w:color w:val="auto"/>
        </w:rPr>
      </w:pPr>
      <w:r>
        <w:rPr>
          <w:rFonts w:ascii="Arial" w:cs="Arial" w:eastAsia="Arial" w:hAnsi="Arial"/>
          <w:sz w:val="17"/>
          <w:szCs w:val="17"/>
          <w:color w:val="auto"/>
        </w:rPr>
        <w:t>Creating a strong agriculture company with a best-in-class cost structure requires that we respond to market factors and execute complementary cost reduction programs, including integrating our operations and continuing to drive operating efficiencies, enabling a streamlined, efficient and focused organization and creating a strong culture based on continued productivity. We expect to benefit from significant cost synergies through the Synergy Program adopted by DowDuPont, including through production cost efficiencies, enhancement of the agricultural supply chain, elimination of duplicative agricultural research and development programs, optimization of our global footprint across manufacturing, sales and research and development, the realization of significant procurement synergies and the reduction of corporate and leveraged services costs. Many of the targeted projects for Corteva under the Synergy Program are in progress. These projects include efforts such as footprint consolidation, negotiating sourcing savings, and optimizing integration savings as the agriculture businesses are brought together. Following our separation, we intend to migrate toward a single instance of the SAP enterprise resource planning software, which we believe will enhance our productivity and serve as the springboard to continuous improvement in our cost structure over time.</w:t>
      </w:r>
    </w:p>
    <w:p>
      <w:pPr>
        <w:spacing w:after="0" w:line="17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Beyond the cost synergies, we are taking actions to capitalize on growth synergy opportunities, estimated at $500 million in the aggregate, created by the union of our heritage companies. We are capitalizing on market access by delivering holistic solutions for farmers via the combination of seeds, crop protection and services, including by expanding our offerings in categories and regions where we are currently underpenetrated. We also intend to enhance our portfolio via portfolio combinations, crop protection mixtures and seed treatment enhancements from a larger proprietary portfolio.</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Commitment to sustainable and responsible agriculture</w:t>
      </w:r>
    </w:p>
    <w:p>
      <w:pPr>
        <w:spacing w:after="0" w:line="11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We are committed to remaining a leader in responsible agriculture, environmental stewardship, food safety and security. By focusing on integrating sustainability criteria early in the product discovery and development phases, we promote the development of responsible solutions focused on reducing the environmental impact of agriculture over time. For example, our nitrogen management solutions allow nitrogen to be available longer at the plant’s root zone, permitting farmers to use less of the product and reducing runoff, thereby reducing the product’s environmental impact while improving the profitability of farmers. Our seed segment’s digital solutions provide information that enables farmers to operate more efficiently and more sustainably by leveraging actionable operational and agronomic insights.</w:t>
      </w:r>
    </w:p>
    <w:p>
      <w:pPr>
        <w:spacing w:after="0" w:line="193"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We also are bringing naturally-sourced products to the market. We recently received approval of the active substance, INATREQ</w:t>
      </w:r>
      <w:r>
        <w:rPr>
          <w:rFonts w:ascii="Arial" w:cs="Arial" w:eastAsia="Arial" w:hAnsi="Arial"/>
          <w:sz w:val="13"/>
          <w:szCs w:val="13"/>
          <w:color w:val="auto"/>
        </w:rPr>
        <w:t>TM</w:t>
      </w:r>
      <w:r>
        <w:rPr>
          <w:rFonts w:ascii="Arial" w:cs="Arial" w:eastAsia="Arial" w:hAnsi="Arial"/>
          <w:sz w:val="16"/>
          <w:szCs w:val="16"/>
          <w:color w:val="auto"/>
        </w:rPr>
        <w:t>, for use in the European Union. This innovative product offers a new mode of action to control septoria, a disease that has been reducing wheat yields in many parts of Europe. INATREQ</w:t>
      </w:r>
      <w:r>
        <w:rPr>
          <w:rFonts w:ascii="Arial" w:cs="Arial" w:eastAsia="Arial" w:hAnsi="Arial"/>
          <w:sz w:val="13"/>
          <w:szCs w:val="13"/>
          <w:color w:val="auto"/>
        </w:rPr>
        <w:t>TM</w:t>
      </w:r>
      <w:r>
        <w:rPr>
          <w:rFonts w:ascii="Arial" w:cs="Arial" w:eastAsia="Arial" w:hAnsi="Arial"/>
          <w:sz w:val="16"/>
          <w:szCs w:val="16"/>
          <w:color w:val="auto"/>
        </w:rPr>
        <w:t xml:space="preserve"> is produced by fermentation and is derived from natural sources, which we believe will appeal to many farmers in this market.</w:t>
      </w:r>
    </w:p>
    <w:p>
      <w:pPr>
        <w:spacing w:after="0" w:line="147"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We intend to introduce environmentally sustainable solutions that not only satisfy our customer’s needs but also contribute to creating a world with a better future. We will continue to work alongside producers to connect the dots across the value chain and deliver targeted products and services designed to enable increased productivity while maintaining our commitment to responsible stewardship, food safety and security. We also intend to integrate sustainability in our everyday procedures.</w:t>
      </w:r>
    </w:p>
    <w:p>
      <w:pPr>
        <w:spacing w:after="0" w:line="18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We have been recognized with six EPA Presidential Green Chemistry Awards. These are prestigious annual awards that recognize chemical technologies that incorporate the principle of green chemistry into chemical design, manufacture and use. Our commitment to sustainable and responsible agriculture and our diverse set of products has positioned us as an industry leader in certain markets, such as Europe, with stringent environmental and food safety regulations.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60"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Portfolio</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operate in two reportable segments: seed and crop protection.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Our Seed Segment</w:t>
      </w:r>
    </w:p>
    <w:p>
      <w:pPr>
        <w:spacing w:after="0" w:line="131" w:lineRule="exact"/>
        <w:rPr>
          <w:sz w:val="20"/>
          <w:szCs w:val="20"/>
          <w:color w:val="auto"/>
        </w:rPr>
      </w:pPr>
    </w:p>
    <w:p>
      <w:pPr>
        <w:ind w:left="1060" w:hanging="424"/>
        <w:spacing w:after="0"/>
        <w:tabs>
          <w:tab w:leader="none" w:pos="106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Our seed segment currently provides solutions in over 70 countries. The combination of digital technology and DuPont Pioneer’s and Dow AgroSciences’ complementary portfolios allows us to offer farmers solutions in several key crops, including corn, soybean, sunflowers and wheat, and complementary crops such as alfalfa, canola, cotton, rice and sorghum, as well as silage inoculants. Our seed segment also offers digital solutions that provide farmers access to real-time information enabled through technology. In 2018, our seed segment generated, on a pro forma basis, $7.8 billion of net sales and $1.1 billion of Segment Operating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146050</wp:posOffset>
            </wp:positionV>
            <wp:extent cx="5145405" cy="22294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514540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60" w:hanging="424"/>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Products and Brands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seed segment’s major brands and technologies, by key product line, are listed below:</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Brands and Technologies</w:t>
      </w:r>
    </w:p>
    <w:tbl>
      <w:tblPr>
        <w:tblLayout w:type="fixed"/>
        <w:tblInd w:w="200" w:type="dxa"/>
        <w:tblCellMar>
          <w:top w:w="0" w:type="dxa"/>
          <w:left w:w="0" w:type="dxa"/>
          <w:bottom w:w="0" w:type="dxa"/>
          <w:right w:w="0" w:type="dxa"/>
        </w:tblCellMar>
      </w:tblPr>
      <w:tr>
        <w:trPr>
          <w:trHeight w:val="29"/>
        </w:trPr>
        <w:tc>
          <w:tcPr>
            <w:tcW w:w="1340" w:type="dxa"/>
            <w:vAlign w:val="bottom"/>
          </w:tcPr>
          <w:p>
            <w:pPr>
              <w:spacing w:after="0" w:line="29" w:lineRule="exact"/>
              <w:rPr>
                <w:sz w:val="20"/>
                <w:szCs w:val="20"/>
                <w:color w:val="auto"/>
              </w:rPr>
            </w:pPr>
            <w:r>
              <w:rPr>
                <w:rFonts w:ascii="Arial" w:cs="Arial" w:eastAsia="Arial" w:hAnsi="Arial"/>
                <w:sz w:val="3"/>
                <w:szCs w:val="3"/>
                <w:color w:val="auto"/>
              </w:rPr>
              <w:t>Seed Solutions</w:t>
            </w:r>
          </w:p>
        </w:tc>
        <w:tc>
          <w:tcPr>
            <w:tcW w:w="6660" w:type="dxa"/>
            <w:vAlign w:val="bottom"/>
            <w:gridSpan w:val="14"/>
          </w:tcPr>
          <w:p>
            <w:pPr>
              <w:ind w:left="320"/>
              <w:spacing w:after="0" w:line="29" w:lineRule="exact"/>
              <w:rPr>
                <w:sz w:val="20"/>
                <w:szCs w:val="20"/>
                <w:color w:val="auto"/>
              </w:rPr>
            </w:pPr>
            <w:r>
              <w:rPr>
                <w:rFonts w:ascii="Arial" w:cs="Arial" w:eastAsia="Arial" w:hAnsi="Arial"/>
                <w:sz w:val="3"/>
                <w:szCs w:val="3"/>
                <w:color w:val="auto"/>
              </w:rPr>
              <w:t>Pioneer  ; Brevant™; DAIRYLAND SEED  ; MYCOGEN  ; HOEGEMEYER  ; NUTECH</w:t>
            </w:r>
          </w:p>
        </w:tc>
        <w:tc>
          <w:tcPr>
            <w:tcW w:w="1880" w:type="dxa"/>
            <w:vAlign w:val="bottom"/>
            <w:gridSpan w:val="6"/>
          </w:tcPr>
          <w:p>
            <w:pPr>
              <w:ind w:left="100"/>
              <w:spacing w:after="0" w:line="29" w:lineRule="exact"/>
              <w:rPr>
                <w:sz w:val="20"/>
                <w:szCs w:val="20"/>
                <w:color w:val="auto"/>
              </w:rPr>
            </w:pPr>
            <w:r>
              <w:rPr>
                <w:rFonts w:ascii="Arial" w:cs="Arial" w:eastAsia="Arial" w:hAnsi="Arial"/>
                <w:sz w:val="3"/>
                <w:szCs w:val="3"/>
                <w:color w:val="auto"/>
              </w:rPr>
              <w:t>; SEED CONSULTANTS</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35"/>
              <w:spacing w:after="0" w:line="29" w:lineRule="exact"/>
              <w:rPr>
                <w:sz w:val="20"/>
                <w:szCs w:val="20"/>
                <w:color w:val="auto"/>
              </w:rPr>
            </w:pPr>
            <w:r>
              <w:rPr>
                <w:rFonts w:ascii="Arial" w:cs="Arial" w:eastAsia="Arial" w:hAnsi="Arial"/>
                <w:sz w:val="3"/>
                <w:szCs w:val="3"/>
                <w:color w:val="auto"/>
              </w:rPr>
              <w:t>; TERRAL</w:t>
            </w:r>
          </w:p>
        </w:tc>
        <w:tc>
          <w:tcPr>
            <w:tcW w:w="0" w:type="dxa"/>
            <w:vAlign w:val="bottom"/>
          </w:tcPr>
          <w:p>
            <w:pPr>
              <w:spacing w:after="0" w:line="20" w:lineRule="exact"/>
              <w:rPr>
                <w:sz w:val="1"/>
                <w:szCs w:val="1"/>
                <w:color w:val="auto"/>
              </w:rPr>
            </w:pPr>
          </w:p>
        </w:tc>
      </w:tr>
      <w:tr>
        <w:trPr>
          <w:trHeight w:val="179"/>
        </w:trPr>
        <w:tc>
          <w:tcPr>
            <w:tcW w:w="1340" w:type="dxa"/>
            <w:vAlign w:val="bottom"/>
            <w:vMerge w:val="restart"/>
          </w:tcPr>
          <w:p>
            <w:pPr>
              <w:spacing w:after="0"/>
              <w:rPr>
                <w:sz w:val="20"/>
                <w:szCs w:val="20"/>
                <w:color w:val="auto"/>
              </w:rPr>
            </w:pPr>
            <w:r>
              <w:rPr>
                <w:rFonts w:ascii="Arial" w:cs="Arial" w:eastAsia="Arial" w:hAnsi="Arial"/>
                <w:sz w:val="17"/>
                <w:szCs w:val="17"/>
                <w:color w:val="auto"/>
              </w:rPr>
              <w:t>Brands</w:t>
            </w:r>
          </w:p>
        </w:tc>
        <w:tc>
          <w:tcPr>
            <w:tcW w:w="1260" w:type="dxa"/>
            <w:vAlign w:val="bottom"/>
          </w:tcPr>
          <w:p>
            <w:pPr>
              <w:ind w:left="8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5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340" w:type="dxa"/>
            <w:vAlign w:val="bottom"/>
            <w:vMerge w:val="continue"/>
          </w:tcPr>
          <w:p>
            <w:pPr>
              <w:spacing w:after="0"/>
              <w:rPr>
                <w:sz w:val="2"/>
                <w:szCs w:val="2"/>
                <w:color w:val="auto"/>
              </w:rPr>
            </w:pPr>
          </w:p>
        </w:tc>
        <w:tc>
          <w:tcPr>
            <w:tcW w:w="9620" w:type="dxa"/>
            <w:vAlign w:val="bottom"/>
            <w:gridSpan w:val="24"/>
          </w:tcPr>
          <w:p>
            <w:pPr>
              <w:ind w:left="320"/>
              <w:spacing w:after="0"/>
              <w:rPr>
                <w:sz w:val="20"/>
                <w:szCs w:val="20"/>
                <w:color w:val="auto"/>
              </w:rPr>
            </w:pPr>
            <w:r>
              <w:rPr>
                <w:rFonts w:ascii="Arial" w:cs="Arial" w:eastAsia="Arial" w:hAnsi="Arial"/>
                <w:sz w:val="2"/>
                <w:szCs w:val="2"/>
                <w:color w:val="auto"/>
              </w:rPr>
              <w:t>SEED  ; AGVENTURE  ; ALFOREX  ; PHYTOGEN  ; PANNAR  ; VP MAXX  ; RPM  ; HPT  ; G2  ; SUPREME EX  ; XL  ;</w:t>
            </w:r>
          </w:p>
        </w:tc>
        <w:tc>
          <w:tcPr>
            <w:tcW w:w="0" w:type="dxa"/>
            <w:vAlign w:val="bottom"/>
          </w:tcPr>
          <w:p>
            <w:pPr>
              <w:spacing w:after="0" w:line="20" w:lineRule="exact"/>
              <w:rPr>
                <w:sz w:val="1"/>
                <w:szCs w:val="1"/>
                <w:color w:val="auto"/>
              </w:rPr>
            </w:pPr>
          </w:p>
        </w:tc>
      </w:tr>
      <w:tr>
        <w:trPr>
          <w:trHeight w:val="179"/>
        </w:trPr>
        <w:tc>
          <w:tcPr>
            <w:tcW w:w="1340" w:type="dxa"/>
            <w:vAlign w:val="bottom"/>
          </w:tcPr>
          <w:p>
            <w:pPr>
              <w:spacing w:after="0"/>
              <w:rPr>
                <w:sz w:val="15"/>
                <w:szCs w:val="15"/>
                <w:color w:val="auto"/>
              </w:rPr>
            </w:pPr>
          </w:p>
        </w:tc>
        <w:tc>
          <w:tcPr>
            <w:tcW w:w="1260" w:type="dxa"/>
            <w:vAlign w:val="bottom"/>
          </w:tcPr>
          <w:p>
            <w:pPr>
              <w:ind w:left="7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48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ind w:right="49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34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880" w:type="dxa"/>
            <w:vAlign w:val="bottom"/>
            <w:gridSpan w:val="6"/>
          </w:tcPr>
          <w:p>
            <w:pPr>
              <w:jc w:val="right"/>
              <w:ind w:right="88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80" w:type="dxa"/>
            <w:vAlign w:val="bottom"/>
            <w:gridSpan w:val="3"/>
          </w:tcPr>
          <w:p>
            <w:pPr>
              <w:jc w:val="right"/>
              <w:ind w:right="27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1340" w:type="dxa"/>
            <w:vAlign w:val="bottom"/>
            <w:vMerge w:val="restart"/>
          </w:tcPr>
          <w:p>
            <w:pPr>
              <w:spacing w:after="0"/>
              <w:rPr>
                <w:sz w:val="20"/>
                <w:szCs w:val="20"/>
                <w:color w:val="auto"/>
              </w:rPr>
            </w:pPr>
            <w:r>
              <w:rPr>
                <w:rFonts w:ascii="Arial" w:cs="Arial" w:eastAsia="Arial" w:hAnsi="Arial"/>
                <w:sz w:val="17"/>
                <w:szCs w:val="17"/>
                <w:color w:val="auto"/>
              </w:rPr>
              <w:t>Seed Solutions</w:t>
            </w:r>
          </w:p>
        </w:tc>
        <w:tc>
          <w:tcPr>
            <w:tcW w:w="1860" w:type="dxa"/>
            <w:vAlign w:val="bottom"/>
            <w:gridSpan w:val="3"/>
          </w:tcPr>
          <w:p>
            <w:pPr>
              <w:ind w:left="320"/>
              <w:spacing w:after="0"/>
              <w:rPr>
                <w:sz w:val="20"/>
                <w:szCs w:val="20"/>
                <w:color w:val="auto"/>
              </w:rPr>
            </w:pPr>
            <w:r>
              <w:rPr>
                <w:rFonts w:ascii="Arial" w:cs="Arial" w:eastAsia="Arial" w:hAnsi="Arial"/>
                <w:sz w:val="17"/>
                <w:szCs w:val="17"/>
                <w:color w:val="auto"/>
              </w:rPr>
              <w:t>POWER PLUS</w:t>
            </w: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5"/>
            <w:vMerge w:val="restart"/>
          </w:tcPr>
          <w:p>
            <w:pPr>
              <w:ind w:left="20"/>
              <w:spacing w:after="0"/>
              <w:rPr>
                <w:sz w:val="20"/>
                <w:szCs w:val="20"/>
                <w:color w:val="auto"/>
              </w:rPr>
            </w:pPr>
            <w:r>
              <w:rPr>
                <w:rFonts w:ascii="Arial" w:cs="Arial" w:eastAsia="Arial" w:hAnsi="Arial"/>
                <w:sz w:val="17"/>
                <w:szCs w:val="17"/>
                <w:color w:val="auto"/>
                <w:w w:val="89"/>
              </w:rPr>
              <w:t>Insect Protection; Pioneer</w:t>
            </w:r>
          </w:p>
        </w:tc>
        <w:tc>
          <w:tcPr>
            <w:tcW w:w="14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w w:val="87"/>
              </w:rPr>
              <w:t>brand</w:t>
            </w:r>
          </w:p>
        </w:tc>
        <w:tc>
          <w:tcPr>
            <w:tcW w:w="0" w:type="dxa"/>
            <w:vAlign w:val="bottom"/>
          </w:tcPr>
          <w:p>
            <w:pPr>
              <w:spacing w:after="0"/>
              <w:rPr>
                <w:sz w:val="1"/>
                <w:szCs w:val="1"/>
                <w:color w:val="auto"/>
              </w:rPr>
            </w:pPr>
          </w:p>
        </w:tc>
      </w:tr>
      <w:tr>
        <w:trPr>
          <w:trHeight w:val="118"/>
        </w:trPr>
        <w:tc>
          <w:tcPr>
            <w:tcW w:w="1340" w:type="dxa"/>
            <w:vAlign w:val="bottom"/>
            <w:vMerge w:val="continue"/>
          </w:tcPr>
          <w:p>
            <w:pPr>
              <w:spacing w:after="0"/>
              <w:rPr>
                <w:sz w:val="10"/>
                <w:szCs w:val="10"/>
                <w:color w:val="auto"/>
              </w:rPr>
            </w:pPr>
          </w:p>
        </w:tc>
        <w:tc>
          <w:tcPr>
            <w:tcW w:w="7220" w:type="dxa"/>
            <w:vAlign w:val="bottom"/>
            <w:gridSpan w:val="16"/>
          </w:tcPr>
          <w:p>
            <w:pPr>
              <w:ind w:left="320"/>
              <w:spacing w:after="0" w:line="118" w:lineRule="exact"/>
              <w:rPr>
                <w:sz w:val="20"/>
                <w:szCs w:val="20"/>
                <w:color w:val="auto"/>
              </w:rPr>
            </w:pPr>
            <w:r>
              <w:rPr>
                <w:rFonts w:ascii="Arial" w:cs="Arial" w:eastAsia="Arial" w:hAnsi="Arial"/>
                <w:sz w:val="13"/>
                <w:szCs w:val="13"/>
                <w:color w:val="auto"/>
              </w:rPr>
              <w:t>Enlist™ weed control; ENLIST DUO  herbicide; EXZACT™ Precision Technology; HERCULEX</w:t>
            </w:r>
          </w:p>
        </w:tc>
        <w:tc>
          <w:tcPr>
            <w:tcW w:w="8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0"/>
              </w:rPr>
              <w:t>®</w:t>
            </w: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340" w:type="dxa"/>
            <w:vAlign w:val="bottom"/>
            <w:vMerge w:val="restart"/>
          </w:tcPr>
          <w:p>
            <w:pPr>
              <w:spacing w:after="0"/>
              <w:rPr>
                <w:sz w:val="20"/>
                <w:szCs w:val="20"/>
                <w:color w:val="auto"/>
              </w:rPr>
            </w:pPr>
            <w:r>
              <w:rPr>
                <w:rFonts w:ascii="Arial" w:cs="Arial" w:eastAsia="Arial" w:hAnsi="Arial"/>
                <w:sz w:val="17"/>
                <w:szCs w:val="17"/>
                <w:color w:val="auto"/>
              </w:rPr>
              <w:t>Traits and</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57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340" w:type="dxa"/>
            <w:vAlign w:val="bottom"/>
            <w:vMerge w:val="continue"/>
          </w:tcPr>
          <w:p>
            <w:pPr>
              <w:spacing w:after="0"/>
              <w:rPr>
                <w:sz w:val="2"/>
                <w:szCs w:val="2"/>
                <w:color w:val="auto"/>
              </w:rPr>
            </w:pPr>
          </w:p>
        </w:tc>
        <w:tc>
          <w:tcPr>
            <w:tcW w:w="9080" w:type="dxa"/>
            <w:vAlign w:val="bottom"/>
            <w:gridSpan w:val="22"/>
          </w:tcPr>
          <w:p>
            <w:pPr>
              <w:ind w:left="320"/>
              <w:spacing w:after="0"/>
              <w:rPr>
                <w:sz w:val="20"/>
                <w:szCs w:val="20"/>
                <w:color w:val="auto"/>
              </w:rPr>
            </w:pPr>
            <w:r>
              <w:rPr>
                <w:rFonts w:ascii="Arial" w:cs="Arial" w:eastAsia="Arial" w:hAnsi="Arial"/>
                <w:sz w:val="2"/>
                <w:szCs w:val="2"/>
                <w:color w:val="auto"/>
              </w:rPr>
              <w:t>hybrids with Leptra  insect protection technology offering protection against above ground pests; POWERCORE  Insect Trait</w:t>
            </w: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vMerge w:val="restart"/>
          </w:tcPr>
          <w:p>
            <w:pPr>
              <w:spacing w:after="0"/>
              <w:rPr>
                <w:sz w:val="20"/>
                <w:szCs w:val="20"/>
                <w:color w:val="auto"/>
              </w:rPr>
            </w:pPr>
            <w:r>
              <w:rPr>
                <w:rFonts w:ascii="Arial" w:cs="Arial" w:eastAsia="Arial" w:hAnsi="Arial"/>
                <w:sz w:val="17"/>
                <w:szCs w:val="17"/>
                <w:color w:val="auto"/>
              </w:rPr>
              <w:t>Technologies</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ind w:right="38"/>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340" w:type="dxa"/>
            <w:vAlign w:val="bottom"/>
            <w:vMerge w:val="continue"/>
          </w:tcPr>
          <w:p>
            <w:pPr>
              <w:spacing w:after="0"/>
              <w:rPr>
                <w:sz w:val="2"/>
                <w:szCs w:val="2"/>
                <w:color w:val="auto"/>
              </w:rPr>
            </w:pPr>
          </w:p>
        </w:tc>
        <w:tc>
          <w:tcPr>
            <w:tcW w:w="3800" w:type="dxa"/>
            <w:vAlign w:val="bottom"/>
            <w:gridSpan w:val="7"/>
          </w:tcPr>
          <w:p>
            <w:pPr>
              <w:ind w:left="320"/>
              <w:spacing w:after="0"/>
              <w:rPr>
                <w:sz w:val="20"/>
                <w:szCs w:val="20"/>
                <w:color w:val="auto"/>
              </w:rPr>
            </w:pPr>
            <w:r>
              <w:rPr>
                <w:rFonts w:ascii="Arial" w:cs="Arial" w:eastAsia="Arial" w:hAnsi="Arial"/>
                <w:sz w:val="2"/>
                <w:szCs w:val="2"/>
                <w:color w:val="auto"/>
              </w:rPr>
              <w:t>Technology 1; Pioneer brand Optimum  AcreMax</w:t>
            </w:r>
          </w:p>
        </w:tc>
        <w:tc>
          <w:tcPr>
            <w:tcW w:w="120" w:type="dxa"/>
            <w:vAlign w:val="bottom"/>
            <w:vMerge w:val="restart"/>
          </w:tcPr>
          <w:p>
            <w:pPr>
              <w:spacing w:after="0"/>
              <w:rPr>
                <w:sz w:val="20"/>
                <w:szCs w:val="20"/>
                <w:color w:val="auto"/>
              </w:rPr>
            </w:pPr>
            <w:r>
              <w:rPr>
                <w:rFonts w:ascii="Arial" w:cs="Arial" w:eastAsia="Arial" w:hAnsi="Arial"/>
                <w:sz w:val="15"/>
                <w:szCs w:val="15"/>
                <w:color w:val="auto"/>
                <w:w w:val="90"/>
              </w:rPr>
              <w:t>®</w:t>
            </w:r>
          </w:p>
        </w:tc>
        <w:tc>
          <w:tcPr>
            <w:tcW w:w="5700" w:type="dxa"/>
            <w:vAlign w:val="bottom"/>
            <w:gridSpan w:val="16"/>
          </w:tcPr>
          <w:p>
            <w:pPr>
              <w:jc w:val="center"/>
              <w:ind w:right="35"/>
              <w:spacing w:after="0"/>
              <w:rPr>
                <w:sz w:val="20"/>
                <w:szCs w:val="20"/>
                <w:color w:val="auto"/>
              </w:rPr>
            </w:pPr>
            <w:r>
              <w:rPr>
                <w:rFonts w:ascii="Arial" w:cs="Arial" w:eastAsia="Arial" w:hAnsi="Arial"/>
                <w:sz w:val="2"/>
                <w:szCs w:val="2"/>
                <w:color w:val="auto"/>
              </w:rPr>
              <w:t>family of products offering above and below ground insect protection; REFUGE</w:t>
            </w:r>
          </w:p>
        </w:tc>
        <w:tc>
          <w:tcPr>
            <w:tcW w:w="0" w:type="dxa"/>
            <w:vAlign w:val="bottom"/>
          </w:tcPr>
          <w:p>
            <w:pPr>
              <w:spacing w:after="0" w:line="20" w:lineRule="exact"/>
              <w:rPr>
                <w:sz w:val="1"/>
                <w:szCs w:val="1"/>
                <w:color w:val="auto"/>
              </w:rPr>
            </w:pPr>
          </w:p>
        </w:tc>
      </w:tr>
      <w:tr>
        <w:trPr>
          <w:trHeight w:val="179"/>
        </w:trPr>
        <w:tc>
          <w:tcPr>
            <w:tcW w:w="1340" w:type="dxa"/>
            <w:vAlign w:val="bottom"/>
          </w:tcPr>
          <w:p>
            <w:pPr>
              <w:spacing w:after="0"/>
              <w:rPr>
                <w:sz w:val="15"/>
                <w:szCs w:val="15"/>
                <w:color w:val="auto"/>
              </w:rPr>
            </w:pPr>
          </w:p>
        </w:tc>
        <w:tc>
          <w:tcPr>
            <w:tcW w:w="1260" w:type="dxa"/>
            <w:vAlign w:val="bottom"/>
            <w:vMerge w:val="restart"/>
          </w:tcPr>
          <w:p>
            <w:pPr>
              <w:ind w:left="320"/>
              <w:spacing w:after="0"/>
              <w:rPr>
                <w:sz w:val="20"/>
                <w:szCs w:val="20"/>
                <w:color w:val="auto"/>
              </w:rPr>
            </w:pPr>
            <w:r>
              <w:rPr>
                <w:rFonts w:ascii="Arial" w:cs="Arial" w:eastAsia="Arial" w:hAnsi="Arial"/>
                <w:sz w:val="17"/>
                <w:szCs w:val="17"/>
                <w:color w:val="auto"/>
                <w:w w:val="97"/>
              </w:rPr>
              <w:t>ADVANCED</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47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7"/>
            <w:vMerge w:val="restart"/>
          </w:tcPr>
          <w:p>
            <w:pPr>
              <w:jc w:val="center"/>
              <w:spacing w:after="0"/>
              <w:rPr>
                <w:sz w:val="20"/>
                <w:szCs w:val="20"/>
                <w:color w:val="auto"/>
              </w:rPr>
            </w:pPr>
            <w:r>
              <w:rPr>
                <w:rFonts w:ascii="Arial" w:cs="Arial" w:eastAsia="Arial" w:hAnsi="Arial"/>
                <w:sz w:val="17"/>
                <w:szCs w:val="17"/>
                <w:color w:val="auto"/>
                <w:w w:val="93"/>
              </w:rPr>
              <w:t>Insect Trait Technology 1; NEXERA</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5"/>
            <w:vMerge w:val="restart"/>
          </w:tcPr>
          <w:p>
            <w:pPr>
              <w:jc w:val="right"/>
              <w:ind w:right="15"/>
              <w:spacing w:after="0"/>
              <w:rPr>
                <w:sz w:val="20"/>
                <w:szCs w:val="20"/>
                <w:color w:val="auto"/>
              </w:rPr>
            </w:pPr>
            <w:r>
              <w:rPr>
                <w:rFonts w:ascii="Arial" w:cs="Arial" w:eastAsia="Arial" w:hAnsi="Arial"/>
                <w:sz w:val="17"/>
                <w:szCs w:val="17"/>
                <w:color w:val="auto"/>
                <w:w w:val="88"/>
              </w:rPr>
              <w:t>seed offering increased canola</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0"/>
              </w:rPr>
              <w:t>®</w:t>
            </w:r>
          </w:p>
        </w:tc>
        <w:tc>
          <w:tcPr>
            <w:tcW w:w="3200" w:type="dxa"/>
            <w:vAlign w:val="bottom"/>
            <w:gridSpan w:val="7"/>
          </w:tcPr>
          <w:p>
            <w:pPr>
              <w:jc w:val="right"/>
              <w:spacing w:after="0"/>
              <w:rPr>
                <w:sz w:val="20"/>
                <w:szCs w:val="20"/>
                <w:color w:val="auto"/>
              </w:rPr>
            </w:pPr>
            <w:r>
              <w:rPr>
                <w:rFonts w:ascii="Arial" w:cs="Arial" w:eastAsia="Arial" w:hAnsi="Arial"/>
                <w:sz w:val="2"/>
                <w:szCs w:val="2"/>
                <w:color w:val="auto"/>
              </w:rPr>
              <w:t>powered by SMARTSTAX  1; SMARTSTAX</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560" w:type="dxa"/>
            <w:vAlign w:val="bottom"/>
            <w:gridSpan w:val="7"/>
            <w:vMerge w:val="continue"/>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21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1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3660" w:type="dxa"/>
            <w:vAlign w:val="bottom"/>
            <w:gridSpan w:val="6"/>
          </w:tcPr>
          <w:p>
            <w:pPr>
              <w:ind w:left="320"/>
              <w:spacing w:after="0"/>
              <w:rPr>
                <w:sz w:val="20"/>
                <w:szCs w:val="20"/>
                <w:color w:val="auto"/>
              </w:rPr>
            </w:pPr>
            <w:r>
              <w:rPr>
                <w:rFonts w:ascii="Arial" w:cs="Arial" w:eastAsia="Arial" w:hAnsi="Arial"/>
                <w:sz w:val="2"/>
                <w:szCs w:val="2"/>
                <w:color w:val="auto"/>
              </w:rPr>
              <w:t>yield potential; Omega-9 Healthier Oils; Pioneer</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3320" w:type="dxa"/>
            <w:vAlign w:val="bottom"/>
            <w:gridSpan w:val="8"/>
          </w:tcPr>
          <w:p>
            <w:pPr>
              <w:spacing w:after="0"/>
              <w:rPr>
                <w:sz w:val="20"/>
                <w:szCs w:val="20"/>
                <w:color w:val="auto"/>
              </w:rPr>
            </w:pPr>
            <w:r>
              <w:rPr>
                <w:rFonts w:ascii="Arial" w:cs="Arial" w:eastAsia="Arial" w:hAnsi="Arial"/>
                <w:sz w:val="2"/>
                <w:szCs w:val="2"/>
                <w:color w:val="auto"/>
              </w:rPr>
              <w:t>brand Optimum  AQUAmax  hybrids; Pioneer</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7"/>
          </w:tcPr>
          <w:p>
            <w:pPr>
              <w:jc w:val="right"/>
              <w:spacing w:after="0"/>
              <w:rPr>
                <w:sz w:val="20"/>
                <w:szCs w:val="20"/>
                <w:color w:val="auto"/>
              </w:rPr>
            </w:pPr>
            <w:r>
              <w:rPr>
                <w:rFonts w:ascii="Arial" w:cs="Arial" w:eastAsia="Arial" w:hAnsi="Arial"/>
                <w:sz w:val="2"/>
                <w:szCs w:val="2"/>
                <w:color w:val="auto"/>
              </w:rPr>
              <w:t>brand corn hybrids; Pioneer</w:t>
            </w: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tcPr>
          <w:p>
            <w:pPr>
              <w:spacing w:after="0"/>
              <w:rPr>
                <w:sz w:val="15"/>
                <w:szCs w:val="15"/>
                <w:color w:val="auto"/>
              </w:rPr>
            </w:pPr>
          </w:p>
        </w:tc>
        <w:tc>
          <w:tcPr>
            <w:tcW w:w="2640" w:type="dxa"/>
            <w:vAlign w:val="bottom"/>
            <w:gridSpan w:val="4"/>
            <w:vMerge w:val="restart"/>
          </w:tcPr>
          <w:p>
            <w:pPr>
              <w:ind w:left="320"/>
              <w:spacing w:after="0"/>
              <w:rPr>
                <w:sz w:val="20"/>
                <w:szCs w:val="20"/>
                <w:color w:val="auto"/>
              </w:rPr>
            </w:pPr>
            <w:r>
              <w:rPr>
                <w:rFonts w:ascii="Arial" w:cs="Arial" w:eastAsia="Arial" w:hAnsi="Arial"/>
                <w:sz w:val="17"/>
                <w:szCs w:val="17"/>
                <w:color w:val="auto"/>
                <w:w w:val="88"/>
              </w:rPr>
              <w:t>brand A-Series soybeans; Pioneer</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gridSpan w:val="2"/>
          </w:tcPr>
          <w:p>
            <w:pPr>
              <w:jc w:val="right"/>
              <w:ind w:right="25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2640" w:type="dxa"/>
            <w:vAlign w:val="bottom"/>
            <w:gridSpan w:val="4"/>
            <w:vMerge w:val="continue"/>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240" w:type="dxa"/>
            <w:vAlign w:val="bottom"/>
            <w:gridSpan w:val="6"/>
          </w:tcPr>
          <w:p>
            <w:pPr>
              <w:ind w:left="20"/>
              <w:spacing w:after="0"/>
              <w:rPr>
                <w:sz w:val="20"/>
                <w:szCs w:val="20"/>
                <w:color w:val="auto"/>
              </w:rPr>
            </w:pPr>
            <w:r>
              <w:rPr>
                <w:rFonts w:ascii="Arial" w:cs="Arial" w:eastAsia="Arial" w:hAnsi="Arial"/>
                <w:sz w:val="2"/>
                <w:szCs w:val="2"/>
                <w:color w:val="auto"/>
              </w:rPr>
              <w:t>brand soybeans with the Plenish</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100" w:type="dxa"/>
            <w:vAlign w:val="bottom"/>
            <w:gridSpan w:val="11"/>
          </w:tcPr>
          <w:p>
            <w:pPr>
              <w:jc w:val="right"/>
              <w:spacing w:after="0"/>
              <w:rPr>
                <w:sz w:val="20"/>
                <w:szCs w:val="20"/>
                <w:color w:val="auto"/>
              </w:rPr>
            </w:pPr>
            <w:r>
              <w:rPr>
                <w:rFonts w:ascii="Arial" w:cs="Arial" w:eastAsia="Arial" w:hAnsi="Arial"/>
                <w:sz w:val="2"/>
                <w:szCs w:val="2"/>
                <w:color w:val="auto"/>
              </w:rPr>
              <w:t>high oleic trait; Pioneer  brand sunflower hybrids with the</w:t>
            </w: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tcPr>
          <w:p>
            <w:pPr>
              <w:spacing w:after="0"/>
              <w:rPr>
                <w:sz w:val="15"/>
                <w:szCs w:val="15"/>
                <w:color w:val="auto"/>
              </w:rPr>
            </w:pPr>
          </w:p>
        </w:tc>
        <w:tc>
          <w:tcPr>
            <w:tcW w:w="1860" w:type="dxa"/>
            <w:vAlign w:val="bottom"/>
            <w:gridSpan w:val="3"/>
            <w:vMerge w:val="restart"/>
          </w:tcPr>
          <w:p>
            <w:pPr>
              <w:ind w:left="320"/>
              <w:spacing w:after="0"/>
              <w:rPr>
                <w:sz w:val="20"/>
                <w:szCs w:val="20"/>
                <w:color w:val="auto"/>
              </w:rPr>
            </w:pPr>
            <w:r>
              <w:rPr>
                <w:rFonts w:ascii="Arial" w:cs="Arial" w:eastAsia="Arial" w:hAnsi="Arial"/>
                <w:sz w:val="17"/>
                <w:szCs w:val="17"/>
                <w:color w:val="auto"/>
                <w:w w:val="89"/>
              </w:rPr>
              <w:t>DuPont™ ExpressSun</w:t>
            </w:r>
          </w:p>
        </w:tc>
        <w:tc>
          <w:tcPr>
            <w:tcW w:w="7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7"/>
                <w:szCs w:val="17"/>
                <w:color w:val="auto"/>
                <w:w w:val="88"/>
              </w:rPr>
              <w:t>rapeseed hybrids;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860" w:type="dxa"/>
            <w:vAlign w:val="bottom"/>
            <w:gridSpan w:val="3"/>
            <w:vMerge w:val="continue"/>
          </w:tcPr>
          <w:p>
            <w:pPr>
              <w:spacing w:after="0"/>
              <w:rPr>
                <w:sz w:val="2"/>
                <w:szCs w:val="2"/>
                <w:color w:val="auto"/>
              </w:rPr>
            </w:pPr>
          </w:p>
        </w:tc>
        <w:tc>
          <w:tcPr>
            <w:tcW w:w="5360" w:type="dxa"/>
            <w:vAlign w:val="bottom"/>
            <w:gridSpan w:val="13"/>
          </w:tcPr>
          <w:p>
            <w:pPr>
              <w:jc w:val="right"/>
              <w:spacing w:after="0"/>
              <w:rPr>
                <w:sz w:val="20"/>
                <w:szCs w:val="20"/>
                <w:color w:val="auto"/>
              </w:rPr>
            </w:pPr>
            <w:r>
              <w:rPr>
                <w:rFonts w:ascii="Arial" w:cs="Arial" w:eastAsia="Arial" w:hAnsi="Arial"/>
                <w:sz w:val="2"/>
                <w:szCs w:val="2"/>
                <w:color w:val="auto"/>
              </w:rPr>
              <w:t>; Pioneer Protector  products for canola and sunflower; Pioneer MAXIMUS</w:t>
            </w: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color w:val="auto"/>
                <w:w w:val="90"/>
              </w:rPr>
              <w:t>®</w:t>
            </w:r>
          </w:p>
        </w:tc>
        <w:tc>
          <w:tcPr>
            <w:tcW w:w="128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608"/>
              <w:spacing w:after="0"/>
              <w:rPr>
                <w:sz w:val="20"/>
                <w:szCs w:val="20"/>
                <w:color w:val="auto"/>
              </w:rPr>
            </w:pPr>
            <w:r>
              <w:rPr>
                <w:rFonts w:ascii="Arial" w:cs="Arial" w:eastAsia="Arial" w:hAnsi="Arial"/>
                <w:sz w:val="15"/>
                <w:szCs w:val="15"/>
                <w:color w:val="auto"/>
                <w:w w:val="90"/>
              </w:rPr>
              <w:t>®</w:t>
            </w:r>
          </w:p>
        </w:tc>
        <w:tc>
          <w:tcPr>
            <w:tcW w:w="120" w:type="dxa"/>
            <w:vAlign w:val="bottom"/>
          </w:tcPr>
          <w:p>
            <w:pPr>
              <w:spacing w:after="0"/>
              <w:rPr>
                <w:sz w:val="15"/>
                <w:szCs w:val="15"/>
                <w:color w:val="auto"/>
              </w:rPr>
            </w:pPr>
          </w:p>
        </w:tc>
        <w:tc>
          <w:tcPr>
            <w:tcW w:w="900" w:type="dxa"/>
            <w:vAlign w:val="bottom"/>
          </w:tcPr>
          <w:p>
            <w:pPr>
              <w:jc w:val="right"/>
              <w:ind w:right="23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20" w:type="dxa"/>
            <w:vAlign w:val="bottom"/>
            <w:gridSpan w:val="2"/>
          </w:tcPr>
          <w:p>
            <w:pPr>
              <w:ind w:left="320"/>
              <w:spacing w:after="0"/>
              <w:rPr>
                <w:sz w:val="20"/>
                <w:szCs w:val="20"/>
                <w:color w:val="auto"/>
              </w:rPr>
            </w:pPr>
            <w:r>
              <w:rPr>
                <w:rFonts w:ascii="Arial" w:cs="Arial" w:eastAsia="Arial" w:hAnsi="Arial"/>
                <w:sz w:val="17"/>
                <w:szCs w:val="17"/>
                <w:color w:val="auto"/>
                <w:w w:val="93"/>
              </w:rPr>
              <w:t>PROPOUND™</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1340" w:type="dxa"/>
            <w:vAlign w:val="bottom"/>
          </w:tcPr>
          <w:p>
            <w:pPr>
              <w:spacing w:after="0"/>
              <w:rPr>
                <w:sz w:val="20"/>
                <w:szCs w:val="20"/>
                <w:color w:val="auto"/>
              </w:rPr>
            </w:pPr>
            <w:r>
              <w:rPr>
                <w:rFonts w:ascii="Arial" w:cs="Arial" w:eastAsia="Arial" w:hAnsi="Arial"/>
                <w:sz w:val="16"/>
                <w:szCs w:val="16"/>
                <w:color w:val="auto"/>
              </w:rPr>
              <w:t>Other</w:t>
            </w:r>
          </w:p>
        </w:tc>
        <w:tc>
          <w:tcPr>
            <w:tcW w:w="9080" w:type="dxa"/>
            <w:vAlign w:val="bottom"/>
            <w:gridSpan w:val="22"/>
          </w:tcPr>
          <w:p>
            <w:pPr>
              <w:ind w:left="320"/>
              <w:spacing w:after="0" w:line="302" w:lineRule="exact"/>
              <w:rPr>
                <w:sz w:val="20"/>
                <w:szCs w:val="20"/>
                <w:color w:val="auto"/>
              </w:rPr>
            </w:pPr>
            <w:r>
              <w:rPr>
                <w:rFonts w:ascii="Arial" w:cs="Arial" w:eastAsia="Arial" w:hAnsi="Arial"/>
                <w:sz w:val="16"/>
                <w:szCs w:val="16"/>
                <w:color w:val="auto"/>
                <w:w w:val="97"/>
              </w:rPr>
              <w:t>LumiGEN™ technologies seed treatment portfolio of offerings—LUMIDERM™ and LUMIVIA</w:t>
            </w:r>
            <w:r>
              <w:rPr>
                <w:rFonts w:ascii="Arial" w:cs="Arial" w:eastAsia="Arial" w:hAnsi="Arial"/>
                <w:sz w:val="27"/>
                <w:szCs w:val="27"/>
                <w:color w:val="auto"/>
                <w:w w:val="97"/>
                <w:vertAlign w:val="superscript"/>
              </w:rPr>
              <w:t>®</w:t>
            </w:r>
            <w:r>
              <w:rPr>
                <w:rFonts w:ascii="Arial" w:cs="Arial" w:eastAsia="Arial" w:hAnsi="Arial"/>
                <w:sz w:val="16"/>
                <w:szCs w:val="16"/>
                <w:color w:val="auto"/>
                <w:w w:val="97"/>
              </w:rPr>
              <w:t>; GRANULAR</w:t>
            </w:r>
            <w:r>
              <w:rPr>
                <w:rFonts w:ascii="Arial" w:cs="Arial" w:eastAsia="Arial" w:hAnsi="Arial"/>
                <w:sz w:val="27"/>
                <w:szCs w:val="27"/>
                <w:color w:val="auto"/>
                <w:w w:val="97"/>
                <w:vertAlign w:val="superscript"/>
              </w:rPr>
              <w:t>®</w:t>
            </w:r>
            <w:r>
              <w:rPr>
                <w:rFonts w:ascii="Arial" w:cs="Arial" w:eastAsia="Arial" w:hAnsi="Arial"/>
                <w:sz w:val="16"/>
                <w:szCs w:val="16"/>
                <w:color w:val="auto"/>
                <w:w w:val="97"/>
              </w:rPr>
              <w:t>; ACREVALUE</w:t>
            </w:r>
            <w:r>
              <w:rPr>
                <w:rFonts w:ascii="Arial" w:cs="Arial" w:eastAsia="Arial" w:hAnsi="Arial"/>
                <w:sz w:val="27"/>
                <w:szCs w:val="27"/>
                <w:color w:val="auto"/>
                <w:w w:val="97"/>
                <w:vertAlign w:val="superscript"/>
              </w:rPr>
              <w:t>®</w:t>
            </w:r>
            <w:r>
              <w:rPr>
                <w:rFonts w:ascii="Arial" w:cs="Arial" w:eastAsia="Arial" w:hAnsi="Arial"/>
                <w:sz w:val="16"/>
                <w:szCs w:val="16"/>
                <w:color w:val="auto"/>
                <w:w w:val="97"/>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340" w:type="dxa"/>
            <w:vAlign w:val="bottom"/>
          </w:tcPr>
          <w:p>
            <w:pPr>
              <w:spacing w:after="0"/>
              <w:rPr>
                <w:sz w:val="24"/>
                <w:szCs w:val="24"/>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color w:val="auto"/>
              </w:rPr>
              <w:t>ENCIRCA</w:t>
            </w:r>
            <w:r>
              <w:rPr>
                <w:rFonts w:ascii="Arial" w:cs="Arial" w:eastAsia="Arial" w:hAnsi="Arial"/>
                <w:sz w:val="27"/>
                <w:szCs w:val="27"/>
                <w:color w:val="auto"/>
                <w:vertAlign w:val="superscript"/>
              </w:rPr>
              <w:t>®</w:t>
            </w:r>
            <w:r>
              <w:rPr>
                <w:rFonts w:ascii="Arial" w:cs="Arial" w:eastAsia="Arial" w:hAnsi="Arial"/>
                <w:sz w:val="16"/>
                <w:szCs w:val="16"/>
                <w:color w:val="auto"/>
              </w:rPr>
              <w:t xml:space="preserve"> services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2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60"/>
          </w:cols>
          <w:pgMar w:left="240" w:top="459"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Our premium Pioneer brand sells the highest-quality corn, soybeans, sorghum, sunflower, alfalfa, canola, wheat, rice, pearl millet and mustard seeds. Pioneer brand corn continues to show superiority in germplasm and received numerous honors at the 2017 National Corn Growers Association Yield Contest, including nine national and 191 state awards. Pioneer brand sorghum also continues to show superiority by receiving six national category awards at the 2017 National Sorghum Producers Yield and Management Contest. Moving forward, the Pioneer</w:t>
      </w:r>
      <w:r>
        <w:rPr>
          <w:rFonts w:ascii="Arial" w:cs="Arial" w:eastAsia="Arial" w:hAnsi="Arial"/>
          <w:sz w:val="14"/>
          <w:szCs w:val="14"/>
          <w:color w:val="auto"/>
        </w:rPr>
        <w:t>®</w:t>
      </w:r>
      <w:r>
        <w:rPr>
          <w:rFonts w:ascii="Arial" w:cs="Arial" w:eastAsia="Arial" w:hAnsi="Arial"/>
          <w:sz w:val="17"/>
          <w:szCs w:val="17"/>
          <w:color w:val="auto"/>
        </w:rPr>
        <w:t xml:space="preserve"> brand will remain the company’s global flagship seed brand. DAIRYLAND SEEDS</w:t>
      </w:r>
      <w:r>
        <w:rPr>
          <w:rFonts w:ascii="Arial" w:cs="Arial" w:eastAsia="Arial" w:hAnsi="Arial"/>
          <w:sz w:val="14"/>
          <w:szCs w:val="14"/>
          <w:color w:val="auto"/>
        </w:rPr>
        <w:t>®</w:t>
      </w:r>
      <w:r>
        <w:rPr>
          <w:rFonts w:ascii="Arial" w:cs="Arial" w:eastAsia="Arial" w:hAnsi="Arial"/>
          <w:sz w:val="17"/>
          <w:szCs w:val="17"/>
          <w:color w:val="auto"/>
        </w:rPr>
        <w:t>, HOEGEMEYER</w:t>
      </w:r>
      <w:r>
        <w:rPr>
          <w:rFonts w:ascii="Arial" w:cs="Arial" w:eastAsia="Arial" w:hAnsi="Arial"/>
          <w:sz w:val="14"/>
          <w:szCs w:val="14"/>
          <w:color w:val="auto"/>
        </w:rPr>
        <w:t>®</w:t>
      </w:r>
      <w:r>
        <w:rPr>
          <w:rFonts w:ascii="Arial" w:cs="Arial" w:eastAsia="Arial" w:hAnsi="Arial"/>
          <w:sz w:val="17"/>
          <w:szCs w:val="17"/>
          <w:color w:val="auto"/>
        </w:rPr>
        <w:t>, SEED CONSULTANTS</w:t>
      </w:r>
      <w:r>
        <w:rPr>
          <w:rFonts w:ascii="Arial" w:cs="Arial" w:eastAsia="Arial" w:hAnsi="Arial"/>
          <w:sz w:val="14"/>
          <w:szCs w:val="14"/>
          <w:color w:val="auto"/>
        </w:rPr>
        <w:t>®</w:t>
      </w:r>
      <w:r>
        <w:rPr>
          <w:rFonts w:ascii="Arial" w:cs="Arial" w:eastAsia="Arial" w:hAnsi="Arial"/>
          <w:sz w:val="17"/>
          <w:szCs w:val="17"/>
          <w:color w:val="auto"/>
        </w:rPr>
        <w:t>, NUTECH</w:t>
      </w:r>
      <w:r>
        <w:rPr>
          <w:rFonts w:ascii="Arial" w:cs="Arial" w:eastAsia="Arial" w:hAnsi="Arial"/>
          <w:sz w:val="14"/>
          <w:szCs w:val="14"/>
          <w:color w:val="auto"/>
        </w:rPr>
        <w:t>®</w:t>
      </w:r>
      <w:r>
        <w:rPr>
          <w:rFonts w:ascii="Arial" w:cs="Arial" w:eastAsia="Arial" w:hAnsi="Arial"/>
          <w:sz w:val="17"/>
          <w:szCs w:val="17"/>
          <w:color w:val="auto"/>
        </w:rPr>
        <w:t>, REV</w:t>
      </w:r>
      <w:r>
        <w:rPr>
          <w:rFonts w:ascii="Arial" w:cs="Arial" w:eastAsia="Arial" w:hAnsi="Arial"/>
          <w:sz w:val="14"/>
          <w:szCs w:val="14"/>
          <w:color w:val="auto"/>
        </w:rPr>
        <w:t>®</w:t>
      </w:r>
      <w:r>
        <w:rPr>
          <w:rFonts w:ascii="Arial" w:cs="Arial" w:eastAsia="Arial" w:hAnsi="Arial"/>
          <w:sz w:val="17"/>
          <w:szCs w:val="17"/>
          <w:color w:val="auto"/>
        </w:rPr>
        <w:t>, VP MAXX</w:t>
      </w:r>
      <w:r>
        <w:rPr>
          <w:rFonts w:ascii="Arial" w:cs="Arial" w:eastAsia="Arial" w:hAnsi="Arial"/>
          <w:sz w:val="14"/>
          <w:szCs w:val="14"/>
          <w:color w:val="auto"/>
        </w:rPr>
        <w:t>®</w:t>
      </w:r>
      <w:r>
        <w:rPr>
          <w:rFonts w:ascii="Arial" w:cs="Arial" w:eastAsia="Arial" w:hAnsi="Arial"/>
          <w:sz w:val="17"/>
          <w:szCs w:val="17"/>
          <w:color w:val="auto"/>
        </w:rPr>
        <w:t>, RPM</w:t>
      </w:r>
      <w:r>
        <w:rPr>
          <w:rFonts w:ascii="Arial" w:cs="Arial" w:eastAsia="Arial" w:hAnsi="Arial"/>
          <w:sz w:val="14"/>
          <w:szCs w:val="14"/>
          <w:color w:val="auto"/>
        </w:rPr>
        <w:t>®</w:t>
      </w:r>
      <w:r>
        <w:rPr>
          <w:rFonts w:ascii="Arial" w:cs="Arial" w:eastAsia="Arial" w:hAnsi="Arial"/>
          <w:sz w:val="17"/>
          <w:szCs w:val="17"/>
          <w:color w:val="auto"/>
        </w:rPr>
        <w:t>, HPT</w:t>
      </w:r>
      <w:r>
        <w:rPr>
          <w:rFonts w:ascii="Arial" w:cs="Arial" w:eastAsia="Arial" w:hAnsi="Arial"/>
          <w:sz w:val="14"/>
          <w:szCs w:val="14"/>
          <w:color w:val="auto"/>
        </w:rPr>
        <w:t>®</w:t>
      </w:r>
      <w:r>
        <w:rPr>
          <w:rFonts w:ascii="Arial" w:cs="Arial" w:eastAsia="Arial" w:hAnsi="Arial"/>
          <w:sz w:val="17"/>
          <w:szCs w:val="17"/>
          <w:color w:val="auto"/>
        </w:rPr>
        <w:t>, G2</w:t>
      </w:r>
      <w:r>
        <w:rPr>
          <w:rFonts w:ascii="Arial" w:cs="Arial" w:eastAsia="Arial" w:hAnsi="Arial"/>
          <w:sz w:val="14"/>
          <w:szCs w:val="14"/>
          <w:color w:val="auto"/>
        </w:rPr>
        <w:t>®</w:t>
      </w:r>
      <w:r>
        <w:rPr>
          <w:rFonts w:ascii="Arial" w:cs="Arial" w:eastAsia="Arial" w:hAnsi="Arial"/>
          <w:sz w:val="17"/>
          <w:szCs w:val="17"/>
          <w:color w:val="auto"/>
        </w:rPr>
        <w:t>, SUPREME EX</w:t>
      </w:r>
      <w:r>
        <w:rPr>
          <w:rFonts w:ascii="Arial" w:cs="Arial" w:eastAsia="Arial" w:hAnsi="Arial"/>
          <w:sz w:val="14"/>
          <w:szCs w:val="14"/>
          <w:color w:val="auto"/>
        </w:rPr>
        <w:t>®</w:t>
      </w:r>
      <w:r>
        <w:rPr>
          <w:rFonts w:ascii="Arial" w:cs="Arial" w:eastAsia="Arial" w:hAnsi="Arial"/>
          <w:sz w:val="17"/>
          <w:szCs w:val="17"/>
          <w:color w:val="auto"/>
        </w:rPr>
        <w:t>, XL</w:t>
      </w:r>
      <w:r>
        <w:rPr>
          <w:rFonts w:ascii="Arial" w:cs="Arial" w:eastAsia="Arial" w:hAnsi="Arial"/>
          <w:sz w:val="14"/>
          <w:szCs w:val="14"/>
          <w:color w:val="auto"/>
        </w:rPr>
        <w:t>®</w:t>
      </w:r>
      <w:r>
        <w:rPr>
          <w:rFonts w:ascii="Arial" w:cs="Arial" w:eastAsia="Arial" w:hAnsi="Arial"/>
          <w:sz w:val="17"/>
          <w:szCs w:val="17"/>
          <w:color w:val="auto"/>
        </w:rPr>
        <w:t xml:space="preserve"> and POWER PLUS</w:t>
      </w:r>
      <w:r>
        <w:rPr>
          <w:rFonts w:ascii="Arial" w:cs="Arial" w:eastAsia="Arial" w:hAnsi="Arial"/>
          <w:sz w:val="14"/>
          <w:szCs w:val="14"/>
          <w:color w:val="auto"/>
        </w:rPr>
        <w:t>®</w:t>
      </w:r>
      <w:r>
        <w:rPr>
          <w:rFonts w:ascii="Arial" w:cs="Arial" w:eastAsia="Arial" w:hAnsi="Arial"/>
          <w:sz w:val="17"/>
          <w:szCs w:val="17"/>
          <w:color w:val="auto"/>
        </w:rPr>
        <w:t xml:space="preserve"> will serve the U.S. regional market. MYCOGEN</w:t>
      </w:r>
      <w:r>
        <w:rPr>
          <w:rFonts w:ascii="Arial" w:cs="Arial" w:eastAsia="Arial" w:hAnsi="Arial"/>
          <w:sz w:val="14"/>
          <w:szCs w:val="14"/>
          <w:color w:val="auto"/>
        </w:rPr>
        <w:t>®</w:t>
      </w:r>
      <w:r>
        <w:rPr>
          <w:rFonts w:ascii="Arial" w:cs="Arial" w:eastAsia="Arial" w:hAnsi="Arial"/>
          <w:sz w:val="17"/>
          <w:szCs w:val="17"/>
          <w:color w:val="auto"/>
        </w:rPr>
        <w:t xml:space="preserve"> and REV</w:t>
      </w:r>
      <w:r>
        <w:rPr>
          <w:rFonts w:ascii="Arial" w:cs="Arial" w:eastAsia="Arial" w:hAnsi="Arial"/>
          <w:sz w:val="14"/>
          <w:szCs w:val="14"/>
          <w:color w:val="auto"/>
        </w:rPr>
        <w:t>®</w:t>
      </w:r>
      <w:r>
        <w:rPr>
          <w:rFonts w:ascii="Arial" w:cs="Arial" w:eastAsia="Arial" w:hAnsi="Arial"/>
          <w:sz w:val="17"/>
          <w:szCs w:val="17"/>
          <w:color w:val="auto"/>
        </w:rPr>
        <w:t xml:space="preserve"> will serve the U.S. retail market, with our new premium Brevant™ seed brand serving retail markets outside of the United States.</w:t>
      </w:r>
    </w:p>
    <w:p>
      <w:pPr>
        <w:spacing w:after="0" w:line="17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Our digital solutions include the most comprehensive farm management software solution available in the industry. Our product strategy is to support all agronomy and financial decisions, to connect the farm to advisors and suppliers and to build digital marketplaces. Through our solutions, we aim to create new connections to customers and consumers and to make farming more productive.</w:t>
      </w:r>
    </w:p>
    <w:p>
      <w:pPr>
        <w:spacing w:after="0" w:line="18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In addition, we utilize specialized seed-applied technology to offer farmers the option of purchasing seeds pretreated with a coating of certain of our crop chemicals—alone or in combinations—that enhance the seed’s performance. The cross-category opportunity is one of our many sources of growth in our seed segment.</w:t>
      </w:r>
    </w:p>
    <w:p>
      <w:pPr>
        <w:spacing w:after="0" w:line="330" w:lineRule="exact"/>
        <w:rPr>
          <w:sz w:val="20"/>
          <w:szCs w:val="20"/>
          <w:color w:val="auto"/>
        </w:rPr>
      </w:pPr>
    </w:p>
    <w:p>
      <w:pPr>
        <w:ind w:left="1060" w:hanging="424"/>
        <w:spacing w:after="0"/>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Pipeline and Product Development</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Biotechnology traits offer solutions to insect, disease and weed challenges, and provide consumer-driven solutions for food grade characteristics, such as Pioneer</w:t>
      </w:r>
      <w:r>
        <w:rPr>
          <w:rFonts w:ascii="Arial" w:cs="Arial" w:eastAsia="Arial" w:hAnsi="Arial"/>
          <w:sz w:val="15"/>
          <w:szCs w:val="15"/>
          <w:color w:val="auto"/>
        </w:rPr>
        <w:t>®</w:t>
      </w:r>
      <w:r>
        <w:rPr>
          <w:rFonts w:ascii="Arial" w:cs="Arial" w:eastAsia="Arial" w:hAnsi="Arial"/>
          <w:sz w:val="18"/>
          <w:szCs w:val="18"/>
          <w:color w:val="auto"/>
        </w:rPr>
        <w:t xml:space="preserve"> brand Plenish</w:t>
      </w:r>
      <w:r>
        <w:rPr>
          <w:rFonts w:ascii="Arial" w:cs="Arial" w:eastAsia="Arial" w:hAnsi="Arial"/>
          <w:sz w:val="15"/>
          <w:szCs w:val="15"/>
          <w:color w:val="auto"/>
        </w:rPr>
        <w:t>®</w:t>
      </w:r>
      <w:r>
        <w:rPr>
          <w:rFonts w:ascii="Arial" w:cs="Arial" w:eastAsia="Arial" w:hAnsi="Arial"/>
          <w:sz w:val="18"/>
          <w:szCs w:val="18"/>
          <w:color w:val="auto"/>
        </w:rPr>
        <w:t xml:space="preserve"> high oleic soybean oil. We believe we have the largest, most robust germplasm pool in the world for key crops such as corn, soybeans and sunflowers, spanning more than ten crops in more than 70 countries.</w:t>
      </w:r>
    </w:p>
    <w:p>
      <w:pPr>
        <w:spacing w:after="0" w:line="18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Gene discovery is accomplished by a dedicated team of in-house experts as well as external partnerships. We strive to identify novel trait combinations that can enable plants to successfully weather the challenges of water and nutrient deficiencies, and cope with unfavorable climate and regional pressures.</w:t>
      </w:r>
    </w:p>
    <w:p>
      <w:pPr>
        <w:spacing w:after="0" w:line="181" w:lineRule="exact"/>
        <w:rPr>
          <w:sz w:val="20"/>
          <w:szCs w:val="20"/>
          <w:color w:val="auto"/>
        </w:rPr>
      </w:pPr>
    </w:p>
    <w:p>
      <w:pPr>
        <w:ind w:left="200" w:right="60"/>
        <w:spacing w:after="0" w:line="290" w:lineRule="auto"/>
        <w:rPr>
          <w:sz w:val="20"/>
          <w:szCs w:val="20"/>
          <w:color w:val="auto"/>
        </w:rPr>
      </w:pPr>
      <w:r>
        <w:rPr>
          <w:rFonts w:ascii="Arial" w:cs="Arial" w:eastAsia="Arial" w:hAnsi="Arial"/>
          <w:sz w:val="16"/>
          <w:szCs w:val="16"/>
          <w:color w:val="auto"/>
        </w:rPr>
        <w:t>Advanced breeding, using CRISPR, allows breeders to focus on specific desired features, such as nutrition or disease resistance. CRISPR technology can be programmed to target specific stretches of genetic code and to edit DNA at precise locations, allowing researchers to modify genes in living cells and organisms and providing for accelerated development of new trait concepts broadly across many crops. This technology can accelerate time to market by more than 50 percent, or three to four years faster than conventional breeding methods. We believe that Corteva is the only company in the agricultural industry that will have access to the foundational CRISPR-Cas9 patent estates of Vilnius University, University of California, University of Vienna and Emanuelle Charpentier as well as the Broad Institute CRISPR-Cas9 patent portfolio. We will also have access to the company’s existing Pioneer Hi-Bred International patents as well as key CRISPR intellectual property from the company’s collaboration with Caribou Biosciences. As a result, we believe we have one of the broadest CRISPR intellectual property estates in the seed production industry.</w:t>
      </w:r>
    </w:p>
    <w:p>
      <w:pPr>
        <w:spacing w:after="0" w:line="166" w:lineRule="exact"/>
        <w:rPr>
          <w:sz w:val="20"/>
          <w:szCs w:val="20"/>
          <w:color w:val="auto"/>
        </w:rPr>
      </w:pPr>
    </w:p>
    <w:p>
      <w:pPr>
        <w:jc w:val="both"/>
        <w:ind w:left="200" w:right="200"/>
        <w:spacing w:after="0" w:line="259" w:lineRule="auto"/>
        <w:rPr>
          <w:sz w:val="20"/>
          <w:szCs w:val="20"/>
          <w:color w:val="auto"/>
        </w:rPr>
      </w:pPr>
      <w:r>
        <w:rPr>
          <w:rFonts w:ascii="Arial" w:cs="Arial" w:eastAsia="Arial" w:hAnsi="Arial"/>
          <w:sz w:val="18"/>
          <w:szCs w:val="18"/>
          <w:color w:val="auto"/>
        </w:rPr>
        <w:t>Digital breeding capabilities provide targeted solutions in areas such as insect and disease resistance, yield, increased nutritional value, improved food characteristics and drought tolerance. Digital breeding leverages advanced technology to enable more accurate identification of the numerous traits in the digital imprint of the genome of our germplasm that are linked to desired characteristics. This technology allows us to quickly identify and isolate those traits, enhances our breeding capabilities and shortens time to market.</w:t>
      </w:r>
    </w:p>
    <w:p>
      <w:pPr>
        <w:spacing w:after="0" w:line="18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Our seed segment continues to expand with new product launches as well as growth in emerging geographies and markets. We expect that our strong North American presence will be enhanced by Enlist™, Pioneer</w:t>
      </w:r>
      <w:r>
        <w:rPr>
          <w:rFonts w:ascii="Arial" w:cs="Arial" w:eastAsia="Arial" w:hAnsi="Arial"/>
          <w:sz w:val="15"/>
          <w:szCs w:val="15"/>
          <w:color w:val="auto"/>
        </w:rPr>
        <w:t>®</w:t>
      </w:r>
      <w:r>
        <w:rPr>
          <w:rFonts w:ascii="Arial" w:cs="Arial" w:eastAsia="Arial" w:hAnsi="Arial"/>
          <w:sz w:val="18"/>
          <w:szCs w:val="18"/>
          <w:color w:val="auto"/>
        </w:rPr>
        <w:t xml:space="preserve"> brand Qrome</w:t>
      </w:r>
      <w:r>
        <w:rPr>
          <w:rFonts w:ascii="Arial" w:cs="Arial" w:eastAsia="Arial" w:hAnsi="Arial"/>
          <w:sz w:val="15"/>
          <w:szCs w:val="15"/>
          <w:color w:val="auto"/>
        </w:rPr>
        <w:t>®</w:t>
      </w:r>
      <w:r>
        <w:rPr>
          <w:rFonts w:ascii="Arial" w:cs="Arial" w:eastAsia="Arial" w:hAnsi="Arial"/>
          <w:sz w:val="18"/>
          <w:szCs w:val="18"/>
          <w:color w:val="auto"/>
        </w:rPr>
        <w:t xml:space="preserve"> products and Next Generation insect control launches. We expect that the ramp-up of Pioneer</w:t>
      </w:r>
      <w:r>
        <w:rPr>
          <w:rFonts w:ascii="Arial" w:cs="Arial" w:eastAsia="Arial" w:hAnsi="Arial"/>
          <w:sz w:val="15"/>
          <w:szCs w:val="15"/>
          <w:color w:val="auto"/>
        </w:rPr>
        <w:t>®</w:t>
      </w:r>
      <w:r>
        <w:rPr>
          <w:rFonts w:ascii="Arial" w:cs="Arial" w:eastAsia="Arial" w:hAnsi="Arial"/>
          <w:sz w:val="18"/>
          <w:szCs w:val="18"/>
          <w:color w:val="auto"/>
        </w:rPr>
        <w:t xml:space="preserve"> brand Leptra</w:t>
      </w:r>
      <w:r>
        <w:rPr>
          <w:rFonts w:ascii="Arial" w:cs="Arial" w:eastAsia="Arial" w:hAnsi="Arial"/>
          <w:sz w:val="15"/>
          <w:szCs w:val="15"/>
          <w:color w:val="auto"/>
        </w:rPr>
        <w:t>®</w:t>
      </w:r>
      <w:r>
        <w:rPr>
          <w:rFonts w:ascii="Arial" w:cs="Arial" w:eastAsia="Arial" w:hAnsi="Arial"/>
          <w:sz w:val="18"/>
          <w:szCs w:val="18"/>
          <w:color w:val="auto"/>
        </w:rPr>
        <w:t xml:space="preserve"> insect protection technology and increased Powercore™ Ultra penetration, as well as the introduction of Conkesta soybeans, will strengthen our position in Latin America.</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60"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Corn</w:t>
      </w:r>
    </w:p>
    <w:p>
      <w:pPr>
        <w:spacing w:after="0" w:line="117" w:lineRule="exact"/>
        <w:rPr>
          <w:sz w:val="20"/>
          <w:szCs w:val="20"/>
          <w:color w:val="auto"/>
        </w:rPr>
      </w:pPr>
    </w:p>
    <w:p>
      <w:pPr>
        <w:ind w:left="200" w:right="120"/>
        <w:spacing w:after="0" w:line="254" w:lineRule="auto"/>
        <w:rPr>
          <w:sz w:val="20"/>
          <w:szCs w:val="20"/>
          <w:color w:val="auto"/>
        </w:rPr>
      </w:pPr>
      <w:r>
        <w:rPr>
          <w:rFonts w:ascii="Arial" w:cs="Arial" w:eastAsia="Arial" w:hAnsi="Arial"/>
          <w:sz w:val="18"/>
          <w:szCs w:val="18"/>
          <w:color w:val="auto"/>
        </w:rPr>
        <w:t>We have an extensive corn portfolio and innovation pipeline with market opportunities around the world. We are pursuing a balanced portfolio of proprietary and licensed trait technologies for corn. Our goal is to develop technology that boosts margins, improves efficacy, renews our portfolio and creates out-license opportunities. We believe that the launch of our proprietary Pioneer</w:t>
      </w:r>
      <w:r>
        <w:rPr>
          <w:rFonts w:ascii="Arial" w:cs="Arial" w:eastAsia="Arial" w:hAnsi="Arial"/>
          <w:sz w:val="15"/>
          <w:szCs w:val="15"/>
          <w:color w:val="auto"/>
        </w:rPr>
        <w:t>®</w:t>
      </w:r>
      <w:r>
        <w:rPr>
          <w:rFonts w:ascii="Arial" w:cs="Arial" w:eastAsia="Arial" w:hAnsi="Arial"/>
          <w:sz w:val="18"/>
          <w:szCs w:val="18"/>
          <w:color w:val="auto"/>
        </w:rPr>
        <w:t xml:space="preserve"> brand Qrome</w:t>
      </w:r>
      <w:r>
        <w:rPr>
          <w:rFonts w:ascii="Arial" w:cs="Arial" w:eastAsia="Arial" w:hAnsi="Arial"/>
          <w:sz w:val="15"/>
          <w:szCs w:val="15"/>
          <w:color w:val="auto"/>
        </w:rPr>
        <w:t>®</w:t>
      </w:r>
      <w:r>
        <w:rPr>
          <w:rFonts w:ascii="Arial" w:cs="Arial" w:eastAsia="Arial" w:hAnsi="Arial"/>
          <w:sz w:val="18"/>
          <w:szCs w:val="18"/>
          <w:color w:val="auto"/>
        </w:rPr>
        <w:t xml:space="preserve"> products and Next Generation insect control will unlock additional potential in our broad corn germplasm base. Both products significantly enhance our ability to compete in the above and below ground insect resistance segment within the U.S. market. We intend to continue to strengthen our global position, especially in Latin America, as we focus on the penetration of Powercore™ Ultra, corn traits focused largely on a Latin American need to provide three different modes of action to deter aggressive pests unique to the region, among other product launches. We have also made notable strides in strengthening our germplasm bank to enable more solutions for Latin America.</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Product</w:t>
            </w:r>
          </w:p>
        </w:tc>
        <w:tc>
          <w:tcPr>
            <w:tcW w:w="1980" w:type="dxa"/>
            <w:vAlign w:val="bottom"/>
            <w:vMerge w:val="restart"/>
          </w:tcPr>
          <w:p>
            <w:pPr>
              <w:jc w:val="center"/>
              <w:ind w:left="451"/>
              <w:spacing w:after="0"/>
              <w:rPr>
                <w:sz w:val="20"/>
                <w:szCs w:val="20"/>
                <w:color w:val="auto"/>
              </w:rPr>
            </w:pPr>
            <w:r>
              <w:rPr>
                <w:rFonts w:ascii="Arial" w:cs="Arial" w:eastAsia="Arial" w:hAnsi="Arial"/>
                <w:sz w:val="14"/>
                <w:szCs w:val="14"/>
                <w:b w:val="1"/>
                <w:bCs w:val="1"/>
                <w:color w:val="auto"/>
                <w:w w:val="93"/>
              </w:rPr>
              <w:t>Stage of R&amp;D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Target Market</w:t>
            </w:r>
          </w:p>
        </w:tc>
        <w:tc>
          <w:tcPr>
            <w:tcW w:w="2420" w:type="dxa"/>
            <w:vAlign w:val="bottom"/>
          </w:tcPr>
          <w:p>
            <w:pPr>
              <w:jc w:val="right"/>
              <w:ind w:right="492"/>
              <w:spacing w:after="0"/>
              <w:rPr>
                <w:sz w:val="20"/>
                <w:szCs w:val="20"/>
                <w:color w:val="auto"/>
              </w:rPr>
            </w:pPr>
            <w:r>
              <w:rPr>
                <w:rFonts w:ascii="Arial" w:cs="Arial" w:eastAsia="Arial" w:hAnsi="Arial"/>
                <w:sz w:val="14"/>
                <w:szCs w:val="14"/>
                <w:b w:val="1"/>
                <w:bCs w:val="1"/>
                <w:color w:val="auto"/>
              </w:rPr>
              <w:t>Market Opportunity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420" w:type="dxa"/>
            <w:vAlign w:val="bottom"/>
          </w:tcPr>
          <w:p>
            <w:pPr>
              <w:jc w:val="right"/>
              <w:ind w:right="572"/>
              <w:spacing w:after="0"/>
              <w:rPr>
                <w:sz w:val="20"/>
                <w:szCs w:val="20"/>
                <w:color w:val="auto"/>
              </w:rPr>
            </w:pPr>
            <w:r>
              <w:rPr>
                <w:rFonts w:ascii="Arial" w:cs="Arial" w:eastAsia="Arial" w:hAnsi="Arial"/>
                <w:sz w:val="14"/>
                <w:szCs w:val="14"/>
                <w:b w:val="1"/>
                <w:bCs w:val="1"/>
                <w:color w:val="auto"/>
              </w:rPr>
              <w:t>in Acres (millions)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Key Product Concepts</w:t>
            </w:r>
          </w:p>
        </w:tc>
        <w:tc>
          <w:tcPr>
            <w:tcW w:w="24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20" w:type="dxa"/>
            <w:vAlign w:val="bottom"/>
            <w:gridSpan w:val="3"/>
          </w:tcPr>
          <w:p>
            <w:pPr>
              <w:spacing w:after="0"/>
              <w:rPr>
                <w:sz w:val="20"/>
                <w:szCs w:val="20"/>
                <w:color w:val="auto"/>
              </w:rPr>
            </w:pPr>
            <w:r>
              <w:rPr>
                <w:rFonts w:ascii="Arial" w:cs="Arial" w:eastAsia="Arial" w:hAnsi="Arial"/>
                <w:sz w:val="18"/>
                <w:szCs w:val="18"/>
                <w:color w:val="auto"/>
              </w:rPr>
              <w:t>Powercore</w:t>
            </w:r>
            <w:r>
              <w:rPr>
                <w:rFonts w:ascii="Arial" w:cs="Arial" w:eastAsia="Arial" w:hAnsi="Arial"/>
                <w:sz w:val="15"/>
                <w:szCs w:val="15"/>
                <w:color w:val="auto"/>
              </w:rPr>
              <w:t>®</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6</w:t>
            </w:r>
          </w:p>
        </w:tc>
        <w:tc>
          <w:tcPr>
            <w:tcW w:w="560" w:type="dxa"/>
            <w:vAlign w:val="bottom"/>
          </w:tcPr>
          <w:p>
            <w:pPr>
              <w:spacing w:after="0"/>
              <w:rPr>
                <w:sz w:val="22"/>
                <w:szCs w:val="22"/>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Powercore™ Ultra</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6</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Qrome</w:t>
            </w:r>
            <w:r>
              <w:rPr>
                <w:rFonts w:ascii="Arial" w:cs="Arial" w:eastAsia="Arial" w:hAnsi="Arial"/>
                <w:sz w:val="15"/>
                <w:szCs w:val="15"/>
                <w:color w:val="auto"/>
              </w:rPr>
              <w:t>®</w:t>
            </w:r>
            <w:r>
              <w:rPr>
                <w:rFonts w:ascii="Arial" w:cs="Arial" w:eastAsia="Arial" w:hAnsi="Arial"/>
                <w:sz w:val="18"/>
                <w:szCs w:val="18"/>
                <w:color w:val="auto"/>
              </w:rPr>
              <w:t xml:space="preserve"> Products</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5</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Enlist</w:t>
            </w:r>
            <w:r>
              <w:rPr>
                <w:rFonts w:ascii="Arial" w:cs="Arial" w:eastAsia="Arial" w:hAnsi="Arial"/>
                <w:sz w:val="15"/>
                <w:szCs w:val="15"/>
                <w:color w:val="auto"/>
              </w:rPr>
              <w:t>™</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5</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SmartStax</w:t>
            </w:r>
            <w:r>
              <w:rPr>
                <w:rFonts w:ascii="Arial" w:cs="Arial" w:eastAsia="Arial" w:hAnsi="Arial"/>
                <w:sz w:val="15"/>
                <w:szCs w:val="15"/>
                <w:color w:val="auto"/>
              </w:rPr>
              <w:t>®</w:t>
            </w:r>
            <w:r>
              <w:rPr>
                <w:rFonts w:ascii="Arial" w:cs="Arial" w:eastAsia="Arial" w:hAnsi="Arial"/>
                <w:sz w:val="18"/>
                <w:szCs w:val="18"/>
                <w:color w:val="auto"/>
              </w:rPr>
              <w:t xml:space="preserve"> Pro</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4</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i w:val="1"/>
                <w:iCs w:val="1"/>
                <w:color w:val="auto"/>
              </w:rPr>
              <w:t>NextGen Biotech Solutions</w:t>
            </w:r>
          </w:p>
        </w:tc>
        <w:tc>
          <w:tcPr>
            <w:tcW w:w="1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Yield and Yield Stability</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3</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New MOA Coleopteran Protection III</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3</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256"/>
        </w:trPr>
        <w:tc>
          <w:tcPr>
            <w:tcW w:w="3120" w:type="dxa"/>
            <w:vAlign w:val="bottom"/>
            <w:gridSpan w:val="3"/>
          </w:tcPr>
          <w:p>
            <w:pPr>
              <w:spacing w:after="0"/>
              <w:rPr>
                <w:sz w:val="20"/>
                <w:szCs w:val="20"/>
                <w:color w:val="auto"/>
              </w:rPr>
            </w:pPr>
            <w:r>
              <w:rPr>
                <w:rFonts w:ascii="Arial" w:cs="Arial" w:eastAsia="Arial" w:hAnsi="Arial"/>
                <w:sz w:val="18"/>
                <w:szCs w:val="18"/>
                <w:color w:val="auto"/>
              </w:rPr>
              <w:t>Multiple Mode Herbicide Tolerance</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22"/>
                <w:szCs w:val="22"/>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color w:val="auto"/>
              </w:rPr>
              <w:t>New MOA Lepidopteran Protection III</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18"/>
                <w:szCs w:val="18"/>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Asia Pacific, Africa</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20" w:type="dxa"/>
            <w:vAlign w:val="bottom"/>
            <w:gridSpan w:val="3"/>
          </w:tcPr>
          <w:p>
            <w:pPr>
              <w:spacing w:after="0"/>
              <w:rPr>
                <w:sz w:val="20"/>
                <w:szCs w:val="20"/>
                <w:color w:val="auto"/>
              </w:rPr>
            </w:pPr>
            <w:r>
              <w:rPr>
                <w:rFonts w:ascii="Arial" w:cs="Arial" w:eastAsia="Arial" w:hAnsi="Arial"/>
                <w:sz w:val="18"/>
                <w:szCs w:val="18"/>
                <w:color w:val="auto"/>
              </w:rPr>
              <w:t>New MOA Lepidopteran Protection IV</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22"/>
                <w:szCs w:val="22"/>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Asia Pacific, Africa</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New MOA Coleopteran Protection IV</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1</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i w:val="1"/>
                <w:iCs w:val="1"/>
                <w:color w:val="auto"/>
              </w:rPr>
              <w:t>Digital Breeding Technologies</w:t>
            </w:r>
          </w:p>
        </w:tc>
        <w:tc>
          <w:tcPr>
            <w:tcW w:w="1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20" w:type="dxa"/>
            <w:vAlign w:val="bottom"/>
            <w:gridSpan w:val="3"/>
          </w:tcPr>
          <w:p>
            <w:pPr>
              <w:spacing w:after="0"/>
              <w:rPr>
                <w:sz w:val="20"/>
                <w:szCs w:val="20"/>
                <w:color w:val="auto"/>
              </w:rPr>
            </w:pPr>
            <w:r>
              <w:rPr>
                <w:rFonts w:ascii="Arial" w:cs="Arial" w:eastAsia="Arial" w:hAnsi="Arial"/>
                <w:sz w:val="18"/>
                <w:szCs w:val="18"/>
                <w:color w:val="auto"/>
              </w:rPr>
              <w:t>Unified™ Corn Silage</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5</w:t>
            </w:r>
          </w:p>
        </w:tc>
        <w:tc>
          <w:tcPr>
            <w:tcW w:w="560" w:type="dxa"/>
            <w:vAlign w:val="bottom"/>
          </w:tcPr>
          <w:p>
            <w:pPr>
              <w:spacing w:after="0"/>
              <w:rPr>
                <w:sz w:val="22"/>
                <w:szCs w:val="22"/>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Europe, Latin</w:t>
            </w:r>
          </w:p>
        </w:tc>
        <w:tc>
          <w:tcPr>
            <w:tcW w:w="2420" w:type="dxa"/>
            <w:vAlign w:val="bottom"/>
          </w:tcPr>
          <w:p>
            <w:pPr>
              <w:jc w:val="right"/>
              <w:spacing w:after="0"/>
              <w:rPr>
                <w:sz w:val="20"/>
                <w:szCs w:val="20"/>
                <w:color w:val="auto"/>
              </w:rPr>
            </w:pPr>
            <w:r>
              <w:rPr>
                <w:rFonts w:ascii="Arial" w:cs="Arial" w:eastAsia="Arial" w:hAnsi="Arial"/>
                <w:sz w:val="18"/>
                <w:szCs w:val="18"/>
                <w:color w:val="auto"/>
              </w:rPr>
              <w:t>&lt;50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America</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Next Gen Waxy</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3</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&lt;50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Soybean</w:t>
      </w:r>
    </w:p>
    <w:p>
      <w:pPr>
        <w:spacing w:after="0" w:line="117" w:lineRule="exact"/>
        <w:rPr>
          <w:sz w:val="20"/>
          <w:szCs w:val="20"/>
          <w:color w:val="auto"/>
        </w:rPr>
      </w:pPr>
    </w:p>
    <w:p>
      <w:pPr>
        <w:ind w:left="200" w:right="180"/>
        <w:spacing w:after="0" w:line="254" w:lineRule="auto"/>
        <w:rPr>
          <w:sz w:val="20"/>
          <w:szCs w:val="20"/>
          <w:color w:val="auto"/>
        </w:rPr>
      </w:pPr>
      <w:r>
        <w:rPr>
          <w:rFonts w:ascii="Arial" w:cs="Arial" w:eastAsia="Arial" w:hAnsi="Arial"/>
          <w:sz w:val="18"/>
          <w:szCs w:val="18"/>
          <w:color w:val="auto"/>
        </w:rPr>
        <w:t>We have an extensive soybean portfolio and innovation pipeline focused on North America and Latin America. Our breeding program leadership in soybeans has proven successful in driving value in yield and productivity in North America. We are applying and leveraging those approaches in Latin America as we develop new products and introduce new trait offerings into the market. The soybean pipeline draws on a long, proven history of breeding expertise to offer broad genetics with strong performance, backed by world class research and development to create a rich pipeline of near-, mid- and long-term solutions. For example, our Pioneer</w:t>
      </w:r>
      <w:r>
        <w:rPr>
          <w:rFonts w:ascii="Arial" w:cs="Arial" w:eastAsia="Arial" w:hAnsi="Arial"/>
          <w:sz w:val="15"/>
          <w:szCs w:val="15"/>
          <w:color w:val="auto"/>
        </w:rPr>
        <w:t>®</w:t>
      </w:r>
      <w:r>
        <w:rPr>
          <w:rFonts w:ascii="Arial" w:cs="Arial" w:eastAsia="Arial" w:hAnsi="Arial"/>
          <w:sz w:val="18"/>
          <w:szCs w:val="18"/>
          <w:color w:val="auto"/>
        </w:rPr>
        <w:t xml:space="preserve"> brand A-Series soybean varieties are developed from the most extensive localized soybean breeding and product testing program in the industry, with a focus on customizing varieties for local yield environments. By increasing our molecular marker output by 20 times, we have introduced 110 new A-series varieties in the last two years, offering higher yields than the T-Series varieties these seeds replace.</w:t>
      </w:r>
    </w:p>
    <w:p>
      <w:pPr>
        <w:spacing w:after="0" w:line="192"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We have selectively in-licensed and acquired third party genetics to build soy germplasm platforms and have developed or acquired licenses to certain technologies that we deem necessary or useful for the development of biotechnology traits for soybeans, pursuant to which we pay certain royalties. Over the long term, we intend to move toward a more proprietary trait offering for soybeans, while currently leveraging a combination of licensed and proprietary traits. This transition will introduce new product concepts and increase out-licensing opportunities.</w:t>
      </w:r>
    </w:p>
    <w:p>
      <w:pPr>
        <w:spacing w:after="0" w:line="171"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We are leveraging the strength of our geographic footprint to expand farmer access to technologies including Pioneer</w:t>
      </w:r>
      <w:r>
        <w:rPr>
          <w:rFonts w:ascii="Arial" w:cs="Arial" w:eastAsia="Arial" w:hAnsi="Arial"/>
          <w:sz w:val="15"/>
          <w:szCs w:val="15"/>
          <w:color w:val="auto"/>
        </w:rPr>
        <w:t>®</w:t>
      </w:r>
      <w:r>
        <w:rPr>
          <w:rFonts w:ascii="Arial" w:cs="Arial" w:eastAsia="Arial" w:hAnsi="Arial"/>
          <w:sz w:val="18"/>
          <w:szCs w:val="18"/>
          <w:color w:val="auto"/>
        </w:rPr>
        <w:t xml:space="preserve"> brand soybeans with Roundup Ready 2 Xtend</w:t>
      </w:r>
      <w:r>
        <w:rPr>
          <w:rFonts w:ascii="Arial" w:cs="Arial" w:eastAsia="Arial" w:hAnsi="Arial"/>
          <w:sz w:val="15"/>
          <w:szCs w:val="15"/>
          <w:color w:val="auto"/>
        </w:rPr>
        <w:t>®</w:t>
      </w:r>
      <w:r>
        <w:rPr>
          <w:rFonts w:ascii="Arial" w:cs="Arial" w:eastAsia="Arial" w:hAnsi="Arial"/>
          <w:sz w:val="18"/>
          <w:szCs w:val="18"/>
          <w:color w:val="auto"/>
        </w:rPr>
        <w:t>, LibertyLink</w:t>
      </w:r>
      <w:r>
        <w:rPr>
          <w:rFonts w:ascii="Arial" w:cs="Arial" w:eastAsia="Arial" w:hAnsi="Arial"/>
          <w:sz w:val="15"/>
          <w:szCs w:val="15"/>
          <w:color w:val="auto"/>
        </w:rPr>
        <w:t>®</w:t>
      </w:r>
      <w:r>
        <w:rPr>
          <w:rFonts w:ascii="Arial" w:cs="Arial" w:eastAsia="Arial" w:hAnsi="Arial"/>
          <w:sz w:val="18"/>
          <w:szCs w:val="18"/>
          <w:color w:val="auto"/>
        </w:rPr>
        <w:t xml:space="preserve"> technologies and BOLT</w:t>
      </w:r>
      <w:r>
        <w:rPr>
          <w:rFonts w:ascii="Arial" w:cs="Arial" w:eastAsia="Arial" w:hAnsi="Arial"/>
          <w:sz w:val="15"/>
          <w:szCs w:val="15"/>
          <w:color w:val="auto"/>
        </w:rPr>
        <w:t>®</w:t>
      </w:r>
      <w:r>
        <w:rPr>
          <w:rFonts w:ascii="Arial" w:cs="Arial" w:eastAsia="Arial" w:hAnsi="Arial"/>
          <w:sz w:val="18"/>
          <w:szCs w:val="18"/>
          <w:color w:val="auto"/>
        </w:rPr>
        <w:t xml:space="preserve"> technology, and our future expanded launches of Enlist E3™ and Conkesta E3™, all providing broad spectrum weed control, as well as Pioneer</w:t>
      </w:r>
      <w:r>
        <w:rPr>
          <w:rFonts w:ascii="Arial" w:cs="Arial" w:eastAsia="Arial" w:hAnsi="Arial"/>
          <w:sz w:val="15"/>
          <w:szCs w:val="15"/>
          <w:color w:val="auto"/>
        </w:rPr>
        <w:t>®</w:t>
      </w:r>
      <w:r>
        <w:rPr>
          <w:rFonts w:ascii="Arial" w:cs="Arial" w:eastAsia="Arial" w:hAnsi="Arial"/>
          <w:sz w:val="18"/>
          <w:szCs w:val="18"/>
          <w:color w:val="auto"/>
        </w:rPr>
        <w:t xml:space="preserve"> brand Plenish</w:t>
      </w:r>
      <w:r>
        <w:rPr>
          <w:rFonts w:ascii="Arial" w:cs="Arial" w:eastAsia="Arial" w:hAnsi="Arial"/>
          <w:sz w:val="15"/>
          <w:szCs w:val="15"/>
          <w:color w:val="auto"/>
        </w:rPr>
        <w:t>®</w:t>
      </w:r>
      <w:r>
        <w:rPr>
          <w:rFonts w:ascii="Arial" w:cs="Arial" w:eastAsia="Arial" w:hAnsi="Arial"/>
          <w:sz w:val="18"/>
          <w:szCs w:val="18"/>
          <w:color w:val="auto"/>
        </w:rPr>
        <w:t xml:space="preserve"> high oleic soybean oil.</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Product</w:t>
            </w:r>
          </w:p>
        </w:tc>
        <w:tc>
          <w:tcPr>
            <w:tcW w:w="1980" w:type="dxa"/>
            <w:vAlign w:val="bottom"/>
            <w:vMerge w:val="restart"/>
          </w:tcPr>
          <w:p>
            <w:pPr>
              <w:jc w:val="center"/>
              <w:ind w:left="451"/>
              <w:spacing w:after="0"/>
              <w:rPr>
                <w:sz w:val="20"/>
                <w:szCs w:val="20"/>
                <w:color w:val="auto"/>
              </w:rPr>
            </w:pPr>
            <w:r>
              <w:rPr>
                <w:rFonts w:ascii="Arial" w:cs="Arial" w:eastAsia="Arial" w:hAnsi="Arial"/>
                <w:sz w:val="14"/>
                <w:szCs w:val="14"/>
                <w:b w:val="1"/>
                <w:bCs w:val="1"/>
                <w:color w:val="auto"/>
                <w:w w:val="93"/>
              </w:rPr>
              <w:t>Stage of R&amp;D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Target Market</w:t>
            </w:r>
          </w:p>
        </w:tc>
        <w:tc>
          <w:tcPr>
            <w:tcW w:w="2420" w:type="dxa"/>
            <w:vAlign w:val="bottom"/>
          </w:tcPr>
          <w:p>
            <w:pPr>
              <w:jc w:val="right"/>
              <w:ind w:right="493"/>
              <w:spacing w:after="0"/>
              <w:rPr>
                <w:sz w:val="20"/>
                <w:szCs w:val="20"/>
                <w:color w:val="auto"/>
              </w:rPr>
            </w:pPr>
            <w:r>
              <w:rPr>
                <w:rFonts w:ascii="Arial" w:cs="Arial" w:eastAsia="Arial" w:hAnsi="Arial"/>
                <w:sz w:val="14"/>
                <w:szCs w:val="14"/>
                <w:b w:val="1"/>
                <w:bCs w:val="1"/>
                <w:color w:val="auto"/>
              </w:rPr>
              <w:t>Market Opportunity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420" w:type="dxa"/>
            <w:vAlign w:val="bottom"/>
          </w:tcPr>
          <w:p>
            <w:pPr>
              <w:jc w:val="right"/>
              <w:ind w:right="573"/>
              <w:spacing w:after="0"/>
              <w:rPr>
                <w:sz w:val="20"/>
                <w:szCs w:val="20"/>
                <w:color w:val="auto"/>
              </w:rPr>
            </w:pPr>
            <w:r>
              <w:rPr>
                <w:rFonts w:ascii="Arial" w:cs="Arial" w:eastAsia="Arial" w:hAnsi="Arial"/>
                <w:sz w:val="14"/>
                <w:szCs w:val="14"/>
                <w:b w:val="1"/>
                <w:bCs w:val="1"/>
                <w:color w:val="auto"/>
              </w:rPr>
              <w:t>in Acres (millions)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Key Product Concepts</w:t>
            </w:r>
          </w:p>
        </w:tc>
        <w:tc>
          <w:tcPr>
            <w:tcW w:w="24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20" w:type="dxa"/>
            <w:vAlign w:val="bottom"/>
            <w:gridSpan w:val="3"/>
          </w:tcPr>
          <w:p>
            <w:pPr>
              <w:spacing w:after="0"/>
              <w:rPr>
                <w:sz w:val="20"/>
                <w:szCs w:val="20"/>
                <w:color w:val="auto"/>
              </w:rPr>
            </w:pPr>
            <w:r>
              <w:rPr>
                <w:rFonts w:ascii="Arial" w:cs="Arial" w:eastAsia="Arial" w:hAnsi="Arial"/>
                <w:sz w:val="18"/>
                <w:szCs w:val="18"/>
                <w:color w:val="auto"/>
              </w:rPr>
              <w:t>Roundup Ready 2 Xtend</w:t>
            </w:r>
            <w:r>
              <w:rPr>
                <w:rFonts w:ascii="Arial" w:cs="Arial" w:eastAsia="Arial" w:hAnsi="Arial"/>
                <w:sz w:val="15"/>
                <w:szCs w:val="15"/>
                <w:color w:val="auto"/>
              </w:rPr>
              <w:t>®</w:t>
            </w:r>
            <w:r>
              <w:rPr>
                <w:rFonts w:ascii="Arial" w:cs="Arial" w:eastAsia="Arial" w:hAnsi="Arial"/>
                <w:sz w:val="18"/>
                <w:szCs w:val="18"/>
                <w:color w:val="auto"/>
              </w:rPr>
              <w:t xml:space="preserve"> technology</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6</w:t>
            </w:r>
          </w:p>
        </w:tc>
        <w:tc>
          <w:tcPr>
            <w:tcW w:w="560" w:type="dxa"/>
            <w:vAlign w:val="bottom"/>
          </w:tcPr>
          <w:p>
            <w:pPr>
              <w:spacing w:after="0"/>
              <w:rPr>
                <w:sz w:val="22"/>
                <w:szCs w:val="22"/>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Intacta RR2 PRO</w:t>
            </w:r>
            <w:r>
              <w:rPr>
                <w:rFonts w:ascii="Arial" w:cs="Arial" w:eastAsia="Arial" w:hAnsi="Arial"/>
                <w:sz w:val="15"/>
                <w:szCs w:val="15"/>
                <w:color w:val="auto"/>
              </w:rPr>
              <w:t>®</w:t>
            </w:r>
            <w:r>
              <w:rPr>
                <w:rFonts w:ascii="Arial" w:cs="Arial" w:eastAsia="Arial" w:hAnsi="Arial"/>
                <w:sz w:val="18"/>
                <w:szCs w:val="18"/>
                <w:color w:val="auto"/>
              </w:rPr>
              <w:t xml:space="preserve"> technology</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6</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Plenish</w:t>
            </w:r>
            <w:r>
              <w:rPr>
                <w:rFonts w:ascii="Arial" w:cs="Arial" w:eastAsia="Arial" w:hAnsi="Arial"/>
                <w:sz w:val="15"/>
                <w:szCs w:val="15"/>
                <w:color w:val="auto"/>
              </w:rPr>
              <w:t>®</w:t>
            </w:r>
            <w:r>
              <w:rPr>
                <w:rFonts w:ascii="Arial" w:cs="Arial" w:eastAsia="Arial" w:hAnsi="Arial"/>
                <w:sz w:val="18"/>
                <w:szCs w:val="18"/>
                <w:color w:val="auto"/>
              </w:rPr>
              <w:t xml:space="preserve"> High Oleic Soybean</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6</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&lt;50</w:t>
            </w:r>
          </w:p>
        </w:tc>
        <w:tc>
          <w:tcPr>
            <w:tcW w:w="0" w:type="dxa"/>
            <w:vAlign w:val="bottom"/>
          </w:tcPr>
          <w:p>
            <w:pPr>
              <w:spacing w:after="0"/>
              <w:rPr>
                <w:sz w:val="1"/>
                <w:szCs w:val="1"/>
                <w:color w:val="auto"/>
              </w:rPr>
            </w:pPr>
          </w:p>
        </w:tc>
      </w:tr>
      <w:tr>
        <w:trPr>
          <w:trHeight w:val="243"/>
        </w:trPr>
        <w:tc>
          <w:tcPr>
            <w:tcW w:w="3120" w:type="dxa"/>
            <w:vAlign w:val="bottom"/>
            <w:gridSpan w:val="3"/>
          </w:tcPr>
          <w:p>
            <w:pPr>
              <w:spacing w:after="0"/>
              <w:rPr>
                <w:sz w:val="20"/>
                <w:szCs w:val="20"/>
                <w:color w:val="auto"/>
              </w:rPr>
            </w:pPr>
            <w:r>
              <w:rPr>
                <w:rFonts w:ascii="Arial" w:cs="Arial" w:eastAsia="Arial" w:hAnsi="Arial"/>
                <w:sz w:val="18"/>
                <w:szCs w:val="18"/>
                <w:color w:val="auto"/>
              </w:rPr>
              <w:t>Enlist E3™</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5</w:t>
            </w:r>
          </w:p>
        </w:tc>
        <w:tc>
          <w:tcPr>
            <w:tcW w:w="560" w:type="dxa"/>
            <w:vAlign w:val="bottom"/>
          </w:tcPr>
          <w:p>
            <w:pPr>
              <w:spacing w:after="0"/>
              <w:rPr>
                <w:sz w:val="21"/>
                <w:szCs w:val="21"/>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Conkesta E3™</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4</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56"/>
        </w:trPr>
        <w:tc>
          <w:tcPr>
            <w:tcW w:w="3120" w:type="dxa"/>
            <w:vAlign w:val="bottom"/>
            <w:gridSpan w:val="3"/>
          </w:tcPr>
          <w:p>
            <w:pPr>
              <w:spacing w:after="0"/>
              <w:rPr>
                <w:sz w:val="20"/>
                <w:szCs w:val="20"/>
                <w:color w:val="auto"/>
              </w:rPr>
            </w:pPr>
            <w:r>
              <w:rPr>
                <w:rFonts w:ascii="Arial" w:cs="Arial" w:eastAsia="Arial" w:hAnsi="Arial"/>
                <w:sz w:val="18"/>
                <w:szCs w:val="18"/>
                <w:color w:val="auto"/>
              </w:rPr>
              <w:t>Plenish</w:t>
            </w:r>
            <w:r>
              <w:rPr>
                <w:rFonts w:ascii="Arial" w:cs="Arial" w:eastAsia="Arial" w:hAnsi="Arial"/>
                <w:sz w:val="15"/>
                <w:szCs w:val="15"/>
                <w:color w:val="auto"/>
              </w:rPr>
              <w:t>®</w:t>
            </w:r>
            <w:r>
              <w:rPr>
                <w:rFonts w:ascii="Arial" w:cs="Arial" w:eastAsia="Arial" w:hAnsi="Arial"/>
                <w:sz w:val="18"/>
                <w:szCs w:val="18"/>
                <w:color w:val="auto"/>
              </w:rPr>
              <w:t xml:space="preserve"> High Oleic Soybean with</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22"/>
                <w:szCs w:val="22"/>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&lt;50</w:t>
            </w:r>
          </w:p>
        </w:tc>
        <w:tc>
          <w:tcPr>
            <w:tcW w:w="0" w:type="dxa"/>
            <w:vAlign w:val="bottom"/>
          </w:tcPr>
          <w:p>
            <w:pPr>
              <w:spacing w:after="0"/>
              <w:rPr>
                <w:sz w:val="1"/>
                <w:szCs w:val="1"/>
                <w:color w:val="auto"/>
              </w:rPr>
            </w:pPr>
          </w:p>
        </w:tc>
      </w:tr>
      <w:tr>
        <w:trPr>
          <w:trHeight w:val="230"/>
        </w:trPr>
        <w:tc>
          <w:tcPr>
            <w:tcW w:w="3120" w:type="dxa"/>
            <w:vAlign w:val="bottom"/>
            <w:gridSpan w:val="3"/>
          </w:tcPr>
          <w:p>
            <w:pPr>
              <w:spacing w:after="0"/>
              <w:rPr>
                <w:sz w:val="20"/>
                <w:szCs w:val="20"/>
                <w:color w:val="auto"/>
              </w:rPr>
            </w:pPr>
            <w:r>
              <w:rPr>
                <w:rFonts w:ascii="Arial" w:cs="Arial" w:eastAsia="Arial" w:hAnsi="Arial"/>
                <w:sz w:val="18"/>
                <w:szCs w:val="18"/>
                <w:color w:val="auto"/>
              </w:rPr>
              <w:t>MMHT</w:t>
            </w:r>
          </w:p>
        </w:tc>
        <w:tc>
          <w:tcPr>
            <w:tcW w:w="1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i w:val="1"/>
                <w:iCs w:val="1"/>
                <w:color w:val="auto"/>
              </w:rPr>
              <w:t>NextGen Biotech Solutions</w:t>
            </w:r>
          </w:p>
        </w:tc>
        <w:tc>
          <w:tcPr>
            <w:tcW w:w="1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20" w:type="dxa"/>
            <w:vAlign w:val="bottom"/>
            <w:gridSpan w:val="3"/>
          </w:tcPr>
          <w:p>
            <w:pPr>
              <w:spacing w:after="0"/>
              <w:rPr>
                <w:sz w:val="20"/>
                <w:szCs w:val="20"/>
                <w:color w:val="auto"/>
              </w:rPr>
            </w:pPr>
            <w:r>
              <w:rPr>
                <w:rFonts w:ascii="Arial" w:cs="Arial" w:eastAsia="Arial" w:hAnsi="Arial"/>
                <w:sz w:val="18"/>
                <w:szCs w:val="18"/>
                <w:color w:val="auto"/>
              </w:rPr>
              <w:t>Increase Soybean Oil and Improved</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22"/>
                <w:szCs w:val="22"/>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30"/>
        </w:trPr>
        <w:tc>
          <w:tcPr>
            <w:tcW w:w="3120" w:type="dxa"/>
            <w:vAlign w:val="bottom"/>
            <w:gridSpan w:val="3"/>
          </w:tcPr>
          <w:p>
            <w:pPr>
              <w:spacing w:after="0"/>
              <w:rPr>
                <w:sz w:val="20"/>
                <w:szCs w:val="20"/>
                <w:color w:val="auto"/>
              </w:rPr>
            </w:pPr>
            <w:r>
              <w:rPr>
                <w:rFonts w:ascii="Arial" w:cs="Arial" w:eastAsia="Arial" w:hAnsi="Arial"/>
                <w:sz w:val="18"/>
                <w:szCs w:val="18"/>
                <w:color w:val="auto"/>
              </w:rPr>
              <w:t>Meal Value</w:t>
            </w:r>
          </w:p>
        </w:tc>
        <w:tc>
          <w:tcPr>
            <w:tcW w:w="1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Multiple Mode Herbicide Tolerance II</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New MOA Lepidopteran Protection</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Asian Soybean Rust Resistance</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1</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Latin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i w:val="1"/>
                <w:iCs w:val="1"/>
                <w:color w:val="auto"/>
              </w:rPr>
              <w:t>Digital Breeding Technologies</w:t>
            </w:r>
          </w:p>
        </w:tc>
        <w:tc>
          <w:tcPr>
            <w:tcW w:w="1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NextGen High Oleic Soybean Oil</w:t>
            </w:r>
          </w:p>
        </w:tc>
        <w:tc>
          <w:tcPr>
            <w:tcW w:w="1980" w:type="dxa"/>
            <w:vAlign w:val="bottom"/>
          </w:tcPr>
          <w:p>
            <w:pPr>
              <w:jc w:val="center"/>
              <w:ind w:left="451"/>
              <w:spacing w:after="0"/>
              <w:rPr>
                <w:sz w:val="20"/>
                <w:szCs w:val="20"/>
                <w:color w:val="auto"/>
              </w:rPr>
            </w:pPr>
            <w:r>
              <w:rPr>
                <w:rFonts w:ascii="Arial" w:cs="Arial" w:eastAsia="Arial" w:hAnsi="Arial"/>
                <w:sz w:val="18"/>
                <w:szCs w:val="18"/>
                <w:color w:val="auto"/>
                <w:w w:val="79"/>
              </w:rPr>
              <w:t>1</w:t>
            </w:r>
          </w:p>
        </w:tc>
        <w:tc>
          <w:tcPr>
            <w:tcW w:w="560" w:type="dxa"/>
            <w:vAlign w:val="bottom"/>
          </w:tcPr>
          <w:p>
            <w:pPr>
              <w:spacing w:after="0"/>
              <w:rPr>
                <w:sz w:val="23"/>
                <w:szCs w:val="23"/>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50-100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Complimentary Crops</w:t>
      </w:r>
    </w:p>
    <w:p>
      <w:pPr>
        <w:spacing w:after="0" w:line="117"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While corn and soybeans each continue to be a core focus, we remain committed to maintaining a broad portfolio of offerings such as cotton, canola, sunflowers, rice, silage inoculants, sorghum and wheat. This expansive portfolio enables us to provide solutions customizable to local and regional preferences, serve the full range of farmer needs throughout the year, cultivate customer intimacy and adapt as farming trends shift in the long-term. We believe that the combined strengths of Historical DuPont and Dow AgroSciences has positioned us well to deliver healthy oils to the consumer, including PROPOUND™, a high protein canola meal for animal production, and NEXERA</w:t>
      </w:r>
      <w:r>
        <w:rPr>
          <w:rFonts w:ascii="Arial" w:cs="Arial" w:eastAsia="Arial" w:hAnsi="Arial"/>
          <w:sz w:val="15"/>
          <w:szCs w:val="15"/>
          <w:color w:val="auto"/>
        </w:rPr>
        <w:t>®</w:t>
      </w:r>
      <w:r>
        <w:rPr>
          <w:rFonts w:ascii="Arial" w:cs="Arial" w:eastAsia="Arial" w:hAnsi="Arial"/>
          <w:sz w:val="18"/>
          <w:szCs w:val="18"/>
          <w:color w:val="auto"/>
        </w:rPr>
        <w:t xml:space="preserve"> seeds that produce Omega 9 sunflower oil, a saturated fat free oil product for food manufacturers.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Product</w:t>
            </w:r>
          </w:p>
        </w:tc>
        <w:tc>
          <w:tcPr>
            <w:tcW w:w="2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Stage of R&amp;D</w:t>
            </w:r>
          </w:p>
        </w:tc>
        <w:tc>
          <w:tcPr>
            <w:tcW w:w="220" w:type="dxa"/>
            <w:vAlign w:val="bottom"/>
          </w:tcPr>
          <w:p>
            <w:pPr>
              <w:spacing w:after="0"/>
              <w:rPr>
                <w:sz w:val="14"/>
                <w:szCs w:val="14"/>
                <w:color w:val="auto"/>
              </w:rPr>
            </w:pPr>
          </w:p>
        </w:tc>
        <w:tc>
          <w:tcPr>
            <w:tcW w:w="27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Target Market</w:t>
            </w:r>
          </w:p>
        </w:tc>
        <w:tc>
          <w:tcPr>
            <w:tcW w:w="2420" w:type="dxa"/>
            <w:vAlign w:val="bottom"/>
          </w:tcPr>
          <w:p>
            <w:pPr>
              <w:jc w:val="right"/>
              <w:ind w:right="495"/>
              <w:spacing w:after="0"/>
              <w:rPr>
                <w:sz w:val="20"/>
                <w:szCs w:val="20"/>
                <w:color w:val="auto"/>
              </w:rPr>
            </w:pPr>
            <w:r>
              <w:rPr>
                <w:rFonts w:ascii="Arial" w:cs="Arial" w:eastAsia="Arial" w:hAnsi="Arial"/>
                <w:sz w:val="14"/>
                <w:szCs w:val="14"/>
                <w:b w:val="1"/>
                <w:bCs w:val="1"/>
                <w:color w:val="auto"/>
              </w:rPr>
              <w:t>Market Opportunity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2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420" w:type="dxa"/>
            <w:vAlign w:val="bottom"/>
          </w:tcPr>
          <w:p>
            <w:pPr>
              <w:jc w:val="right"/>
              <w:ind w:right="575"/>
              <w:spacing w:after="0"/>
              <w:rPr>
                <w:sz w:val="20"/>
                <w:szCs w:val="20"/>
                <w:color w:val="auto"/>
              </w:rPr>
            </w:pPr>
            <w:r>
              <w:rPr>
                <w:rFonts w:ascii="Arial" w:cs="Arial" w:eastAsia="Arial" w:hAnsi="Arial"/>
                <w:sz w:val="14"/>
                <w:szCs w:val="14"/>
                <w:b w:val="1"/>
                <w:bCs w:val="1"/>
                <w:color w:val="auto"/>
              </w:rPr>
              <w:t>in Acres (millions)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Widestrike</w:t>
            </w:r>
            <w:r>
              <w:rPr>
                <w:rFonts w:ascii="Arial" w:cs="Arial" w:eastAsia="Arial" w:hAnsi="Arial"/>
                <w:sz w:val="15"/>
                <w:szCs w:val="15"/>
                <w:color w:val="auto"/>
              </w:rPr>
              <w:t>®</w:t>
            </w:r>
            <w:r>
              <w:rPr>
                <w:rFonts w:ascii="Arial" w:cs="Arial" w:eastAsia="Arial" w:hAnsi="Arial"/>
                <w:sz w:val="18"/>
                <w:szCs w:val="18"/>
                <w:color w:val="auto"/>
              </w:rPr>
              <w:t xml:space="preserve"> Insect Protection</w:t>
            </w:r>
          </w:p>
        </w:tc>
        <w:tc>
          <w:tcPr>
            <w:tcW w:w="240" w:type="dxa"/>
            <w:vAlign w:val="bottom"/>
          </w:tcPr>
          <w:p>
            <w:pPr>
              <w:spacing w:after="0"/>
              <w:rPr>
                <w:sz w:val="16"/>
                <w:szCs w:val="16"/>
                <w:color w:val="auto"/>
              </w:rPr>
            </w:pPr>
          </w:p>
        </w:tc>
        <w:tc>
          <w:tcPr>
            <w:tcW w:w="2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16"/>
                <w:szCs w:val="16"/>
                <w:color w:val="auto"/>
              </w:rPr>
            </w:pPr>
          </w:p>
        </w:tc>
        <w:tc>
          <w:tcPr>
            <w:tcW w:w="2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&lt;50</w:t>
            </w:r>
          </w:p>
        </w:tc>
        <w:tc>
          <w:tcPr>
            <w:tcW w:w="0" w:type="dxa"/>
            <w:vAlign w:val="bottom"/>
          </w:tcPr>
          <w:p>
            <w:pPr>
              <w:spacing w:after="0"/>
              <w:rPr>
                <w:sz w:val="1"/>
                <w:szCs w:val="1"/>
                <w:color w:val="auto"/>
              </w:rPr>
            </w:pPr>
          </w:p>
        </w:tc>
      </w:tr>
      <w:tr>
        <w:trPr>
          <w:trHeight w:val="230"/>
        </w:trPr>
        <w:tc>
          <w:tcPr>
            <w:tcW w:w="3120" w:type="dxa"/>
            <w:vAlign w:val="bottom"/>
            <w:gridSpan w:val="3"/>
          </w:tcPr>
          <w:p>
            <w:pPr>
              <w:spacing w:after="0"/>
              <w:rPr>
                <w:sz w:val="20"/>
                <w:szCs w:val="20"/>
                <w:color w:val="auto"/>
              </w:rPr>
            </w:pPr>
            <w:r>
              <w:rPr>
                <w:rFonts w:ascii="Arial" w:cs="Arial" w:eastAsia="Arial" w:hAnsi="Arial"/>
                <w:sz w:val="18"/>
                <w:szCs w:val="18"/>
                <w:color w:val="auto"/>
              </w:rPr>
              <w:t>Enlist</w:t>
            </w:r>
            <w:r>
              <w:rPr>
                <w:rFonts w:ascii="Arial" w:cs="Arial" w:eastAsia="Arial" w:hAnsi="Arial"/>
                <w:sz w:val="15"/>
                <w:szCs w:val="15"/>
                <w:color w:val="auto"/>
              </w:rPr>
              <w:t>™</w:t>
            </w:r>
            <w:r>
              <w:rPr>
                <w:rFonts w:ascii="Arial" w:cs="Arial" w:eastAsia="Arial" w:hAnsi="Arial"/>
                <w:sz w:val="18"/>
                <w:szCs w:val="18"/>
                <w:color w:val="auto"/>
              </w:rPr>
              <w:t xml:space="preserve"> Cotton</w:t>
            </w: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20" w:type="dxa"/>
            <w:vAlign w:val="bottom"/>
            <w:gridSpan w:val="3"/>
          </w:tcPr>
          <w:p>
            <w:pPr>
              <w:spacing w:after="0"/>
              <w:rPr>
                <w:sz w:val="20"/>
                <w:szCs w:val="20"/>
                <w:color w:val="auto"/>
              </w:rPr>
            </w:pPr>
            <w:r>
              <w:rPr>
                <w:rFonts w:ascii="Arial" w:cs="Arial" w:eastAsia="Arial" w:hAnsi="Arial"/>
                <w:sz w:val="18"/>
                <w:szCs w:val="18"/>
                <w:color w:val="auto"/>
              </w:rPr>
              <w:t>Herbicide Tolerant Canola with</w:t>
            </w:r>
          </w:p>
        </w:tc>
        <w:tc>
          <w:tcPr>
            <w:tcW w:w="25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w:t>
            </w:r>
          </w:p>
        </w:tc>
        <w:tc>
          <w:tcPr>
            <w:tcW w:w="2420" w:type="dxa"/>
            <w:vAlign w:val="bottom"/>
          </w:tcPr>
          <w:p>
            <w:pPr>
              <w:jc w:val="right"/>
              <w:spacing w:after="0"/>
              <w:rPr>
                <w:sz w:val="20"/>
                <w:szCs w:val="20"/>
                <w:color w:val="auto"/>
              </w:rPr>
            </w:pPr>
            <w:r>
              <w:rPr>
                <w:rFonts w:ascii="Arial" w:cs="Arial" w:eastAsia="Arial" w:hAnsi="Arial"/>
                <w:sz w:val="18"/>
                <w:szCs w:val="18"/>
                <w:color w:val="auto"/>
              </w:rPr>
              <w:t>&lt;50</w:t>
            </w:r>
          </w:p>
        </w:tc>
        <w:tc>
          <w:tcPr>
            <w:tcW w:w="0" w:type="dxa"/>
            <w:vAlign w:val="bottom"/>
          </w:tcPr>
          <w:p>
            <w:pPr>
              <w:spacing w:after="0"/>
              <w:rPr>
                <w:sz w:val="1"/>
                <w:szCs w:val="1"/>
                <w:color w:val="auto"/>
              </w:rPr>
            </w:pPr>
          </w:p>
        </w:tc>
      </w:tr>
      <w:tr>
        <w:trPr>
          <w:trHeight w:val="230"/>
        </w:trPr>
        <w:tc>
          <w:tcPr>
            <w:tcW w:w="3120" w:type="dxa"/>
            <w:vAlign w:val="bottom"/>
            <w:gridSpan w:val="3"/>
          </w:tcPr>
          <w:p>
            <w:pPr>
              <w:spacing w:after="0"/>
              <w:rPr>
                <w:sz w:val="20"/>
                <w:szCs w:val="20"/>
                <w:color w:val="auto"/>
              </w:rPr>
            </w:pPr>
            <w:r>
              <w:rPr>
                <w:rFonts w:ascii="Arial" w:cs="Arial" w:eastAsia="Arial" w:hAnsi="Arial"/>
                <w:sz w:val="18"/>
                <w:szCs w:val="18"/>
                <w:color w:val="auto"/>
              </w:rPr>
              <w:t>LibertyLink</w:t>
            </w:r>
            <w:r>
              <w:rPr>
                <w:rFonts w:ascii="Arial" w:cs="Arial" w:eastAsia="Arial" w:hAnsi="Arial"/>
                <w:sz w:val="15"/>
                <w:szCs w:val="15"/>
                <w:color w:val="auto"/>
              </w:rPr>
              <w:t>®</w:t>
            </w:r>
            <w:r>
              <w:rPr>
                <w:rFonts w:ascii="Arial" w:cs="Arial" w:eastAsia="Arial" w:hAnsi="Arial"/>
                <w:sz w:val="18"/>
                <w:szCs w:val="18"/>
                <w:color w:val="auto"/>
              </w:rPr>
              <w:t xml:space="preserve"> Trait</w:t>
            </w: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color w:val="auto"/>
              </w:rPr>
              <w:t>Optimum</w:t>
            </w:r>
            <w:r>
              <w:rPr>
                <w:rFonts w:ascii="Arial" w:cs="Arial" w:eastAsia="Arial" w:hAnsi="Arial"/>
                <w:sz w:val="15"/>
                <w:szCs w:val="15"/>
                <w:color w:val="auto"/>
              </w:rPr>
              <w:t>®</w:t>
            </w:r>
            <w:r>
              <w:rPr>
                <w:rFonts w:ascii="Arial" w:cs="Arial" w:eastAsia="Arial" w:hAnsi="Arial"/>
                <w:sz w:val="18"/>
                <w:szCs w:val="18"/>
                <w:color w:val="auto"/>
              </w:rPr>
              <w:t xml:space="preserve"> Gly Herbicide Tolerance</w:t>
            </w:r>
          </w:p>
        </w:tc>
        <w:tc>
          <w:tcPr>
            <w:tcW w:w="25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Asia Pacific</w:t>
            </w:r>
          </w:p>
        </w:tc>
        <w:tc>
          <w:tcPr>
            <w:tcW w:w="2420" w:type="dxa"/>
            <w:vAlign w:val="bottom"/>
          </w:tcPr>
          <w:p>
            <w:pPr>
              <w:jc w:val="right"/>
              <w:spacing w:after="0"/>
              <w:rPr>
                <w:sz w:val="20"/>
                <w:szCs w:val="20"/>
                <w:color w:val="auto"/>
              </w:rPr>
            </w:pPr>
            <w:r>
              <w:rPr>
                <w:rFonts w:ascii="Arial" w:cs="Arial" w:eastAsia="Arial" w:hAnsi="Arial"/>
                <w:sz w:val="18"/>
                <w:szCs w:val="18"/>
                <w:color w:val="auto"/>
              </w:rPr>
              <w:t>&lt;50</w:t>
            </w:r>
          </w:p>
        </w:tc>
        <w:tc>
          <w:tcPr>
            <w:tcW w:w="0" w:type="dxa"/>
            <w:vAlign w:val="bottom"/>
          </w:tcPr>
          <w:p>
            <w:pPr>
              <w:spacing w:after="0"/>
              <w:rPr>
                <w:sz w:val="1"/>
                <w:szCs w:val="1"/>
                <w:color w:val="auto"/>
              </w:rPr>
            </w:pPr>
          </w:p>
        </w:tc>
      </w:tr>
      <w:tr>
        <w:trPr>
          <w:trHeight w:val="256"/>
        </w:trPr>
        <w:tc>
          <w:tcPr>
            <w:tcW w:w="3120" w:type="dxa"/>
            <w:vAlign w:val="bottom"/>
            <w:gridSpan w:val="3"/>
          </w:tcPr>
          <w:p>
            <w:pPr>
              <w:spacing w:after="0"/>
              <w:rPr>
                <w:sz w:val="20"/>
                <w:szCs w:val="20"/>
                <w:color w:val="auto"/>
              </w:rPr>
            </w:pPr>
            <w:r>
              <w:rPr>
                <w:rFonts w:ascii="Arial" w:cs="Arial" w:eastAsia="Arial" w:hAnsi="Arial"/>
                <w:sz w:val="18"/>
                <w:szCs w:val="18"/>
                <w:color w:val="auto"/>
                <w:w w:val="99"/>
              </w:rPr>
              <w:t>PROPOUND</w:t>
            </w:r>
            <w:r>
              <w:rPr>
                <w:rFonts w:ascii="Arial" w:cs="Arial" w:eastAsia="Arial" w:hAnsi="Arial"/>
                <w:sz w:val="15"/>
                <w:szCs w:val="15"/>
                <w:color w:val="auto"/>
                <w:w w:val="99"/>
              </w:rPr>
              <w:t>™</w:t>
            </w:r>
            <w:r>
              <w:rPr>
                <w:rFonts w:ascii="Arial" w:cs="Arial" w:eastAsia="Arial" w:hAnsi="Arial"/>
                <w:sz w:val="18"/>
                <w:szCs w:val="18"/>
                <w:color w:val="auto"/>
                <w:w w:val="99"/>
              </w:rPr>
              <w:t xml:space="preserve"> Advanced Canola Meal</w:t>
            </w:r>
          </w:p>
        </w:tc>
        <w:tc>
          <w:tcPr>
            <w:tcW w:w="25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Europe, Asia</w:t>
            </w:r>
          </w:p>
        </w:tc>
        <w:tc>
          <w:tcPr>
            <w:tcW w:w="2420" w:type="dxa"/>
            <w:vAlign w:val="bottom"/>
          </w:tcPr>
          <w:p>
            <w:pPr>
              <w:jc w:val="right"/>
              <w:spacing w:after="0"/>
              <w:rPr>
                <w:sz w:val="20"/>
                <w:szCs w:val="20"/>
                <w:color w:val="auto"/>
              </w:rPr>
            </w:pPr>
            <w:r>
              <w:rPr>
                <w:rFonts w:ascii="Arial" w:cs="Arial" w:eastAsia="Arial" w:hAnsi="Arial"/>
                <w:sz w:val="18"/>
                <w:szCs w:val="18"/>
                <w:color w:val="auto"/>
              </w:rPr>
              <w:t>&lt;50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Pacific</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20" w:type="dxa"/>
            <w:vAlign w:val="bottom"/>
            <w:gridSpan w:val="3"/>
          </w:tcPr>
          <w:p>
            <w:pPr>
              <w:spacing w:after="0"/>
              <w:rPr>
                <w:sz w:val="20"/>
                <w:szCs w:val="20"/>
                <w:color w:val="auto"/>
              </w:rPr>
            </w:pPr>
            <w:r>
              <w:rPr>
                <w:rFonts w:ascii="Arial" w:cs="Arial" w:eastAsia="Arial" w:hAnsi="Arial"/>
                <w:sz w:val="18"/>
                <w:szCs w:val="18"/>
                <w:color w:val="auto"/>
              </w:rPr>
              <w:t>Omega 9 Reduced Saturate Sunflower</w:t>
            </w:r>
          </w:p>
        </w:tc>
        <w:tc>
          <w:tcPr>
            <w:tcW w:w="25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North America, Europe, Latin</w:t>
            </w:r>
          </w:p>
        </w:tc>
        <w:tc>
          <w:tcPr>
            <w:tcW w:w="2420" w:type="dxa"/>
            <w:vAlign w:val="bottom"/>
          </w:tcPr>
          <w:p>
            <w:pPr>
              <w:jc w:val="right"/>
              <w:spacing w:after="0"/>
              <w:rPr>
                <w:sz w:val="20"/>
                <w:szCs w:val="20"/>
                <w:color w:val="auto"/>
              </w:rPr>
            </w:pPr>
            <w:r>
              <w:rPr>
                <w:rFonts w:ascii="Arial" w:cs="Arial" w:eastAsia="Arial" w:hAnsi="Arial"/>
                <w:sz w:val="18"/>
                <w:szCs w:val="18"/>
                <w:color w:val="auto"/>
              </w:rPr>
              <w:t>&lt;50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960" w:type="dxa"/>
            <w:vAlign w:val="bottom"/>
            <w:gridSpan w:val="3"/>
          </w:tcPr>
          <w:p>
            <w:pPr>
              <w:ind w:left="200"/>
              <w:spacing w:after="0"/>
              <w:rPr>
                <w:sz w:val="20"/>
                <w:szCs w:val="20"/>
                <w:color w:val="auto"/>
              </w:rPr>
            </w:pPr>
            <w:r>
              <w:rPr>
                <w:rFonts w:ascii="Arial" w:cs="Arial" w:eastAsia="Arial" w:hAnsi="Arial"/>
                <w:sz w:val="18"/>
                <w:szCs w:val="18"/>
                <w:color w:val="auto"/>
              </w:rPr>
              <w:t>America</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hanging="424"/>
        <w:spacing w:after="0"/>
        <w:tabs>
          <w:tab w:leader="none" w:pos="1060" w:val="left"/>
        </w:tabs>
        <w:numPr>
          <w:ilvl w:val="0"/>
          <w:numId w:val="223"/>
        </w:numPr>
        <w:rPr>
          <w:rFonts w:ascii="Arial" w:cs="Arial" w:eastAsia="Arial" w:hAnsi="Arial"/>
          <w:sz w:val="18"/>
          <w:szCs w:val="18"/>
          <w:i w:val="1"/>
          <w:iCs w:val="1"/>
          <w:color w:val="auto"/>
        </w:rPr>
      </w:pPr>
      <w:r>
        <w:rPr>
          <w:rFonts w:ascii="Arial" w:cs="Arial" w:eastAsia="Arial" w:hAnsi="Arial"/>
          <w:sz w:val="18"/>
          <w:szCs w:val="18"/>
          <w:u w:val="single" w:color="auto"/>
          <w:color w:val="auto"/>
        </w:rPr>
        <w:t>Raw Materials and Supply Chain</w:t>
      </w:r>
    </w:p>
    <w:p>
      <w:pPr>
        <w:spacing w:after="0" w:line="117"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Our raw materials and supplies include corn and soybean seeds. To produce our high-quality seeds, we contract with third party growers globally who are leaders in the industry. We focus on production close to the customer to ensure the seed product is developed specifically for that region and its weed, insect and disease challenges, weather, soil and other conditions. We condition and package the seeds using our own plants. By striking a balance between owning production facility assets directly and contracting with third party growers, we believe we are best able to maintain flexibility to react to demand changes unique to each geography while minimizing costs. We seek to partner with strategic seed growers and share our digital agronomy and product management knowledge with them. Our growers are an important part of our supply chain. We provide them with rigorous training, planning tools and access to a system that tests and advances products matched to specific geographic needs.</w:t>
      </w:r>
    </w:p>
    <w:p>
      <w:pPr>
        <w:spacing w:after="0" w:line="167" w:lineRule="exact"/>
        <w:rPr>
          <w:sz w:val="20"/>
          <w:szCs w:val="20"/>
          <w:color w:val="auto"/>
        </w:rPr>
      </w:pPr>
    </w:p>
    <w:p>
      <w:pPr>
        <w:ind w:left="200" w:right="180"/>
        <w:spacing w:after="0" w:line="297" w:lineRule="auto"/>
        <w:rPr>
          <w:sz w:val="20"/>
          <w:szCs w:val="20"/>
          <w:color w:val="auto"/>
        </w:rPr>
      </w:pPr>
      <w:r>
        <w:rPr>
          <w:rFonts w:ascii="Arial" w:cs="Arial" w:eastAsia="Arial" w:hAnsi="Arial"/>
          <w:sz w:val="16"/>
          <w:szCs w:val="16"/>
          <w:color w:val="auto"/>
        </w:rPr>
        <w:t>Our research and development and supply chain groups work seamlessly to select and maintain product characteristics that enhance the quality of our seed products. With our large sets of digitized data and our seed field management solution, we can manage our field operations efficiently and draw insights from our data quickly and effectively. This allows our supply chain to react quickly to changing customer needs and provides research and development with tremendous amounts of data to analyze and incorporate into resource allocation decisions. We are continuing to invest in and build capabilities that drive value via data digitization and analytics that enable us to create an even more responsive and efficient answer to customer needs.</w:t>
      </w:r>
    </w:p>
    <w:p>
      <w:pPr>
        <w:spacing w:after="0" w:line="158"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seed production footprint will be a balance between owned production facilities and third party contracts to maintain flexibility to react to demand changes unique to each geography while minimizing costs.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Our Crop Protection Segment</w:t>
      </w:r>
    </w:p>
    <w:p>
      <w:pPr>
        <w:spacing w:after="0" w:line="131" w:lineRule="exact"/>
        <w:rPr>
          <w:sz w:val="20"/>
          <w:szCs w:val="20"/>
          <w:color w:val="auto"/>
        </w:rPr>
      </w:pPr>
    </w:p>
    <w:p>
      <w:pPr>
        <w:ind w:left="1060" w:hanging="424"/>
        <w:spacing w:after="0"/>
        <w:tabs>
          <w:tab w:leader="none" w:pos="10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We are a global leader in developing and supplying crop protection products and services for more than 100 crops using more than 65 active ingredients in more than 140 countries. We offer a diverse range of crop protection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240" w:top="460" w:right="4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products that service field crops such as wheat, corn, soybean, sunflower, canola/oilseed rape and rice as well as specialty crops such as fruit, nut, vine, sugarcane, coffee and vegetables. In 2018, our crop protection segment generated, on a pro forma basis, $6.4 billion of net sales and $1.1 billion of Segment Operating EBITDA.</w:t>
      </w:r>
    </w:p>
    <w:p>
      <w:pPr>
        <w:spacing w:after="0" w:line="18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Our diverse portfolio of leading technology for weed control, insect and nematode management, disease management, nitrogen management and seed applied technology has been developed specifically for discrete regions around the globe. We offer crop protection solutions that provide farmers the tools they need to improve productivity and profitability, and help keep fields free of weeds, insects and diseases. Our crop protection portfolio includes differentiated and high-value products driven by our innovation capability, and we drive competitive cost advantage through our focus on 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22294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521398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60" w:hanging="424"/>
        <w:spacing w:after="0"/>
        <w:tabs>
          <w:tab w:leader="none" w:pos="106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Products and Brands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crop protection segment’s major brands and technologies, by key product line, include:</w:t>
      </w:r>
    </w:p>
    <w:p>
      <w:pPr>
        <w:spacing w:after="0" w:line="127" w:lineRule="exact"/>
        <w:rPr>
          <w:sz w:val="20"/>
          <w:szCs w:val="20"/>
          <w:color w:val="auto"/>
        </w:rPr>
      </w:pPr>
    </w:p>
    <w:p>
      <w:pPr>
        <w:ind w:left="1060" w:right="280" w:hanging="316"/>
        <w:spacing w:after="0" w:line="313" w:lineRule="auto"/>
        <w:tabs>
          <w:tab w:leader="none" w:pos="1060" w:val="left"/>
        </w:tabs>
        <w:numPr>
          <w:ilvl w:val="0"/>
          <w:numId w:val="226"/>
        </w:numPr>
        <w:rPr>
          <w:rFonts w:ascii="Arial" w:cs="Arial" w:eastAsia="Arial" w:hAnsi="Arial"/>
          <w:sz w:val="17"/>
          <w:szCs w:val="17"/>
          <w:color w:val="auto"/>
        </w:rPr>
      </w:pPr>
      <w:r>
        <w:rPr>
          <w:rFonts w:ascii="Arial" w:cs="Arial" w:eastAsia="Arial" w:hAnsi="Arial"/>
          <w:sz w:val="17"/>
          <w:szCs w:val="17"/>
          <w:b w:val="1"/>
          <w:bCs w:val="1"/>
          <w:color w:val="auto"/>
        </w:rPr>
        <w:t>Insect and Nematode Management</w:t>
      </w:r>
      <w:r>
        <w:rPr>
          <w:rFonts w:ascii="Arial" w:cs="Arial" w:eastAsia="Arial" w:hAnsi="Arial"/>
          <w:sz w:val="17"/>
          <w:szCs w:val="17"/>
          <w:color w:val="auto"/>
        </w:rPr>
        <w:t>: CLOSER</w:t>
      </w:r>
      <w:r>
        <w:rPr>
          <w:rFonts w:ascii="Arial" w:cs="Arial" w:eastAsia="Arial" w:hAnsi="Arial"/>
          <w:sz w:val="14"/>
          <w:szCs w:val="14"/>
          <w:color w:val="auto"/>
        </w:rPr>
        <w:t>®</w:t>
      </w:r>
      <w:r>
        <w:rPr>
          <w:rFonts w:ascii="Arial" w:cs="Arial" w:eastAsia="Arial" w:hAnsi="Arial"/>
          <w:sz w:val="17"/>
          <w:szCs w:val="17"/>
          <w:color w:val="auto"/>
        </w:rPr>
        <w:t>; DELEGATE</w:t>
      </w:r>
      <w:r>
        <w:rPr>
          <w:rFonts w:ascii="Arial" w:cs="Arial" w:eastAsia="Arial" w:hAnsi="Arial"/>
          <w:sz w:val="14"/>
          <w:szCs w:val="14"/>
          <w:color w:val="auto"/>
        </w:rPr>
        <w:t>®</w:t>
      </w:r>
      <w:r>
        <w:rPr>
          <w:rFonts w:ascii="Arial" w:cs="Arial" w:eastAsia="Arial" w:hAnsi="Arial"/>
          <w:sz w:val="17"/>
          <w:szCs w:val="17"/>
          <w:color w:val="auto"/>
        </w:rPr>
        <w:t>; INTREPID</w:t>
      </w:r>
      <w:r>
        <w:rPr>
          <w:rFonts w:ascii="Arial" w:cs="Arial" w:eastAsia="Arial" w:hAnsi="Arial"/>
          <w:sz w:val="14"/>
          <w:szCs w:val="14"/>
          <w:color w:val="auto"/>
        </w:rPr>
        <w:t>®</w:t>
      </w:r>
      <w:r>
        <w:rPr>
          <w:rFonts w:ascii="Arial" w:cs="Arial" w:eastAsia="Arial" w:hAnsi="Arial"/>
          <w:sz w:val="17"/>
          <w:szCs w:val="17"/>
          <w:color w:val="auto"/>
        </w:rPr>
        <w:t>; ISOCLAST</w:t>
      </w:r>
      <w:r>
        <w:rPr>
          <w:rFonts w:ascii="Arial" w:cs="Arial" w:eastAsia="Arial" w:hAnsi="Arial"/>
          <w:sz w:val="14"/>
          <w:szCs w:val="14"/>
          <w:color w:val="auto"/>
        </w:rPr>
        <w:t>®</w:t>
      </w:r>
      <w:r>
        <w:rPr>
          <w:rFonts w:ascii="Arial" w:cs="Arial" w:eastAsia="Arial" w:hAnsi="Arial"/>
          <w:sz w:val="17"/>
          <w:szCs w:val="17"/>
          <w:color w:val="auto"/>
        </w:rPr>
        <w:t>; LANNATE</w:t>
      </w:r>
      <w:r>
        <w:rPr>
          <w:rFonts w:ascii="Arial" w:cs="Arial" w:eastAsia="Arial" w:hAnsi="Arial"/>
          <w:sz w:val="14"/>
          <w:szCs w:val="14"/>
          <w:color w:val="auto"/>
        </w:rPr>
        <w:t>®</w:t>
      </w:r>
      <w:r>
        <w:rPr>
          <w:rFonts w:ascii="Arial" w:cs="Arial" w:eastAsia="Arial" w:hAnsi="Arial"/>
          <w:sz w:val="17"/>
          <w:szCs w:val="17"/>
          <w:color w:val="auto"/>
        </w:rPr>
        <w:t>; EXALT™; PEXALON™;</w:t>
      </w:r>
      <w:r>
        <w:rPr>
          <w:rFonts w:ascii="Arial" w:cs="Arial" w:eastAsia="Arial" w:hAnsi="Arial"/>
          <w:sz w:val="17"/>
          <w:szCs w:val="17"/>
          <w:b w:val="1"/>
          <w:bCs w:val="1"/>
          <w:color w:val="auto"/>
        </w:rPr>
        <w:t xml:space="preserve"> </w:t>
      </w:r>
      <w:r>
        <w:rPr>
          <w:rFonts w:ascii="Arial" w:cs="Arial" w:eastAsia="Arial" w:hAnsi="Arial"/>
          <w:sz w:val="17"/>
          <w:szCs w:val="17"/>
          <w:color w:val="auto"/>
        </w:rPr>
        <w:t>TRANSFORM</w:t>
      </w:r>
      <w:r>
        <w:rPr>
          <w:rFonts w:ascii="Arial" w:cs="Arial" w:eastAsia="Arial" w:hAnsi="Arial"/>
          <w:sz w:val="14"/>
          <w:szCs w:val="14"/>
          <w:color w:val="auto"/>
        </w:rPr>
        <w:t>®</w:t>
      </w:r>
      <w:r>
        <w:rPr>
          <w:rFonts w:ascii="Arial" w:cs="Arial" w:eastAsia="Arial" w:hAnsi="Arial"/>
          <w:sz w:val="17"/>
          <w:szCs w:val="17"/>
          <w:color w:val="auto"/>
        </w:rPr>
        <w:t>; VYDATE</w:t>
      </w:r>
      <w:r>
        <w:rPr>
          <w:rFonts w:ascii="Arial" w:cs="Arial" w:eastAsia="Arial" w:hAnsi="Arial"/>
          <w:sz w:val="14"/>
          <w:szCs w:val="14"/>
          <w:color w:val="auto"/>
        </w:rPr>
        <w:t>®</w:t>
      </w:r>
      <w:r>
        <w:rPr>
          <w:rFonts w:ascii="Arial" w:cs="Arial" w:eastAsia="Arial" w:hAnsi="Arial"/>
          <w:sz w:val="17"/>
          <w:szCs w:val="17"/>
          <w:color w:val="auto"/>
        </w:rPr>
        <w:t>; OPTIMUM</w:t>
      </w:r>
      <w:r>
        <w:rPr>
          <w:rFonts w:ascii="Arial" w:cs="Arial" w:eastAsia="Arial" w:hAnsi="Arial"/>
          <w:sz w:val="14"/>
          <w:szCs w:val="14"/>
          <w:color w:val="auto"/>
        </w:rPr>
        <w:t>®</w:t>
      </w:r>
      <w:r>
        <w:rPr>
          <w:rFonts w:ascii="Arial" w:cs="Arial" w:eastAsia="Arial" w:hAnsi="Arial"/>
          <w:sz w:val="17"/>
          <w:szCs w:val="17"/>
          <w:color w:val="auto"/>
        </w:rPr>
        <w:t>; RADIANT™; SENTRICON</w:t>
      </w:r>
      <w:r>
        <w:rPr>
          <w:rFonts w:ascii="Arial" w:cs="Arial" w:eastAsia="Arial" w:hAnsi="Arial"/>
          <w:sz w:val="14"/>
          <w:szCs w:val="14"/>
          <w:color w:val="auto"/>
        </w:rPr>
        <w:t>®</w:t>
      </w:r>
      <w:r>
        <w:rPr>
          <w:rFonts w:ascii="Arial" w:cs="Arial" w:eastAsia="Arial" w:hAnsi="Arial"/>
          <w:sz w:val="17"/>
          <w:szCs w:val="17"/>
          <w:color w:val="auto"/>
        </w:rPr>
        <w:t>; ENTRUST</w:t>
      </w:r>
      <w:r>
        <w:rPr>
          <w:rFonts w:ascii="Arial" w:cs="Arial" w:eastAsia="Arial" w:hAnsi="Arial"/>
          <w:sz w:val="14"/>
          <w:szCs w:val="14"/>
          <w:color w:val="auto"/>
        </w:rPr>
        <w:t>®</w:t>
      </w:r>
      <w:r>
        <w:rPr>
          <w:rFonts w:ascii="Arial" w:cs="Arial" w:eastAsia="Arial" w:hAnsi="Arial"/>
          <w:sz w:val="17"/>
          <w:szCs w:val="17"/>
          <w:color w:val="auto"/>
        </w:rPr>
        <w:t xml:space="preserve"> SC; GF-120</w:t>
      </w:r>
      <w:r>
        <w:rPr>
          <w:rFonts w:ascii="Arial" w:cs="Arial" w:eastAsia="Arial" w:hAnsi="Arial"/>
          <w:sz w:val="14"/>
          <w:szCs w:val="14"/>
          <w:color w:val="auto"/>
        </w:rPr>
        <w:t>®</w:t>
      </w:r>
      <w:r>
        <w:rPr>
          <w:rFonts w:ascii="Arial" w:cs="Arial" w:eastAsia="Arial" w:hAnsi="Arial"/>
          <w:sz w:val="17"/>
          <w:szCs w:val="17"/>
          <w:color w:val="auto"/>
        </w:rPr>
        <w:t>; TRACER™</w:t>
      </w:r>
    </w:p>
    <w:p>
      <w:pPr>
        <w:spacing w:after="0" w:line="43" w:lineRule="exact"/>
        <w:rPr>
          <w:rFonts w:ascii="Arial" w:cs="Arial" w:eastAsia="Arial" w:hAnsi="Arial"/>
          <w:sz w:val="17"/>
          <w:szCs w:val="17"/>
          <w:color w:val="auto"/>
        </w:rPr>
      </w:pPr>
    </w:p>
    <w:p>
      <w:pPr>
        <w:ind w:left="1060" w:hanging="316"/>
        <w:spacing w:after="0" w:line="313" w:lineRule="auto"/>
        <w:tabs>
          <w:tab w:leader="none" w:pos="1060" w:val="left"/>
        </w:tabs>
        <w:numPr>
          <w:ilvl w:val="0"/>
          <w:numId w:val="226"/>
        </w:numPr>
        <w:rPr>
          <w:rFonts w:ascii="Arial" w:cs="Arial" w:eastAsia="Arial" w:hAnsi="Arial"/>
          <w:sz w:val="17"/>
          <w:szCs w:val="17"/>
          <w:color w:val="auto"/>
        </w:rPr>
      </w:pPr>
      <w:r>
        <w:rPr>
          <w:rFonts w:ascii="Arial" w:cs="Arial" w:eastAsia="Arial" w:hAnsi="Arial"/>
          <w:sz w:val="17"/>
          <w:szCs w:val="17"/>
          <w:b w:val="1"/>
          <w:bCs w:val="1"/>
          <w:color w:val="auto"/>
        </w:rPr>
        <w:t>Disease Management</w:t>
      </w:r>
      <w:r>
        <w:rPr>
          <w:rFonts w:ascii="Arial" w:cs="Arial" w:eastAsia="Arial" w:hAnsi="Arial"/>
          <w:sz w:val="17"/>
          <w:szCs w:val="17"/>
          <w:color w:val="auto"/>
        </w:rPr>
        <w:t>: APPROACH</w:t>
      </w:r>
      <w:r>
        <w:rPr>
          <w:rFonts w:ascii="Arial" w:cs="Arial" w:eastAsia="Arial" w:hAnsi="Arial"/>
          <w:sz w:val="14"/>
          <w:szCs w:val="14"/>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PRIMA; VESSARYA™; APPROACH POWER™; TALENDO™; TALIUS™; EQUATION PRO™;</w:t>
      </w:r>
      <w:r>
        <w:rPr>
          <w:rFonts w:ascii="Arial" w:cs="Arial" w:eastAsia="Arial" w:hAnsi="Arial"/>
          <w:sz w:val="17"/>
          <w:szCs w:val="17"/>
          <w:b w:val="1"/>
          <w:bCs w:val="1"/>
          <w:color w:val="auto"/>
        </w:rPr>
        <w:t xml:space="preserve"> </w:t>
      </w:r>
      <w:r>
        <w:rPr>
          <w:rFonts w:ascii="Arial" w:cs="Arial" w:eastAsia="Arial" w:hAnsi="Arial"/>
          <w:sz w:val="17"/>
          <w:szCs w:val="17"/>
          <w:color w:val="auto"/>
        </w:rPr>
        <w:t>EQUATION CONTACT™; ZORVEC</w:t>
      </w:r>
      <w:r>
        <w:rPr>
          <w:rFonts w:ascii="Arial" w:cs="Arial" w:eastAsia="Arial" w:hAnsi="Arial"/>
          <w:sz w:val="14"/>
          <w:szCs w:val="14"/>
          <w:color w:val="auto"/>
        </w:rPr>
        <w:t>®</w:t>
      </w:r>
      <w:r>
        <w:rPr>
          <w:rFonts w:ascii="Arial" w:cs="Arial" w:eastAsia="Arial" w:hAnsi="Arial"/>
          <w:sz w:val="17"/>
          <w:szCs w:val="17"/>
          <w:color w:val="auto"/>
        </w:rPr>
        <w:t>; DITHANE</w:t>
      </w:r>
      <w:r>
        <w:rPr>
          <w:rFonts w:ascii="Arial" w:cs="Arial" w:eastAsia="Arial" w:hAnsi="Arial"/>
          <w:sz w:val="14"/>
          <w:szCs w:val="14"/>
          <w:color w:val="auto"/>
        </w:rPr>
        <w:t>®</w:t>
      </w:r>
      <w:r>
        <w:rPr>
          <w:rFonts w:ascii="Arial" w:cs="Arial" w:eastAsia="Arial" w:hAnsi="Arial"/>
          <w:sz w:val="17"/>
          <w:szCs w:val="17"/>
          <w:color w:val="auto"/>
        </w:rPr>
        <w:t>; INATREQ™; CURZATE</w:t>
      </w:r>
      <w:r>
        <w:rPr>
          <w:rFonts w:ascii="Arial" w:cs="Arial" w:eastAsia="Arial" w:hAnsi="Arial"/>
          <w:sz w:val="14"/>
          <w:szCs w:val="14"/>
          <w:color w:val="auto"/>
        </w:rPr>
        <w:t>®</w:t>
      </w:r>
      <w:r>
        <w:rPr>
          <w:rFonts w:ascii="Arial" w:cs="Arial" w:eastAsia="Arial" w:hAnsi="Arial"/>
          <w:sz w:val="17"/>
          <w:szCs w:val="17"/>
          <w:color w:val="auto"/>
        </w:rPr>
        <w:t>; TANOS</w:t>
      </w:r>
      <w:r>
        <w:rPr>
          <w:rFonts w:ascii="Arial" w:cs="Arial" w:eastAsia="Arial" w:hAnsi="Arial"/>
          <w:sz w:val="14"/>
          <w:szCs w:val="14"/>
          <w:color w:val="auto"/>
        </w:rPr>
        <w:t>®</w:t>
      </w:r>
      <w:r>
        <w:rPr>
          <w:rFonts w:ascii="Arial" w:cs="Arial" w:eastAsia="Arial" w:hAnsi="Arial"/>
          <w:sz w:val="17"/>
          <w:szCs w:val="17"/>
          <w:color w:val="auto"/>
        </w:rPr>
        <w:t>; FONTELIS</w:t>
      </w:r>
      <w:r>
        <w:rPr>
          <w:rFonts w:ascii="Arial" w:cs="Arial" w:eastAsia="Arial" w:hAnsi="Arial"/>
          <w:sz w:val="14"/>
          <w:szCs w:val="14"/>
          <w:color w:val="auto"/>
        </w:rPr>
        <w:t>®</w:t>
      </w:r>
      <w:r>
        <w:rPr>
          <w:rFonts w:ascii="Arial" w:cs="Arial" w:eastAsia="Arial" w:hAnsi="Arial"/>
          <w:sz w:val="17"/>
          <w:szCs w:val="17"/>
          <w:color w:val="auto"/>
        </w:rPr>
        <w:t>; ACANTO™; GALILEO™</w:t>
      </w:r>
    </w:p>
    <w:p>
      <w:pPr>
        <w:spacing w:after="0" w:line="43" w:lineRule="exact"/>
        <w:rPr>
          <w:rFonts w:ascii="Arial" w:cs="Arial" w:eastAsia="Arial" w:hAnsi="Arial"/>
          <w:sz w:val="17"/>
          <w:szCs w:val="17"/>
          <w:color w:val="auto"/>
        </w:rPr>
      </w:pPr>
    </w:p>
    <w:p>
      <w:pPr>
        <w:ind w:left="1060" w:right="360" w:hanging="316"/>
        <w:spacing w:after="0" w:line="274" w:lineRule="auto"/>
        <w:tabs>
          <w:tab w:leader="none" w:pos="1060" w:val="left"/>
        </w:tabs>
        <w:numPr>
          <w:ilvl w:val="0"/>
          <w:numId w:val="226"/>
        </w:numPr>
        <w:rPr>
          <w:rFonts w:ascii="Arial" w:cs="Arial" w:eastAsia="Arial" w:hAnsi="Arial"/>
          <w:sz w:val="17"/>
          <w:szCs w:val="17"/>
          <w:color w:val="auto"/>
        </w:rPr>
      </w:pPr>
      <w:r>
        <w:rPr>
          <w:rFonts w:ascii="Arial" w:cs="Arial" w:eastAsia="Arial" w:hAnsi="Arial"/>
          <w:sz w:val="17"/>
          <w:szCs w:val="17"/>
          <w:b w:val="1"/>
          <w:bCs w:val="1"/>
          <w:color w:val="auto"/>
        </w:rPr>
        <w:t>Weed Control</w:t>
      </w:r>
      <w:r>
        <w:rPr>
          <w:rFonts w:ascii="Arial" w:cs="Arial" w:eastAsia="Arial" w:hAnsi="Arial"/>
          <w:sz w:val="17"/>
          <w:szCs w:val="17"/>
          <w:color w:val="auto"/>
        </w:rPr>
        <w:t>: ARIGO™; ARYLEX</w:t>
      </w:r>
      <w:r>
        <w:rPr>
          <w:rFonts w:ascii="Arial" w:cs="Arial" w:eastAsia="Arial" w:hAnsi="Arial"/>
          <w:sz w:val="14"/>
          <w:szCs w:val="14"/>
          <w:color w:val="auto"/>
        </w:rPr>
        <w:t>®</w:t>
      </w:r>
      <w:r>
        <w:rPr>
          <w:rFonts w:ascii="Arial" w:cs="Arial" w:eastAsia="Arial" w:hAnsi="Arial"/>
          <w:sz w:val="17"/>
          <w:szCs w:val="17"/>
          <w:color w:val="auto"/>
        </w:rPr>
        <w:t>; ENLIST DUO</w:t>
      </w:r>
      <w:r>
        <w:rPr>
          <w:rFonts w:ascii="Arial" w:cs="Arial" w:eastAsia="Arial" w:hAnsi="Arial"/>
          <w:sz w:val="14"/>
          <w:szCs w:val="14"/>
          <w:color w:val="auto"/>
        </w:rPr>
        <w:t>®</w:t>
      </w:r>
      <w:r>
        <w:rPr>
          <w:rFonts w:ascii="Arial" w:cs="Arial" w:eastAsia="Arial" w:hAnsi="Arial"/>
          <w:sz w:val="17"/>
          <w:szCs w:val="17"/>
          <w:color w:val="auto"/>
        </w:rPr>
        <w:t>; BROADWAY™; RINSKOR</w:t>
      </w:r>
      <w:r>
        <w:rPr>
          <w:rFonts w:ascii="Arial" w:cs="Arial" w:eastAsia="Arial" w:hAnsi="Arial"/>
          <w:sz w:val="14"/>
          <w:szCs w:val="14"/>
          <w:color w:val="auto"/>
        </w:rPr>
        <w:t>®</w:t>
      </w:r>
      <w:r>
        <w:rPr>
          <w:rFonts w:ascii="Arial" w:cs="Arial" w:eastAsia="Arial" w:hAnsi="Arial"/>
          <w:sz w:val="17"/>
          <w:szCs w:val="17"/>
          <w:color w:val="auto"/>
        </w:rPr>
        <w:t>; ZYPAR™; MUSTANG™; GALLANT™;</w:t>
      </w:r>
      <w:r>
        <w:rPr>
          <w:rFonts w:ascii="Arial" w:cs="Arial" w:eastAsia="Arial" w:hAnsi="Arial"/>
          <w:sz w:val="17"/>
          <w:szCs w:val="17"/>
          <w:b w:val="1"/>
          <w:bCs w:val="1"/>
          <w:color w:val="auto"/>
        </w:rPr>
        <w:t xml:space="preserve"> </w:t>
      </w:r>
      <w:r>
        <w:rPr>
          <w:rFonts w:ascii="Arial" w:cs="Arial" w:eastAsia="Arial" w:hAnsi="Arial"/>
          <w:sz w:val="17"/>
          <w:szCs w:val="17"/>
          <w:color w:val="auto"/>
        </w:rPr>
        <w:t>VERDICT™; LANCET™; KERB</w:t>
      </w:r>
      <w:r>
        <w:rPr>
          <w:rFonts w:ascii="Arial" w:cs="Arial" w:eastAsia="Arial" w:hAnsi="Arial"/>
          <w:sz w:val="14"/>
          <w:szCs w:val="14"/>
          <w:color w:val="auto"/>
        </w:rPr>
        <w:t>®</w:t>
      </w:r>
      <w:r>
        <w:rPr>
          <w:rFonts w:ascii="Arial" w:cs="Arial" w:eastAsia="Arial" w:hAnsi="Arial"/>
          <w:sz w:val="17"/>
          <w:szCs w:val="17"/>
          <w:color w:val="auto"/>
        </w:rPr>
        <w:t>; PIXXARO™; QUELEX</w:t>
      </w:r>
      <w:r>
        <w:rPr>
          <w:rFonts w:ascii="Arial" w:cs="Arial" w:eastAsia="Arial" w:hAnsi="Arial"/>
          <w:sz w:val="14"/>
          <w:szCs w:val="14"/>
          <w:color w:val="auto"/>
        </w:rPr>
        <w:t>®</w:t>
      </w:r>
      <w:r>
        <w:rPr>
          <w:rFonts w:ascii="Arial" w:cs="Arial" w:eastAsia="Arial" w:hAnsi="Arial"/>
          <w:sz w:val="17"/>
          <w:szCs w:val="17"/>
          <w:color w:val="auto"/>
        </w:rPr>
        <w:t>; GALLERY</w:t>
      </w:r>
      <w:r>
        <w:rPr>
          <w:rFonts w:ascii="Arial" w:cs="Arial" w:eastAsia="Arial" w:hAnsi="Arial"/>
          <w:sz w:val="14"/>
          <w:szCs w:val="14"/>
          <w:color w:val="auto"/>
        </w:rPr>
        <w:t>®</w:t>
      </w:r>
      <w:r>
        <w:rPr>
          <w:rFonts w:ascii="Arial" w:cs="Arial" w:eastAsia="Arial" w:hAnsi="Arial"/>
          <w:sz w:val="17"/>
          <w:szCs w:val="17"/>
          <w:color w:val="auto"/>
        </w:rPr>
        <w:t>; CENT-7™; SNAPSHOT</w:t>
      </w:r>
      <w:r>
        <w:rPr>
          <w:rFonts w:ascii="Arial" w:cs="Arial" w:eastAsia="Arial" w:hAnsi="Arial"/>
          <w:sz w:val="14"/>
          <w:szCs w:val="14"/>
          <w:color w:val="auto"/>
        </w:rPr>
        <w:t>®</w:t>
      </w:r>
      <w:r>
        <w:rPr>
          <w:rFonts w:ascii="Arial" w:cs="Arial" w:eastAsia="Arial" w:hAnsi="Arial"/>
          <w:sz w:val="17"/>
          <w:szCs w:val="17"/>
          <w:color w:val="auto"/>
        </w:rPr>
        <w:t>; TRELLIS</w:t>
      </w:r>
      <w:r>
        <w:rPr>
          <w:rFonts w:ascii="Arial" w:cs="Arial" w:eastAsia="Arial" w:hAnsi="Arial"/>
          <w:sz w:val="14"/>
          <w:szCs w:val="14"/>
          <w:color w:val="auto"/>
        </w:rPr>
        <w:t>®</w:t>
      </w:r>
      <w:r>
        <w:rPr>
          <w:rFonts w:ascii="Arial" w:cs="Arial" w:eastAsia="Arial" w:hAnsi="Arial"/>
          <w:sz w:val="17"/>
          <w:szCs w:val="17"/>
          <w:color w:val="auto"/>
        </w:rPr>
        <w:t>; CITADEL™; CLIPPER™; GRANITE™; RAINBOW™; PINDAR</w:t>
      </w:r>
      <w:r>
        <w:rPr>
          <w:rFonts w:ascii="Arial" w:cs="Arial" w:eastAsia="Arial" w:hAnsi="Arial"/>
          <w:sz w:val="14"/>
          <w:szCs w:val="14"/>
          <w:color w:val="auto"/>
        </w:rPr>
        <w:t>®</w:t>
      </w:r>
      <w:r>
        <w:rPr>
          <w:rFonts w:ascii="Arial" w:cs="Arial" w:eastAsia="Arial" w:hAnsi="Arial"/>
          <w:sz w:val="17"/>
          <w:szCs w:val="17"/>
          <w:color w:val="auto"/>
        </w:rPr>
        <w:t xml:space="preserve"> GT; VIPER™; WIDEATTACK™; BELKAR™; WIDEMATCH</w:t>
      </w:r>
      <w:r>
        <w:rPr>
          <w:rFonts w:ascii="Arial" w:cs="Arial" w:eastAsia="Arial" w:hAnsi="Arial"/>
          <w:sz w:val="14"/>
          <w:szCs w:val="14"/>
          <w:color w:val="auto"/>
        </w:rPr>
        <w:t>®</w:t>
      </w:r>
      <w:r>
        <w:rPr>
          <w:rFonts w:ascii="Arial" w:cs="Arial" w:eastAsia="Arial" w:hAnsi="Arial"/>
          <w:sz w:val="17"/>
          <w:szCs w:val="17"/>
          <w:color w:val="auto"/>
        </w:rPr>
        <w:t>; PERFECTMATCH</w:t>
      </w:r>
      <w:r>
        <w:rPr>
          <w:rFonts w:ascii="Arial" w:cs="Arial" w:eastAsia="Arial" w:hAnsi="Arial"/>
          <w:sz w:val="14"/>
          <w:szCs w:val="14"/>
          <w:color w:val="auto"/>
        </w:rPr>
        <w:t>®</w:t>
      </w:r>
      <w:r>
        <w:rPr>
          <w:rFonts w:ascii="Arial" w:cs="Arial" w:eastAsia="Arial" w:hAnsi="Arial"/>
          <w:sz w:val="17"/>
          <w:szCs w:val="17"/>
          <w:color w:val="auto"/>
        </w:rPr>
        <w:t>; CLINCHER</w:t>
      </w:r>
      <w:r>
        <w:rPr>
          <w:rFonts w:ascii="Arial" w:cs="Arial" w:eastAsia="Arial" w:hAnsi="Arial"/>
          <w:sz w:val="14"/>
          <w:szCs w:val="14"/>
          <w:color w:val="auto"/>
        </w:rPr>
        <w:t>®</w:t>
      </w:r>
      <w:r>
        <w:rPr>
          <w:rFonts w:ascii="Arial" w:cs="Arial" w:eastAsia="Arial" w:hAnsi="Arial"/>
          <w:sz w:val="17"/>
          <w:szCs w:val="17"/>
          <w:color w:val="auto"/>
        </w:rPr>
        <w:t>; DURANGO</w:t>
      </w:r>
      <w:r>
        <w:rPr>
          <w:rFonts w:ascii="Arial" w:cs="Arial" w:eastAsia="Arial" w:hAnsi="Arial"/>
          <w:sz w:val="14"/>
          <w:szCs w:val="14"/>
          <w:color w:val="auto"/>
        </w:rPr>
        <w:t>®</w:t>
      </w:r>
      <w:r>
        <w:rPr>
          <w:rFonts w:ascii="Arial" w:cs="Arial" w:eastAsia="Arial" w:hAnsi="Arial"/>
          <w:sz w:val="17"/>
          <w:szCs w:val="17"/>
          <w:color w:val="auto"/>
        </w:rPr>
        <w:t>; FENCER™; GARLON</w:t>
      </w:r>
      <w:r>
        <w:rPr>
          <w:rFonts w:ascii="Arial" w:cs="Arial" w:eastAsia="Arial" w:hAnsi="Arial"/>
          <w:sz w:val="14"/>
          <w:szCs w:val="14"/>
          <w:color w:val="auto"/>
        </w:rPr>
        <w:t>®</w:t>
      </w:r>
      <w:r>
        <w:rPr>
          <w:rFonts w:ascii="Arial" w:cs="Arial" w:eastAsia="Arial" w:hAnsi="Arial"/>
          <w:sz w:val="17"/>
          <w:szCs w:val="17"/>
          <w:color w:val="auto"/>
        </w:rPr>
        <w:t>; SONIC</w:t>
      </w:r>
      <w:r>
        <w:rPr>
          <w:rFonts w:ascii="Arial" w:cs="Arial" w:eastAsia="Arial" w:hAnsi="Arial"/>
          <w:sz w:val="14"/>
          <w:szCs w:val="14"/>
          <w:color w:val="auto"/>
        </w:rPr>
        <w:t>®</w:t>
      </w:r>
      <w:r>
        <w:rPr>
          <w:rFonts w:ascii="Arial" w:cs="Arial" w:eastAsia="Arial" w:hAnsi="Arial"/>
          <w:sz w:val="17"/>
          <w:szCs w:val="17"/>
          <w:color w:val="auto"/>
        </w:rPr>
        <w:t>; TEXARO™; KEYSTONE</w:t>
      </w:r>
      <w:r>
        <w:rPr>
          <w:rFonts w:ascii="Arial" w:cs="Arial" w:eastAsia="Arial" w:hAnsi="Arial"/>
          <w:sz w:val="14"/>
          <w:szCs w:val="14"/>
          <w:color w:val="auto"/>
        </w:rPr>
        <w:t>®</w:t>
      </w:r>
      <w:r>
        <w:rPr>
          <w:rFonts w:ascii="Arial" w:cs="Arial" w:eastAsia="Arial" w:hAnsi="Arial"/>
          <w:sz w:val="17"/>
          <w:szCs w:val="17"/>
          <w:color w:val="auto"/>
        </w:rPr>
        <w:t>; PACTO™; LIGATE; DIMENSION</w:t>
      </w:r>
      <w:r>
        <w:rPr>
          <w:rFonts w:ascii="Arial" w:cs="Arial" w:eastAsia="Arial" w:hAnsi="Arial"/>
          <w:sz w:val="14"/>
          <w:szCs w:val="14"/>
          <w:color w:val="auto"/>
        </w:rPr>
        <w:t>®</w:t>
      </w:r>
      <w:r>
        <w:rPr>
          <w:rFonts w:ascii="Arial" w:cs="Arial" w:eastAsia="Arial" w:hAnsi="Arial"/>
          <w:sz w:val="17"/>
          <w:szCs w:val="17"/>
          <w:color w:val="auto"/>
        </w:rPr>
        <w:t>; TOPSHOT™; RICER™; LOYANT</w:t>
      </w:r>
      <w:r>
        <w:rPr>
          <w:rFonts w:ascii="Arial" w:cs="Arial" w:eastAsia="Arial" w:hAnsi="Arial"/>
          <w:sz w:val="14"/>
          <w:szCs w:val="14"/>
          <w:color w:val="auto"/>
        </w:rPr>
        <w:t>®</w:t>
      </w:r>
      <w:r>
        <w:rPr>
          <w:rFonts w:ascii="Arial" w:cs="Arial" w:eastAsia="Arial" w:hAnsi="Arial"/>
          <w:sz w:val="17"/>
          <w:szCs w:val="17"/>
          <w:color w:val="auto"/>
        </w:rPr>
        <w:t>; CLASSIC</w:t>
      </w:r>
      <w:r>
        <w:rPr>
          <w:rFonts w:ascii="Arial" w:cs="Arial" w:eastAsia="Arial" w:hAnsi="Arial"/>
          <w:sz w:val="14"/>
          <w:szCs w:val="14"/>
          <w:color w:val="auto"/>
        </w:rPr>
        <w:t>®</w:t>
      </w:r>
      <w:r>
        <w:rPr>
          <w:rFonts w:ascii="Arial" w:cs="Arial" w:eastAsia="Arial" w:hAnsi="Arial"/>
          <w:sz w:val="17"/>
          <w:szCs w:val="17"/>
          <w:color w:val="auto"/>
        </w:rPr>
        <w:t>; REALM</w:t>
      </w:r>
      <w:r>
        <w:rPr>
          <w:rFonts w:ascii="Arial" w:cs="Arial" w:eastAsia="Arial" w:hAnsi="Arial"/>
          <w:sz w:val="14"/>
          <w:szCs w:val="14"/>
          <w:color w:val="auto"/>
        </w:rPr>
        <w:t>®</w:t>
      </w:r>
      <w:r>
        <w:rPr>
          <w:rFonts w:ascii="Arial" w:cs="Arial" w:eastAsia="Arial" w:hAnsi="Arial"/>
          <w:sz w:val="17"/>
          <w:szCs w:val="17"/>
          <w:color w:val="auto"/>
        </w:rPr>
        <w:t xml:space="preserve"> Q; TRIVENCE</w:t>
      </w:r>
      <w:r>
        <w:rPr>
          <w:rFonts w:ascii="Arial" w:cs="Arial" w:eastAsia="Arial" w:hAnsi="Arial"/>
          <w:sz w:val="14"/>
          <w:szCs w:val="14"/>
          <w:color w:val="auto"/>
        </w:rPr>
        <w:t>®</w:t>
      </w:r>
      <w:r>
        <w:rPr>
          <w:rFonts w:ascii="Arial" w:cs="Arial" w:eastAsia="Arial" w:hAnsi="Arial"/>
          <w:sz w:val="17"/>
          <w:szCs w:val="17"/>
          <w:color w:val="auto"/>
        </w:rPr>
        <w:t>; LONTREL</w:t>
      </w:r>
      <w:r>
        <w:rPr>
          <w:rFonts w:ascii="Arial" w:cs="Arial" w:eastAsia="Arial" w:hAnsi="Arial"/>
          <w:sz w:val="14"/>
          <w:szCs w:val="14"/>
          <w:color w:val="auto"/>
        </w:rPr>
        <w:t>®</w:t>
      </w:r>
      <w:r>
        <w:rPr>
          <w:rFonts w:ascii="Arial" w:cs="Arial" w:eastAsia="Arial" w:hAnsi="Arial"/>
          <w:sz w:val="17"/>
          <w:szCs w:val="17"/>
          <w:color w:val="auto"/>
        </w:rPr>
        <w:t>; GRAZON</w:t>
      </w:r>
      <w:r>
        <w:rPr>
          <w:rFonts w:ascii="Arial" w:cs="Arial" w:eastAsia="Arial" w:hAnsi="Arial"/>
          <w:sz w:val="14"/>
          <w:szCs w:val="14"/>
          <w:color w:val="auto"/>
        </w:rPr>
        <w:t>®</w:t>
      </w:r>
      <w:r>
        <w:rPr>
          <w:rFonts w:ascii="Arial" w:cs="Arial" w:eastAsia="Arial" w:hAnsi="Arial"/>
          <w:sz w:val="17"/>
          <w:szCs w:val="17"/>
          <w:color w:val="auto"/>
        </w:rPr>
        <w:t>; PANZER™; PRIMUS™; RESICORE</w:t>
      </w:r>
      <w:r>
        <w:rPr>
          <w:rFonts w:ascii="Arial" w:cs="Arial" w:eastAsia="Arial" w:hAnsi="Arial"/>
          <w:sz w:val="14"/>
          <w:szCs w:val="14"/>
          <w:color w:val="auto"/>
        </w:rPr>
        <w:t>®</w:t>
      </w:r>
      <w:r>
        <w:rPr>
          <w:rFonts w:ascii="Arial" w:cs="Arial" w:eastAsia="Arial" w:hAnsi="Arial"/>
          <w:sz w:val="17"/>
          <w:szCs w:val="17"/>
          <w:color w:val="auto"/>
        </w:rPr>
        <w:t>; SPIDER™; STARANE</w:t>
      </w:r>
      <w:r>
        <w:rPr>
          <w:rFonts w:ascii="Arial" w:cs="Arial" w:eastAsia="Arial" w:hAnsi="Arial"/>
          <w:sz w:val="14"/>
          <w:szCs w:val="14"/>
          <w:color w:val="auto"/>
        </w:rPr>
        <w:t>®</w:t>
      </w:r>
      <w:r>
        <w:rPr>
          <w:rFonts w:ascii="Arial" w:cs="Arial" w:eastAsia="Arial" w:hAnsi="Arial"/>
          <w:sz w:val="17"/>
          <w:szCs w:val="17"/>
          <w:color w:val="auto"/>
        </w:rPr>
        <w:t>; SURESTART™; TORDON™</w:t>
      </w:r>
    </w:p>
    <w:p>
      <w:pPr>
        <w:spacing w:after="0" w:line="79" w:lineRule="exact"/>
        <w:rPr>
          <w:rFonts w:ascii="Arial" w:cs="Arial" w:eastAsia="Arial" w:hAnsi="Arial"/>
          <w:sz w:val="17"/>
          <w:szCs w:val="17"/>
          <w:color w:val="auto"/>
        </w:rPr>
      </w:pPr>
    </w:p>
    <w:p>
      <w:pPr>
        <w:ind w:left="1060" w:hanging="316"/>
        <w:spacing w:after="0"/>
        <w:tabs>
          <w:tab w:leader="none" w:pos="106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Nitrogen Management</w:t>
      </w:r>
      <w:r>
        <w:rPr>
          <w:rFonts w:ascii="Arial" w:cs="Arial" w:eastAsia="Arial" w:hAnsi="Arial"/>
          <w:sz w:val="18"/>
          <w:szCs w:val="18"/>
          <w:color w:val="auto"/>
        </w:rPr>
        <w:t>: INSTINCT</w:t>
      </w:r>
      <w:r>
        <w:rPr>
          <w:rFonts w:ascii="Arial" w:cs="Arial" w:eastAsia="Arial" w:hAnsi="Arial"/>
          <w:sz w:val="15"/>
          <w:szCs w:val="15"/>
          <w:color w:val="auto"/>
        </w:rPr>
        <w:t>®</w:t>
      </w:r>
      <w:r>
        <w:rPr>
          <w:rFonts w:ascii="Arial" w:cs="Arial" w:eastAsia="Arial" w:hAnsi="Arial"/>
          <w:sz w:val="18"/>
          <w:szCs w:val="18"/>
          <w:color w:val="auto"/>
        </w:rPr>
        <w:t>, N-SERVE</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Nitrogen Stabilizer and N-LOCK™</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60"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Pipeline and Product Development</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Our rich and diverse pipeline includes novel chemistry, new modes of action and biological and natural products. We expect our robust pipeline will shift our crop protection solutions portfolio to be more differentiated, proprietary and cost advantaged. New crop protection products from our pipeline contributed to our 8% sales growth in the second half of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Stage</w:t>
            </w:r>
          </w:p>
        </w:tc>
        <w:tc>
          <w:tcPr>
            <w:tcW w:w="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w:t>
            </w:r>
          </w:p>
        </w:tc>
        <w:tc>
          <w:tcPr>
            <w:tcW w:w="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40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Target Market</w:t>
            </w:r>
          </w:p>
        </w:tc>
        <w:tc>
          <w:tcPr>
            <w:tcW w:w="0" w:type="dxa"/>
            <w:vAlign w:val="bottom"/>
          </w:tcPr>
          <w:p>
            <w:pPr>
              <w:spacing w:after="0"/>
              <w:rPr>
                <w:sz w:val="1"/>
                <w:szCs w:val="1"/>
                <w:color w:val="auto"/>
              </w:rPr>
            </w:pPr>
          </w:p>
        </w:tc>
      </w:tr>
      <w:tr>
        <w:trPr>
          <w:trHeight w:val="178"/>
        </w:trPr>
        <w:tc>
          <w:tcPr>
            <w:tcW w:w="508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R&amp;D</w:t>
            </w:r>
          </w:p>
        </w:tc>
        <w:tc>
          <w:tcPr>
            <w:tcW w:w="320" w:type="dxa"/>
            <w:vAlign w:val="bottom"/>
          </w:tcPr>
          <w:p>
            <w:pPr>
              <w:spacing w:after="0"/>
              <w:rPr>
                <w:sz w:val="15"/>
                <w:szCs w:val="15"/>
                <w:color w:val="auto"/>
              </w:rPr>
            </w:pPr>
          </w:p>
        </w:tc>
        <w:tc>
          <w:tcPr>
            <w:tcW w:w="4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0" w:type="dxa"/>
            <w:vAlign w:val="bottom"/>
            <w:tcBorders>
              <w:top w:val="single" w:sz="8" w:color="auto"/>
            </w:tcBorders>
          </w:tcPr>
          <w:p>
            <w:pPr>
              <w:spacing w:after="0" w:line="204" w:lineRule="exact"/>
              <w:rPr>
                <w:sz w:val="20"/>
                <w:szCs w:val="20"/>
                <w:color w:val="auto"/>
              </w:rPr>
            </w:pPr>
            <w:r>
              <w:rPr>
                <w:rFonts w:ascii="Arial" w:cs="Arial" w:eastAsia="Arial" w:hAnsi="Arial"/>
                <w:sz w:val="18"/>
                <w:szCs w:val="18"/>
                <w:i w:val="1"/>
                <w:iCs w:val="1"/>
                <w:color w:val="auto"/>
              </w:rPr>
              <w:t>Weed</w:t>
            </w:r>
          </w:p>
        </w:tc>
        <w:tc>
          <w:tcPr>
            <w:tcW w:w="4560" w:type="dxa"/>
            <w:vAlign w:val="bottom"/>
          </w:tcPr>
          <w:p>
            <w:pPr>
              <w:spacing w:after="0" w:line="190" w:lineRule="exact"/>
              <w:rPr>
                <w:sz w:val="20"/>
                <w:szCs w:val="20"/>
                <w:color w:val="auto"/>
              </w:rPr>
            </w:pPr>
            <w:r>
              <w:rPr>
                <w:rFonts w:ascii="Arial" w:cs="Arial" w:eastAsia="Arial" w:hAnsi="Arial"/>
                <w:sz w:val="18"/>
                <w:szCs w:val="18"/>
                <w:i w:val="1"/>
                <w:iCs w:val="1"/>
                <w:color w:val="auto"/>
              </w:rPr>
              <w:t>Control</w:t>
            </w:r>
          </w:p>
        </w:tc>
        <w:tc>
          <w:tcPr>
            <w:tcW w:w="8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80" w:type="dxa"/>
            <w:vAlign w:val="bottom"/>
            <w:gridSpan w:val="2"/>
          </w:tcPr>
          <w:p>
            <w:pPr>
              <w:spacing w:after="0"/>
              <w:rPr>
                <w:sz w:val="20"/>
                <w:szCs w:val="20"/>
                <w:color w:val="auto"/>
              </w:rPr>
            </w:pPr>
            <w:r>
              <w:rPr>
                <w:rFonts w:ascii="Arial" w:cs="Arial" w:eastAsia="Arial" w:hAnsi="Arial"/>
                <w:sz w:val="18"/>
                <w:szCs w:val="18"/>
                <w:color w:val="auto"/>
              </w:rPr>
              <w:t>RINKSOR</w:t>
            </w:r>
            <w:r>
              <w:rPr>
                <w:rFonts w:ascii="Arial" w:cs="Arial" w:eastAsia="Arial" w:hAnsi="Arial"/>
                <w:sz w:val="15"/>
                <w:szCs w:val="15"/>
                <w:color w:val="auto"/>
              </w:rPr>
              <w:t>™</w:t>
            </w:r>
            <w:r>
              <w:rPr>
                <w:rFonts w:ascii="Arial" w:cs="Arial" w:eastAsia="Arial" w:hAnsi="Arial"/>
                <w:sz w:val="18"/>
                <w:szCs w:val="18"/>
                <w:color w:val="auto"/>
              </w:rPr>
              <w:t xml:space="preserve"> New MOA Broad Spectrum Weed Control</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6</w:t>
            </w: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w w:val="90"/>
              </w:rPr>
              <w:t>Rice, Corn, Oil Seed, Fruits and Vegetables, Range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Pasture</w:t>
            </w: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Enlist</w:t>
            </w:r>
            <w:r>
              <w:rPr>
                <w:rFonts w:ascii="Arial" w:cs="Arial" w:eastAsia="Arial" w:hAnsi="Arial"/>
                <w:sz w:val="15"/>
                <w:szCs w:val="15"/>
                <w:color w:val="auto"/>
              </w:rPr>
              <w:t>™</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5</w:t>
            </w: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Corn, Oil Seed</w:t>
            </w: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New Class of Broad Leaf Weed Control</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Three New Classes of Weed Control Leads</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i w:val="1"/>
                <w:iCs w:val="1"/>
                <w:color w:val="auto"/>
              </w:rPr>
              <w:t>Insect and Nematode Control</w:t>
            </w:r>
          </w:p>
        </w:tc>
        <w:tc>
          <w:tcPr>
            <w:tcW w:w="8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LUMIVIA</w:t>
            </w:r>
            <w:r>
              <w:rPr>
                <w:rFonts w:ascii="Arial" w:cs="Arial" w:eastAsia="Arial" w:hAnsi="Arial"/>
                <w:sz w:val="15"/>
                <w:szCs w:val="15"/>
                <w:color w:val="auto"/>
              </w:rPr>
              <w:t>®</w:t>
            </w:r>
            <w:r>
              <w:rPr>
                <w:rFonts w:ascii="Arial" w:cs="Arial" w:eastAsia="Arial" w:hAnsi="Arial"/>
                <w:sz w:val="18"/>
                <w:szCs w:val="18"/>
                <w:color w:val="auto"/>
              </w:rPr>
              <w:t xml:space="preserve"> Seed Treatment</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6</w:t>
            </w: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Rice, Corn, Oil Seed</w:t>
            </w: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Lumiposa™ Seed Treatment</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6</w:t>
            </w: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Corn, Oil Seed</w:t>
            </w: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Pyraxalt™, New Class of Insect Control for Piercing Pests</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6</w:t>
            </w: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Rice</w:t>
            </w: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Reklemel</w:t>
            </w:r>
            <w:r>
              <w:rPr>
                <w:rFonts w:ascii="Arial" w:cs="Arial" w:eastAsia="Arial" w:hAnsi="Arial"/>
                <w:sz w:val="15"/>
                <w:szCs w:val="15"/>
                <w:color w:val="auto"/>
              </w:rPr>
              <w:t>™</w:t>
            </w:r>
            <w:r>
              <w:rPr>
                <w:rFonts w:ascii="Arial" w:cs="Arial" w:eastAsia="Arial" w:hAnsi="Arial"/>
                <w:sz w:val="18"/>
                <w:szCs w:val="18"/>
                <w:color w:val="auto"/>
              </w:rPr>
              <w:t>, New MOA Nematicide</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4</w:t>
            </w: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Oil Seed, Fruits and Vegetables</w:t>
            </w: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Two New Insects or Nematode Control Loads</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New Class of Insect Control</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New Mode of Action for Insect Control</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Arial" w:cs="Arial" w:eastAsia="Arial" w:hAnsi="Arial"/>
                <w:sz w:val="18"/>
                <w:szCs w:val="18"/>
                <w:color w:val="auto"/>
              </w:rPr>
              <w:t>Two New Classes of Insect Control for Piercing Pests</w:t>
            </w: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Weed Control</w:t>
      </w:r>
    </w:p>
    <w:p>
      <w:pPr>
        <w:spacing w:after="0" w:line="117"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Our weed control portfolio has novel offerings that address weed control needs in row crops, cereals, rice, plantations and specialty crops, as well as in pastures and land management. New innovations include a rice protection offering, RINKSOR</w:t>
      </w:r>
      <w:r>
        <w:rPr>
          <w:rFonts w:ascii="Arial" w:cs="Arial" w:eastAsia="Arial" w:hAnsi="Arial"/>
          <w:sz w:val="13"/>
          <w:szCs w:val="13"/>
          <w:color w:val="auto"/>
        </w:rPr>
        <w:t>®</w:t>
      </w:r>
      <w:r>
        <w:rPr>
          <w:rFonts w:ascii="Arial" w:cs="Arial" w:eastAsia="Arial" w:hAnsi="Arial"/>
          <w:sz w:val="16"/>
          <w:szCs w:val="16"/>
          <w:color w:val="auto"/>
        </w:rPr>
        <w:t xml:space="preserve"> active herbicide, which expands our leadership position in the global rice market with high efficacy and a favorable environmental profile, and ARYLEX</w:t>
      </w:r>
      <w:r>
        <w:rPr>
          <w:rFonts w:ascii="Arial" w:cs="Arial" w:eastAsia="Arial" w:hAnsi="Arial"/>
          <w:sz w:val="13"/>
          <w:szCs w:val="13"/>
          <w:color w:val="auto"/>
        </w:rPr>
        <w:t>®</w:t>
      </w:r>
      <w:r>
        <w:rPr>
          <w:rFonts w:ascii="Arial" w:cs="Arial" w:eastAsia="Arial" w:hAnsi="Arial"/>
          <w:sz w:val="16"/>
          <w:szCs w:val="16"/>
          <w:color w:val="auto"/>
        </w:rPr>
        <w:t xml:space="preserve"> active herbicide, which offers farmers powerful control over a wide spectrum of broadleaf weeds at low use rates, giving it a favorable environmental profile. The full Enlist</w:t>
      </w:r>
      <w:r>
        <w:rPr>
          <w:rFonts w:ascii="Arial" w:cs="Arial" w:eastAsia="Arial" w:hAnsi="Arial"/>
          <w:sz w:val="13"/>
          <w:szCs w:val="13"/>
          <w:color w:val="auto"/>
        </w:rPr>
        <w:t>™</w:t>
      </w:r>
      <w:r>
        <w:rPr>
          <w:rFonts w:ascii="Arial" w:cs="Arial" w:eastAsia="Arial" w:hAnsi="Arial"/>
          <w:sz w:val="16"/>
          <w:szCs w:val="16"/>
          <w:color w:val="auto"/>
        </w:rPr>
        <w:t xml:space="preserve"> weed control system is a cross platform solution of both seed and crop protection, demonstrating the unique strength and distinct competitive advantage of a complete trait and chemistry offering. Our proprietary Colex-D</w:t>
      </w:r>
      <w:r>
        <w:rPr>
          <w:rFonts w:ascii="Arial" w:cs="Arial" w:eastAsia="Arial" w:hAnsi="Arial"/>
          <w:sz w:val="13"/>
          <w:szCs w:val="13"/>
          <w:color w:val="auto"/>
        </w:rPr>
        <w:t>®</w:t>
      </w:r>
      <w:r>
        <w:rPr>
          <w:rFonts w:ascii="Arial" w:cs="Arial" w:eastAsia="Arial" w:hAnsi="Arial"/>
          <w:sz w:val="16"/>
          <w:szCs w:val="16"/>
          <w:color w:val="auto"/>
        </w:rPr>
        <w:t xml:space="preserve"> technology has been validated in-field with proven reductions in both drift and volatility. These proof points further support the value we expect this complete system to deliver for farmers dealing with complex resistance issues.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Insect and Nematode Management</w:t>
      </w:r>
    </w:p>
    <w:p>
      <w:pPr>
        <w:spacing w:after="0" w:line="117"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Crop protection solves insect problems with preventive measures as well as fast acting responses to deter and eliminate chewing insects, parasitic nematodes and other pests above and below the ground. We are a leader in natural products with offerings such as Spinosad and Spinetoram, which have been recognized with U.S. EPA Presidential Green Chemistry Challenge Awards. Our insect management portfolio includes ISOCLAST</w:t>
      </w:r>
      <w:r>
        <w:rPr>
          <w:rFonts w:ascii="Arial" w:cs="Arial" w:eastAsia="Arial" w:hAnsi="Arial"/>
          <w:sz w:val="13"/>
          <w:szCs w:val="13"/>
          <w:color w:val="auto"/>
        </w:rPr>
        <w:t>®</w:t>
      </w:r>
      <w:r>
        <w:rPr>
          <w:rFonts w:ascii="Arial" w:cs="Arial" w:eastAsia="Arial" w:hAnsi="Arial"/>
          <w:sz w:val="16"/>
          <w:szCs w:val="16"/>
          <w:color w:val="auto"/>
        </w:rPr>
        <w:t xml:space="preserve"> insect management, which was launched in 32 countries in 2016 and an additional 16 countries in 2017. ISOCLAST</w:t>
      </w:r>
      <w:r>
        <w:rPr>
          <w:rFonts w:ascii="Arial" w:cs="Arial" w:eastAsia="Arial" w:hAnsi="Arial"/>
          <w:sz w:val="13"/>
          <w:szCs w:val="13"/>
          <w:color w:val="auto"/>
        </w:rPr>
        <w:t>®</w:t>
      </w:r>
      <w:r>
        <w:rPr>
          <w:rFonts w:ascii="Arial" w:cs="Arial" w:eastAsia="Arial" w:hAnsi="Arial"/>
          <w:sz w:val="16"/>
          <w:szCs w:val="16"/>
          <w:color w:val="auto"/>
        </w:rPr>
        <w:t xml:space="preserve"> is the next generation of insect management technology and an important tool for insect resistance management. Our portfolio also includes Spinetoram, a broad spectrum low use rate insect management tool, which shows high efficacy against target insects with a margin of safety towards beneficial insects. Additionally, we recently launched Pyraxalt</w:t>
      </w:r>
      <w:r>
        <w:rPr>
          <w:rFonts w:ascii="Arial" w:cs="Arial" w:eastAsia="Arial" w:hAnsi="Arial"/>
          <w:sz w:val="13"/>
          <w:szCs w:val="13"/>
          <w:color w:val="auto"/>
        </w:rPr>
        <w:t>TM</w:t>
      </w:r>
      <w:r>
        <w:rPr>
          <w:rFonts w:ascii="Arial" w:cs="Arial" w:eastAsia="Arial" w:hAnsi="Arial"/>
          <w:sz w:val="16"/>
          <w:szCs w:val="16"/>
          <w:color w:val="auto"/>
        </w:rPr>
        <w:t xml:space="preserve"> insect management, which is specially developed to protect rice crops in Asia with novel activity for control of hopper insects. Pyraxalt</w:t>
      </w:r>
      <w:r>
        <w:rPr>
          <w:rFonts w:ascii="Arial" w:cs="Arial" w:eastAsia="Arial" w:hAnsi="Arial"/>
          <w:sz w:val="13"/>
          <w:szCs w:val="13"/>
          <w:color w:val="auto"/>
        </w:rPr>
        <w:t>TM</w:t>
      </w:r>
      <w:r>
        <w:rPr>
          <w:rFonts w:ascii="Arial" w:cs="Arial" w:eastAsia="Arial" w:hAnsi="Arial"/>
          <w:sz w:val="16"/>
          <w:szCs w:val="16"/>
          <w:color w:val="auto"/>
        </w:rPr>
        <w:t xml:space="preserve"> insect management is expected to set a new standard for high potency and low use-rate, with a favorable environmental profile.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240" w:top="460" w:right="41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Disease Management</w:t>
      </w:r>
    </w:p>
    <w:p>
      <w:pPr>
        <w:spacing w:after="0" w:line="117"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Our disease management portfolio includes our INATREQ™ brand, a naturally-sourced product with a favorable environmental profile, which recently received approval for use in Europe. During extensive field trials, INATREQ</w:t>
      </w:r>
      <w:r>
        <w:rPr>
          <w:rFonts w:ascii="Arial" w:cs="Arial" w:eastAsia="Arial" w:hAnsi="Arial"/>
          <w:sz w:val="15"/>
          <w:szCs w:val="15"/>
          <w:color w:val="auto"/>
        </w:rPr>
        <w:t>TM</w:t>
      </w:r>
      <w:r>
        <w:rPr>
          <w:rFonts w:ascii="Arial" w:cs="Arial" w:eastAsia="Arial" w:hAnsi="Arial"/>
          <w:sz w:val="18"/>
          <w:szCs w:val="18"/>
          <w:color w:val="auto"/>
        </w:rPr>
        <w:t xml:space="preserve"> has consistently delivered outstanding performance and we believe it will be an innovative and effective tool in helping farmers who face increased disease resistance challenges. Our ZORVEC</w:t>
      </w:r>
      <w:r>
        <w:rPr>
          <w:rFonts w:ascii="Arial" w:cs="Arial" w:eastAsia="Arial" w:hAnsi="Arial"/>
          <w:sz w:val="15"/>
          <w:szCs w:val="15"/>
          <w:color w:val="auto"/>
        </w:rPr>
        <w:t>®</w:t>
      </w:r>
      <w:r>
        <w:rPr>
          <w:rFonts w:ascii="Arial" w:cs="Arial" w:eastAsia="Arial" w:hAnsi="Arial"/>
          <w:sz w:val="18"/>
          <w:szCs w:val="18"/>
          <w:color w:val="auto"/>
        </w:rPr>
        <w:t xml:space="preserve"> fungicide delivers consistent and longer control of diseases for growers of potatoes, grapes and vegetables. Another fungicide that we recently launched in Brazil, VESSARYA™, combines two leading fungicides to provide excellent efficacy against Asian Soybean Rust, a devastating plant disease. Testing has shown that VESSARYA™ provides superior performing control of Asian Soybean Rust, with a higher average yield compared to competitive treatments.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Seed Applied Technologies</w:t>
      </w:r>
    </w:p>
    <w:p>
      <w:pPr>
        <w:spacing w:after="0" w:line="11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Seed applied technologies are cross-segment solutions that assist farmers in providing their crops with healthy starts, maximizing the genetic potential of their seeds, and enable early season growth for greater yield potential at harvest for corn, soybeans, canola and rice. Seed applied technologies include fungicides, insecticides, nematicides and other enhancers that promote plant vigor. The value we expect to capture in this area is an important component of our overall growth synergy potential, as we have an opportunity to formulate products that draw on the offerings of both Historical DuPont and Historical Dow crop protection and distribute them through our multi-channel, multi-brand approach. Capturing this value will be a meaningful proof-point of the competitive advantage of our comprehensive product portfolio. Our seed applied technologies include brands such as Dermacor</w:t>
      </w:r>
      <w:r>
        <w:rPr>
          <w:rFonts w:ascii="Arial" w:cs="Arial" w:eastAsia="Arial" w:hAnsi="Arial"/>
          <w:sz w:val="13"/>
          <w:szCs w:val="13"/>
          <w:color w:val="auto"/>
        </w:rPr>
        <w:t>®</w:t>
      </w:r>
      <w:r>
        <w:rPr>
          <w:rFonts w:ascii="Arial" w:cs="Arial" w:eastAsia="Arial" w:hAnsi="Arial"/>
          <w:sz w:val="16"/>
          <w:szCs w:val="16"/>
          <w:color w:val="auto"/>
        </w:rPr>
        <w:t>, LUMIDERM™, Lumiposa™, LUMIVIA</w:t>
      </w:r>
      <w:r>
        <w:rPr>
          <w:rFonts w:ascii="Arial" w:cs="Arial" w:eastAsia="Arial" w:hAnsi="Arial"/>
          <w:sz w:val="13"/>
          <w:szCs w:val="13"/>
          <w:color w:val="auto"/>
        </w:rPr>
        <w:t>®</w:t>
      </w:r>
      <w:r>
        <w:rPr>
          <w:rFonts w:ascii="Arial" w:cs="Arial" w:eastAsia="Arial" w:hAnsi="Arial"/>
          <w:sz w:val="16"/>
          <w:szCs w:val="16"/>
          <w:color w:val="auto"/>
        </w:rPr>
        <w:t xml:space="preserve"> and Lumisena™. Dermacor</w:t>
      </w:r>
      <w:r>
        <w:rPr>
          <w:rFonts w:ascii="Arial" w:cs="Arial" w:eastAsia="Arial" w:hAnsi="Arial"/>
          <w:sz w:val="13"/>
          <w:szCs w:val="13"/>
          <w:color w:val="auto"/>
        </w:rPr>
        <w:t>®</w:t>
      </w:r>
      <w:r>
        <w:rPr>
          <w:rFonts w:ascii="Arial" w:cs="Arial" w:eastAsia="Arial" w:hAnsi="Arial"/>
          <w:sz w:val="16"/>
          <w:szCs w:val="16"/>
          <w:color w:val="auto"/>
        </w:rPr>
        <w:t xml:space="preserve"> rice seed treatment is highly effective in controlling stemborers and rice water weevil, the most widespread and economically damaging rice crop insect. Lumiderm™ insect management seed treatment is the first treatment for canola growers that provides excellent control for cutworms and improved consistency in protection against flea beetles. Lumiposa™ selectively controls pests that feed on plant tissue and has a favorable environmental profile. LUMIVIA</w:t>
      </w:r>
      <w:r>
        <w:rPr>
          <w:rFonts w:ascii="Arial" w:cs="Arial" w:eastAsia="Arial" w:hAnsi="Arial"/>
          <w:sz w:val="13"/>
          <w:szCs w:val="13"/>
          <w:color w:val="auto"/>
        </w:rPr>
        <w:t>®</w:t>
      </w:r>
      <w:r>
        <w:rPr>
          <w:rFonts w:ascii="Arial" w:cs="Arial" w:eastAsia="Arial" w:hAnsi="Arial"/>
          <w:sz w:val="16"/>
          <w:szCs w:val="16"/>
          <w:color w:val="auto"/>
        </w:rPr>
        <w:t xml:space="preserve"> insect management seed treatment helps corn growers protect their seed investment with broad-spectrum protection against key insect pests during vulnerable early season development. Lumisena™ fungicide seed treatment provides a solution for losses due to Phytophthora in soybeans and downy mildew in sunflower.</w:t>
      </w:r>
    </w:p>
    <w:p>
      <w:pPr>
        <w:spacing w:after="0" w:line="317" w:lineRule="exact"/>
        <w:rPr>
          <w:sz w:val="20"/>
          <w:szCs w:val="20"/>
          <w:color w:val="auto"/>
        </w:rPr>
      </w:pPr>
    </w:p>
    <w:p>
      <w:pPr>
        <w:ind w:left="1060" w:hanging="424"/>
        <w:spacing w:after="0"/>
        <w:tabs>
          <w:tab w:leader="none" w:pos="1060" w:val="left"/>
        </w:tabs>
        <w:numPr>
          <w:ilvl w:val="0"/>
          <w:numId w:val="228"/>
        </w:numPr>
        <w:rPr>
          <w:rFonts w:ascii="Arial" w:cs="Arial" w:eastAsia="Arial" w:hAnsi="Arial"/>
          <w:sz w:val="18"/>
          <w:szCs w:val="18"/>
          <w:i w:val="1"/>
          <w:iCs w:val="1"/>
          <w:color w:val="auto"/>
        </w:rPr>
      </w:pPr>
      <w:r>
        <w:rPr>
          <w:rFonts w:ascii="Arial" w:cs="Arial" w:eastAsia="Arial" w:hAnsi="Arial"/>
          <w:sz w:val="18"/>
          <w:szCs w:val="18"/>
          <w:u w:val="single" w:color="auto"/>
          <w:color w:val="auto"/>
        </w:rPr>
        <w:t>Raw Materials and Supply Chain</w:t>
      </w:r>
    </w:p>
    <w:p>
      <w:pPr>
        <w:spacing w:after="0" w:line="117"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Our raw materials and supplies include benzene derivatives, other aromatics and carbamic acid related intermediates, insect control products, natural gas and seed treatments. Typically, we purchase major raw materials through long-term contracts with multiple suppliers, which sometimes require minimum purchase commitments. Certain important raw materials are supplied by a few major suppliers. We expect the markets for our raw materials to remain balanced, though pricing may be volatile given the current state of the global economy. We rely on contract manufacturers, both domestically and internationally, to produce certain inputs or key components for our product formulations. These inputs are typically sourced close to where we ultimately formulate and sell our products. We strive to maintain multiple high-quality supply sources for each input.</w:t>
      </w:r>
    </w:p>
    <w:p>
      <w:pPr>
        <w:spacing w:after="0" w:line="165" w:lineRule="exact"/>
        <w:rPr>
          <w:sz w:val="20"/>
          <w:szCs w:val="20"/>
          <w:color w:val="auto"/>
        </w:rPr>
      </w:pPr>
    </w:p>
    <w:p>
      <w:pPr>
        <w:ind w:left="200" w:right="360"/>
        <w:spacing w:after="0" w:line="312" w:lineRule="auto"/>
        <w:rPr>
          <w:sz w:val="20"/>
          <w:szCs w:val="20"/>
          <w:color w:val="auto"/>
        </w:rPr>
      </w:pPr>
      <w:r>
        <w:rPr>
          <w:rFonts w:ascii="Arial" w:cs="Arial" w:eastAsia="Arial" w:hAnsi="Arial"/>
          <w:sz w:val="16"/>
          <w:szCs w:val="16"/>
          <w:color w:val="auto"/>
        </w:rPr>
        <w:t>Corteva’s supply chain strategy will involve managing global supplies of active and intermediate ingredients sourced regionally with global best practices and oversight. Our supply strategy includes a robust and flexible global footprint to meet future portfolio growth. Our supply chain also provides competitive advantages including reducing time to meet customer requirements in regions while minimizing costs through the value chain.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Multi-Channel, Multi-Brand Distribution</w:t>
      </w:r>
    </w:p>
    <w:p>
      <w:pPr>
        <w:spacing w:after="0" w:line="12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In 2018, we began to roll out our multi-channel, multi-brand strategy. We believe our multi-channel, multi-brand strategy will differentiate us from our competition and drive growth by presenting us with a route to market in which we are uniquely positioned to win business. Our strengths and unique direct-engagement approach enable us to deliver solutions farmers can trust through whatever channel they prefer, including agency, dealer or direct, retail or co-operative, or licensing channels.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205740</wp:posOffset>
            </wp:positionV>
            <wp:extent cx="3893185" cy="21094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389318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We intend to leverage the market strengths of each of our heritage companies, including their operations and sales and marketing capabilities, to broaden our geographic reach and market penetration by offering a wider range of complementary offerings. Our seed distribution model will service customers primarily through the legacy Pioneer direct sales channel in key agricultural geographies, including the United States. Through this model, we interact directly with farmers at multiple points in the growing season, from prior to planting all the way through harvest. These regular interactions enable us to provide the advice and service farmers need while giving us real-time insights into their future ordering decisions. This approach is supplemented by the strong DuPont Crop Protection and Dow AgroSciences retail channels including distributors, agricultural cooperatives and farmer dealers which supply both seed and crop protection products. The indirect channels extend our reach and efficiently increase exposure of our products to other potential buyers, including smaller farmers or farmers in less concentrated areas. We believe this strategy will make our seed more widely available in retail channels, providing for cross platform growth in both our seed and crop protection platforms. This enhanced approach allows us to have a complete go-to-market strategy covering the direct, dealer and retail chains. As a result, we can offer a complete solution for the farmer, with a localized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133985</wp:posOffset>
            </wp:positionV>
            <wp:extent cx="3884930" cy="20751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388493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200" w:right="60"/>
        <w:spacing w:after="0" w:line="259" w:lineRule="auto"/>
        <w:rPr>
          <w:sz w:val="20"/>
          <w:szCs w:val="20"/>
          <w:color w:val="auto"/>
        </w:rPr>
      </w:pPr>
      <w:r>
        <w:rPr>
          <w:rFonts w:ascii="Arial" w:cs="Arial" w:eastAsia="Arial" w:hAnsi="Arial"/>
          <w:sz w:val="18"/>
          <w:szCs w:val="18"/>
          <w:color w:val="auto"/>
        </w:rPr>
        <w:t>Moving forward under this approach, the Pioneer</w:t>
      </w:r>
      <w:r>
        <w:rPr>
          <w:rFonts w:ascii="Arial" w:cs="Arial" w:eastAsia="Arial" w:hAnsi="Arial"/>
          <w:sz w:val="15"/>
          <w:szCs w:val="15"/>
          <w:color w:val="auto"/>
        </w:rPr>
        <w:t>®</w:t>
      </w:r>
      <w:r>
        <w:rPr>
          <w:rFonts w:ascii="Arial" w:cs="Arial" w:eastAsia="Arial" w:hAnsi="Arial"/>
          <w:sz w:val="18"/>
          <w:szCs w:val="18"/>
          <w:color w:val="auto"/>
        </w:rPr>
        <w:t xml:space="preserve"> brand, one of our premium global seed brands, will continue to be primarily delivered through our unique, direct route-to-market channel. Brevant™ seeds, also a premium global brand, will primarily serve retail channels outside of the United States. In addition to these two premium global seed brands, we will continue to offer quality country- and region-specific seed brands that complete one of the broadest, most diverse seed portfolios in the world.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60"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Our sales are generally strongest in the first half of the calendar year, which aligns with the planting and growing season in the northern hemisphere. We typically generate about 65 percent of our sales in the first half of the calendar year, driven by northern hemisphere seed and crop protection sales. We generate about 35 percent of our sales in the second half of the calendar year, led by seed sales in the southern hemisphere. The seasonality in sales impacts both our seed and crop protection segments. Our direct distribution channel, where products are shipped to farmers, is more affected by planting delays than our competitors. Generally speaking, unfavorable weather slows the planting season and can affect our quarterly results and sales mix. Severe unfavorable weather, however, can impact overall sales. Accounts receivable tends to be higher during the first half of the year, consistent with the peak sales period in the northern hemisphere, with cash collection focused in the fourth quarter.</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We operate out of our headquarters in Wilmington, Delaware. We also maintain one global business center in Johnston, Iowa, for our seed business and another in Indianapolis, Indiana, for our crop protection business. Our manufacturing, processing, marketing and research and development facilities, as well as regional purchasing offices and distribution centers, are located throughout the world. Following the separation, we expect to operate 157 manufacturing sites in approximately 30 countries in the following geographic regions:</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Seed</w:t>
            </w:r>
          </w:p>
        </w:tc>
        <w:tc>
          <w:tcPr>
            <w:tcW w:w="58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Crop</w:t>
            </w:r>
          </w:p>
        </w:tc>
        <w:tc>
          <w:tcPr>
            <w:tcW w:w="9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Protection</w:t>
            </w: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U.S. &amp; Canada</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Our properties will include facilities which, in the opinion of management, are expected to be suitable and adequate for their use and will have sufficient capacity for our current needs and expected near-term growth. All our plants are owned or leased, subject to certain easements of other persons which, in the opinion of management, do not substantially interfere with the continued use of such properties or materially affect their value. No title examination of the properties has been made for the purpose of this information statement.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We consider our intellectual property estate, which includes patents, trade secrets, trademarks and copyrights, in the aggregate, to constitute a valuable asset of Corteva and we actively seek to secure intellectual property rights as part of an overall strategy to protect our investment in innovations and maximize the results of our research and development program. While we believe that our intellectual property estate, taken as a whole, provides a competitive advantage in many of our businesses, no single patent, trademark, license or group of related patents or licenses is in itself essential to us as a whole or to any of our segments.</w:t>
      </w:r>
    </w:p>
    <w:p>
      <w:pPr>
        <w:spacing w:after="0" w:line="188"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Based on our patent estate at December 31, 2018, after our separation and distribution we expect to hold more than 7,000 active patents for our Seed platform and more than 5,000 active patents for our Crop Protection platform. The protection afforded by these patents varies based on country and scope of individual patent coverage, as well as the availability of legal remedies in each country.</w:t>
      </w:r>
    </w:p>
    <w:p>
      <w:pPr>
        <w:spacing w:after="0" w:line="18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We also own or have licensed a substantial number of tradenames, trademarks and trademark registrations in the United States and other countries, including over 13,000 registrations and pending trademark applications in a number of jurisdictions.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60"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In addition, we hold multiple long-term biotechnology trait licenses from third parties as a normal course of business. Most corn hybrids and soybean varieties sold to customers contain biotechnology traits licensed from third parties under these long-term licenses. In 2018, our royalty costs totaled approximately $750 million, primarily related to in-licensed traits.</w:t>
      </w:r>
    </w:p>
    <w:p>
      <w:pPr>
        <w:spacing w:after="0" w:line="18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To facilitate our separation and distribution, and allow our, Dow’s and New DuPont’s operations to continue with minimal interruption, we expect to enter a series of intellectual property license agreements. For more information, see the section entitled “Our Relationship with New DuPont and Dow Following the Distribution.”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As of December 31, 2018, we have approximately 21,900 employees, approximately 16.5 percent of whom are represented by unions. We hire, train, and retain some of the leading scientists and engineers in the agriculture and biotechnology space. It is our mission to provide our employees with challenging and rewarding careers. Management believes its relations with its employees to be good.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Landscape</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We compete with producers of seed germplasm and crop protection products on a global basis. The global market for products within the industry is highly competitive and we believe competition will intensify with industry consolidation. We compete based on germplasm and trait leadership, price, quality and cost competitiveness and the offering of a holistic solution. Our competitors include brand names, companies trading in generic crop protection chemicals and regional seed companies.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Considerations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Corteva Seed and Crop Protection Science</w:t>
      </w:r>
    </w:p>
    <w:p>
      <w:pPr>
        <w:spacing w:after="0" w:line="11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Our seed and crop protection products and operations are subject to certain approval procedures, manufacturing requirements and environmental protection laws and regulations in the jurisdictions in which we operate. We evaluate and test products throughout the research and development phases, and each new technology undergoes further rigorous scientific studies and tests to ensure that the product can be used effectively and that use of the technology is safe for humans and animals and does not cause undue harm to the environment.</w:t>
      </w:r>
    </w:p>
    <w:p>
      <w:pPr>
        <w:spacing w:after="0" w:line="171"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The regulatory approval processes and procedures globally have grown increasingly more complex, which has resulted in additional tests, time investment and higher development and maintenance costs. We continue to invest on an ongoing basis to keep dossiers current, respond to regulators and meet regulatory standards required by global regulatory frameworks.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 of Genetically Modified Organisms (“GMOs”)</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Genetically modified seed products are subject to regulatory approval processes and procedures. For example, in the United States, the Coordinated Framework for Regulation of Biotechnology governs genetically modified organisms, using existing U.S. legislation and legal authorities on food, feed and environmental safety. Plant GMOs are regulated by the U.S. Department of Agriculture’s (the “USDA”) Animal and Plant Health Inspection Service (the “APHIS”) under the Plant Protection Act. The APHIS assesses the trait to ensure that the trait will not pose a plant pest and is not a noxious weed. GMOs in food are regulated by the Food and Drug Administration (the “FDA”) under the Federal Food, Drug, and Cosmetic Act (the “FFDCA”). The FDA ensures that the food is safe for food and feed. Pesticides and microorganisms containing GMOs are regulated by the Environmental Protection Agency (the “EPA”) pursuant to the Federal Insecticide, Fungicide and Rodenticide Act (the “FIFRA”) and the Toxic Substances Control Act. The EPA assesses the trait or the stack containing the traits to ensure that there is no unreasonable adverse effect to the environment.</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60"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Other countries also have rigorous approval processes, procedures, and scientific testing requirements for the cultivation or import of genetically modified seed products. In the United States and other countries that have functioning regulatory systems, a rigorous scientific review is conducted by these agencies to demonstrate that genetically modified products are as safe as traditionally bred, non-biotech/GMO counterparts for food, feed and the environment.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 of Crop Protection Products</w:t>
      </w:r>
    </w:p>
    <w:p>
      <w:pPr>
        <w:spacing w:after="0" w:line="117"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Globally, manufacturers of crop protection products, including herbicides, fungicides and insecticides are required to submit an application/dossier and obtain government regulatory approval prior to selling products in a particular country. In the United States, the EPA is responsible for registering and overseeing the approval and marketing of pesticides, pursuant to the FIFRA, the FFDCA and the Food Quality Protection Act. Also, the USDA and the FDA monitor levels of pesticide residue that is allowed on or in crops. Already registered pesticides are required to be re-registered every 15 years to ensure that those products continue to meet the rigorous safety standards set by the regulators. The EPA reevaluates pesticide tolerances every 10 years, taking into account ecological and human health risks, in addition to cumulative risks as a result of multiple routes of and sources of exposure.</w:t>
      </w:r>
    </w:p>
    <w:p>
      <w:pPr>
        <w:spacing w:after="0" w:line="165"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Other jurisdictions also have rigorous approval processes, procedures and scientific testing requirements for the approval of crop protection products. We continue to follow legislative and regulatory developments related to pollution and other environmental health and safety matters. Our European operations are subject to the European chemical regulation REACH (“Registration, Evaluation, Authorisation, and Restriction of Chemicals”) and the CLP (“Classification, Labeling, and Packaging of Substances and Mixtures”).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and Other 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Allocation of Contingencies Under the Separation Agreement</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Under the separation agreement, certain environmental and legal liabilities have been allocated among New DuPont, Dow and Corteva. Those liabilities primarily related to our business and operations will generally be retained or assumed by us, unless otherwise specifically allocated to Dow or New DuPont.</w:t>
      </w:r>
    </w:p>
    <w:p>
      <w:pPr>
        <w:spacing w:after="0" w:line="181"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With respect to environmental and legal liabilities from discontinued and/or divested operations and businesses, those of Historical Dow have been retained or assumed by Dow and those of Historical DuPont have been retained or assumed by Corteva or New DuPont according to the terms of the separation agreement. Specifically, those liabilities of Historical DuPont clearly related to Corteva’s or New DuPont’s businesses and operations will be allocated to Corteva and New DuPont, respectively. Based upon Historical DuPont’s accrued environmental liabilities at December 31, 2018, approximately $20 million have been allocated to Corteva and approximately $51 million have been allocated to New DuPont. While the ultimate amount of these accrued liabilities may increase over time, we estimate the upper end of the range of loss associated with such liabilities to be approximately $63 million for Corteva and approximately $220 million for New DuPont.</w:t>
      </w:r>
    </w:p>
    <w:p>
      <w:pPr>
        <w:spacing w:after="0" w:line="178" w:lineRule="exact"/>
        <w:rPr>
          <w:sz w:val="20"/>
          <w:szCs w:val="20"/>
          <w:color w:val="auto"/>
        </w:rPr>
      </w:pPr>
    </w:p>
    <w:p>
      <w:pPr>
        <w:jc w:val="both"/>
        <w:ind w:left="200" w:right="120"/>
        <w:spacing w:after="0" w:line="271" w:lineRule="auto"/>
        <w:rPr>
          <w:sz w:val="20"/>
          <w:szCs w:val="20"/>
          <w:color w:val="auto"/>
        </w:rPr>
      </w:pPr>
      <w:r>
        <w:rPr>
          <w:rFonts w:ascii="Arial" w:cs="Arial" w:eastAsia="Arial" w:hAnsi="Arial"/>
          <w:sz w:val="17"/>
          <w:szCs w:val="17"/>
          <w:color w:val="auto"/>
        </w:rPr>
        <w:t>Liabilities from discontinued and/or divested operations and businesses of Historical DuPont that are not clearly related to Corteva’s or New DuPont’s businesses and operations (a “stray liability”), and were known at the time the separation agreement was executed on April 1, 2019, were assumed by Corteva or New DuPont up to a specified amount for each such known source of potential liability (in each case, as set forth in confidential disclosure schedules to the separation agreement). If a known stray liability assumed by Corteva or New DuPont is ultimately valued at an amount that is greater than the amount that has been specified for such stray liability, Corteva or New DuPont, as applicable, will bear such additional amount attributable to that stray liability up to separate aggregate thresholds of approximately $200 million. Any stray liabilities that are unknown at the time the separation agreement is executed will also be applied to these $200 million thresholds. If either Corteva’s or New DuPont’s $200 million threshold is met prior to the other’s being met, any additional stray liabilities will be</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60"/>
          </w:cols>
          <w:pgMar w:left="240" w:top="459" w:right="49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applied to the other’s remaining threshold. In the event such liabilities exceed $200 million in the aggregate for each of us and New DuPont, we will retain or assume 29%, and New DuPont will retain or assume 71%, of such excess (subject to a $1 million de minimis threshold). Stray liabilities of Historical DuPont are likely to be incurred by Corteva in excess of its to-be-determined amounts and aggregate threshold, which excess would be subject to the indemnification provisions described above.</w:t>
      </w:r>
    </w:p>
    <w:p>
      <w:pPr>
        <w:spacing w:after="0" w:line="187"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Of Historical DuPont’s accrued environmental liabilities at December 31, 2018, we expect all of the approximately $310 million of stray liabilities to be allocated to Corteva, and estimate the upper end of the range of loss associated with such liabilities to be approximately $848 million. Of these accrued stray liabilities at December 31, 2018, Historical DuPont is indemnified by Chemours and we expect Corteva will be indemnified by Chemours for approximately $193 million, and estimate the upper end of the range of loss covered by such indemnification to be approximately $503 million.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 more information, see the section entitled “Our Relationship with New DuPont and Dow Following the Distribution—Separation Agreement.”</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liability allocations will be implemented through transfer or substitution, if possible, or indemnity.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it is remote that the following matters will have a material impact on our financial position, liquidity, or result of operations.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La Porte Plant, La Porte, Texas—EPA Multimedia Inspection</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EPA conducted a multimedia inspection at the La Porte facility in January 2008. Historical DuPont, the EPA and the Department of Justice (“DOJ”) began discussions in Fall 2011 relating to the management of certain materials in the facility’s waste water treatment system, hazardous waste management, flare and air emissions. These discussions continue.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Sabine Plant, Orange, Texas—EPA Multimedia Inspection</w:t>
      </w:r>
    </w:p>
    <w:p>
      <w:pPr>
        <w:spacing w:after="0" w:line="117"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In June 2012, Historical DuPont began discussions with the EPA and the DOJ related to a multimedia inspection that the EPA conducted at the Sabine facility in March 2009 and December 2015. The discussions involve the management of materials in the facility’s waste water treatment system, hazardous waste management, flare and air emissions, including leak detection and repair. These discussions continue.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Jersey Directive PFAS</w:t>
      </w:r>
    </w:p>
    <w:p>
      <w:pPr>
        <w:spacing w:after="0" w:line="117"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On March 25, 2019, the New Jersey Department of Environmental Protection (“NJDEP”) issued a Directive and Notice to Insurers to a number of companies, including Chemours, DowDuPont and certain DowDuPont subsidiaries including Historical DuPont. Allegations against Historical DuPont relate to former operations of Historical DuPont involving poly- and perfluoroalkyl substances (“PFAS”), including PFOA and PFOA- replacement products. The NJDEP seeks past and future costs of investigating, monitoring, testing, treating, and remediating New Jersey’s drinking water and waste systems, private drinking water wells and natural resources including groundwater, surface water, soil, sediments and biota. The Directive seeks certain information as to future costs and information related to the historic uses of PFAS and replacement chemicals including “information ranging from use and discharge of the chemicals through wastewater treatment plants, air emissions, and sales of products containing the chemicals to current development, manufacture, use and release of newer chemicals in the state.”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Chemours has agreed, with reservations, to defend and indemnify Historical DuPont in this matter.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80"/>
          </w:cols>
          <w:pgMar w:left="240" w:top="460" w:right="4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Jersey Directive Pompton Lakes</w:t>
      </w:r>
    </w:p>
    <w:p>
      <w:pPr>
        <w:spacing w:after="0" w:line="117"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On March 27, 2019, the NJDEP issued a Directive and Notice to Insurers for Natural Resource Damages at Pompton Lakes facility in New Jersey. The directive was issued to Historical DuPont and Chemours and it alleges that former operations at the facility by Historical DuPont have caused contamination and damage to surface and ground water, soils and sediments on and off the facility. The NJDEP is seeking $125,000 as reimbursement for the preparation of a natural resource damage assessment. Depending on the results of such assessment, the parties are notified that they may be required to pay for the restoration and replacement of any damage to such natural resources.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Chemours has agreed, with reservations, to defend and indemnify Historical DuPont in this matter.</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Environmental Operating Costs and Remediation Costs</w:t>
      </w:r>
    </w:p>
    <w:p>
      <w:pPr>
        <w:spacing w:after="0" w:line="117" w:lineRule="exact"/>
        <w:rPr>
          <w:sz w:val="20"/>
          <w:szCs w:val="20"/>
          <w:color w:val="auto"/>
        </w:rPr>
      </w:pPr>
    </w:p>
    <w:p>
      <w:pPr>
        <w:ind w:left="200" w:right="260"/>
        <w:spacing w:after="0" w:line="255" w:lineRule="auto"/>
        <w:rPr>
          <w:sz w:val="20"/>
          <w:szCs w:val="20"/>
          <w:color w:val="auto"/>
        </w:rPr>
      </w:pPr>
      <w:r>
        <w:rPr>
          <w:rFonts w:ascii="Arial" w:cs="Arial" w:eastAsia="Arial" w:hAnsi="Arial"/>
          <w:sz w:val="18"/>
          <w:szCs w:val="18"/>
          <w:color w:val="auto"/>
        </w:rPr>
        <w:t>As a result of our operations, including past operations and those related to divested businesses and discontinued operations, we incur environmental operating costs for pollution abatement activities including waste collection and disposal, installation and maintenance of air pollution controls and wastewater treatment, emissions testing and monitoring and obtaining permits. We also incur environmental operating costs related to environmental related research and development activities including environmental field and treatment studies as well as toxicity and degradation testing to evaluate the environmental impact of products and raw materials. In addition, we maintain and periodically review and adjust our accruals for probable environmental remediation and restoration costs.</w:t>
      </w:r>
    </w:p>
    <w:p>
      <w:pPr>
        <w:spacing w:after="0" w:line="193"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We expect to continue to incur environmental operating costs since we will operate global manufacturing, product handling and distribution facilities that are subject to a broad array of environmental laws and regulations. These rules are subject to change by the implementing governmental agency, which we monitor closely. Our policy will require that our operations fully meet or exceed legal and regulatory requirements. In addition, we expect to continue certain voluntary programs, and could consider additional voluntary actions, to reduce air emissions, minimize the generation of hazardous waste, decrease the volume of water use and discharges, increase the efficiency of energy use and reduce the generation of persistent, bioaccumulative and toxic materials. Costs to comply with complex environmental laws and regulations, as well as internal voluntary programs and goals, are significant and we expect these costs will continue to be significant for the foreseeable future. However, we do not expect these costs to have a material impact on our financial position, liquidity or results of operations in the foreseeable future, although over the longer term such expenditures are subject to considerable uncertainty and could fluctuate significantly.</w:t>
      </w:r>
    </w:p>
    <w:p>
      <w:pPr>
        <w:spacing w:after="0" w:line="182"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We accrue for environmental matters when it is probable that a liability has been incurred and the amount can be reasonably estimated. As remediation activities vary substantially in duration and cost from site to site, it is difficult to develop precise estimates of future site remediation costs. We expect to base such estimates on several factors, including the complexity of the geology, the nature and extent of contamination, the type of remedy, the outcome of discussions with regulatory agencies and other PRPs at multi-party sites and the number of, and financial viability, of other PRPs.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From time to time we are subject to various legal proceedings arising out of the normal course of our current and former business operations. Such legal proceedings may include intellectual property, commercial, product liability, environmental and antitrust lawsuits. It is not possible to predict the outcome of these various proceedings. Although considerable uncertainty exists, our management does not anticipate that the ultimate disposition of these matters will have a material adverse effect on our results of operations, consolidated financial position or liquidity. However, the ultimate liabilities could be material to our results of operations in the period recognized.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Following the Distribution</w:t>
      </w:r>
    </w:p>
    <w:p>
      <w:pPr>
        <w:spacing w:after="0" w:line="121"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The following sets forth information regarding individuals who are expected to serve as our executive officers, including their positions, after the distribution. While some of these individuals currently serve as executive officers of DowDuPont, after the distribution none of our executive officers will be employees of New DuPont.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Age</w:t>
            </w:r>
          </w:p>
        </w:tc>
        <w:tc>
          <w:tcPr>
            <w:tcW w:w="660" w:type="dxa"/>
            <w:vAlign w:val="bottom"/>
            <w:vMerge w:val="restart"/>
          </w:tcPr>
          <w:p>
            <w:pPr>
              <w:spacing w:after="0"/>
              <w:rPr>
                <w:sz w:val="14"/>
                <w:szCs w:val="14"/>
                <w:color w:val="auto"/>
              </w:rPr>
            </w:pPr>
          </w:p>
        </w:tc>
        <w:tc>
          <w:tcPr>
            <w:tcW w:w="1980" w:type="dxa"/>
            <w:vAlign w:val="bottom"/>
            <w:gridSpan w:val="3"/>
          </w:tcPr>
          <w:p>
            <w:pPr>
              <w:jc w:val="center"/>
              <w:ind w:left="231"/>
              <w:spacing w:after="0"/>
              <w:rPr>
                <w:sz w:val="20"/>
                <w:szCs w:val="20"/>
                <w:color w:val="auto"/>
              </w:rPr>
            </w:pPr>
            <w:r>
              <w:rPr>
                <w:rFonts w:ascii="Arial" w:cs="Arial" w:eastAsia="Arial" w:hAnsi="Arial"/>
                <w:sz w:val="14"/>
                <w:szCs w:val="14"/>
                <w:b w:val="1"/>
                <w:bCs w:val="1"/>
                <w:color w:val="auto"/>
                <w:w w:val="90"/>
              </w:rPr>
              <w:t>Expected Position</w:t>
            </w:r>
          </w:p>
        </w:tc>
        <w:tc>
          <w:tcPr>
            <w:tcW w:w="660" w:type="dxa"/>
            <w:vAlign w:val="bottom"/>
          </w:tcPr>
          <w:p>
            <w:pPr>
              <w:spacing w:after="0"/>
              <w:rPr>
                <w:sz w:val="14"/>
                <w:szCs w:val="14"/>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Current</w:t>
            </w:r>
          </w:p>
        </w:tc>
        <w:tc>
          <w:tcPr>
            <w:tcW w:w="486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0"/>
              </w:rPr>
              <w:t>Other Business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with Corteva</w:t>
            </w:r>
          </w:p>
        </w:tc>
        <w:tc>
          <w:tcPr>
            <w:tcW w:w="660" w:type="dxa"/>
            <w:vAlign w:val="bottom"/>
          </w:tcPr>
          <w:p>
            <w:pPr>
              <w:spacing w:after="0"/>
              <w:rPr>
                <w:sz w:val="14"/>
                <w:szCs w:val="14"/>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Positions</w:t>
            </w:r>
          </w:p>
        </w:tc>
        <w:tc>
          <w:tcPr>
            <w:tcW w:w="2200" w:type="dxa"/>
            <w:vAlign w:val="bottom"/>
          </w:tcPr>
          <w:p>
            <w:pPr>
              <w:spacing w:after="0"/>
              <w:rPr>
                <w:sz w:val="14"/>
                <w:szCs w:val="14"/>
                <w:color w:val="auto"/>
              </w:rPr>
            </w:pPr>
          </w:p>
        </w:tc>
        <w:tc>
          <w:tcPr>
            <w:tcW w:w="266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0"/>
              </w:rPr>
              <w:t>Experience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2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James C. Collins, Jr., 56</w:t>
            </w:r>
          </w:p>
        </w:tc>
        <w:tc>
          <w:tcPr>
            <w:tcW w:w="1980" w:type="dxa"/>
            <w:vAlign w:val="bottom"/>
            <w:gridSpan w:val="3"/>
            <w:shd w:val="clear" w:color="auto" w:fill="CCEEFF"/>
          </w:tcPr>
          <w:p>
            <w:pPr>
              <w:ind w:left="520"/>
              <w:spacing w:after="0" w:line="195" w:lineRule="exact"/>
              <w:rPr>
                <w:sz w:val="20"/>
                <w:szCs w:val="20"/>
                <w:color w:val="auto"/>
              </w:rPr>
            </w:pPr>
            <w:r>
              <w:rPr>
                <w:rFonts w:ascii="Arial" w:cs="Arial" w:eastAsia="Arial" w:hAnsi="Arial"/>
                <w:sz w:val="18"/>
                <w:szCs w:val="18"/>
                <w:color w:val="auto"/>
              </w:rPr>
              <w:t>Chief Executive</w:t>
            </w:r>
          </w:p>
        </w:tc>
        <w:tc>
          <w:tcPr>
            <w:tcW w:w="1860" w:type="dxa"/>
            <w:vAlign w:val="bottom"/>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Chief Executive</w:t>
            </w:r>
          </w:p>
        </w:tc>
        <w:tc>
          <w:tcPr>
            <w:tcW w:w="4860" w:type="dxa"/>
            <w:vAlign w:val="bottom"/>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w w:val="99"/>
              </w:rPr>
              <w:t>Mr. Collins’ business experience is included in the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Officer, Board</w:t>
            </w:r>
          </w:p>
        </w:tc>
        <w:tc>
          <w:tcPr>
            <w:tcW w:w="1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Officer, Board</w:t>
            </w: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biographies below.</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Member</w:t>
            </w:r>
          </w:p>
        </w:tc>
        <w:tc>
          <w:tcPr>
            <w:tcW w:w="1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Member</w:t>
            </w:r>
          </w:p>
        </w:tc>
        <w:tc>
          <w:tcPr>
            <w:tcW w:w="2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40" w:type="dxa"/>
            <w:vAlign w:val="bottom"/>
            <w:gridSpan w:val="4"/>
          </w:tcPr>
          <w:p>
            <w:pPr>
              <w:spacing w:after="0"/>
              <w:rPr>
                <w:sz w:val="20"/>
                <w:szCs w:val="20"/>
                <w:color w:val="auto"/>
              </w:rPr>
            </w:pPr>
            <w:r>
              <w:rPr>
                <w:rFonts w:ascii="Arial" w:cs="Arial" w:eastAsia="Arial" w:hAnsi="Arial"/>
                <w:sz w:val="18"/>
                <w:szCs w:val="18"/>
                <w:color w:val="auto"/>
              </w:rPr>
              <w:t>Gregory R. Friedman, 51</w:t>
            </w:r>
          </w:p>
        </w:tc>
        <w:tc>
          <w:tcPr>
            <w:tcW w:w="1980" w:type="dxa"/>
            <w:vAlign w:val="bottom"/>
            <w:gridSpan w:val="3"/>
          </w:tcPr>
          <w:p>
            <w:pPr>
              <w:ind w:left="520"/>
              <w:spacing w:after="0"/>
              <w:rPr>
                <w:sz w:val="20"/>
                <w:szCs w:val="20"/>
                <w:color w:val="auto"/>
              </w:rPr>
            </w:pPr>
            <w:r>
              <w:rPr>
                <w:rFonts w:ascii="Arial" w:cs="Arial" w:eastAsia="Arial" w:hAnsi="Arial"/>
                <w:sz w:val="18"/>
                <w:szCs w:val="18"/>
                <w:color w:val="auto"/>
              </w:rPr>
              <w:t>Executive Vice</w:t>
            </w:r>
          </w:p>
        </w:tc>
        <w:tc>
          <w:tcPr>
            <w:tcW w:w="1860" w:type="dxa"/>
            <w:vAlign w:val="bottom"/>
            <w:gridSpan w:val="3"/>
          </w:tcPr>
          <w:p>
            <w:pPr>
              <w:ind w:left="220"/>
              <w:spacing w:after="0"/>
              <w:rPr>
                <w:sz w:val="20"/>
                <w:szCs w:val="20"/>
                <w:color w:val="auto"/>
              </w:rPr>
            </w:pPr>
            <w:r>
              <w:rPr>
                <w:rFonts w:ascii="Arial" w:cs="Arial" w:eastAsia="Arial" w:hAnsi="Arial"/>
                <w:sz w:val="18"/>
                <w:szCs w:val="18"/>
                <w:color w:val="auto"/>
              </w:rPr>
              <w:t>Executive Vice</w:t>
            </w: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6"/>
              </w:rPr>
              <w:t>Mr. Friedman served as vice president, investor relations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80" w:type="dxa"/>
            <w:vAlign w:val="bottom"/>
            <w:gridSpan w:val="3"/>
          </w:tcPr>
          <w:p>
            <w:pPr>
              <w:ind w:left="520"/>
              <w:spacing w:after="0"/>
              <w:rPr>
                <w:sz w:val="20"/>
                <w:szCs w:val="20"/>
                <w:color w:val="auto"/>
              </w:rPr>
            </w:pPr>
            <w:r>
              <w:rPr>
                <w:rFonts w:ascii="Arial" w:cs="Arial" w:eastAsia="Arial" w:hAnsi="Arial"/>
                <w:sz w:val="18"/>
                <w:szCs w:val="18"/>
                <w:color w:val="auto"/>
              </w:rPr>
              <w:t>President, Chief</w:t>
            </w:r>
          </w:p>
        </w:tc>
        <w:tc>
          <w:tcPr>
            <w:tcW w:w="1860" w:type="dxa"/>
            <w:vAlign w:val="bottom"/>
            <w:gridSpan w:val="3"/>
          </w:tcPr>
          <w:p>
            <w:pPr>
              <w:ind w:left="220"/>
              <w:spacing w:after="0"/>
              <w:rPr>
                <w:sz w:val="20"/>
                <w:szCs w:val="20"/>
                <w:color w:val="auto"/>
              </w:rPr>
            </w:pPr>
            <w:r>
              <w:rPr>
                <w:rFonts w:ascii="Arial" w:cs="Arial" w:eastAsia="Arial" w:hAnsi="Arial"/>
                <w:sz w:val="18"/>
                <w:szCs w:val="18"/>
                <w:color w:val="auto"/>
              </w:rPr>
              <w:t>President, Chief</w:t>
            </w: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EID from September 2014 until his current appointment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80" w:type="dxa"/>
            <w:vAlign w:val="bottom"/>
            <w:gridSpan w:val="3"/>
          </w:tcPr>
          <w:p>
            <w:pPr>
              <w:ind w:left="520"/>
              <w:spacing w:after="0"/>
              <w:rPr>
                <w:sz w:val="20"/>
                <w:szCs w:val="20"/>
                <w:color w:val="auto"/>
              </w:rPr>
            </w:pPr>
            <w:r>
              <w:rPr>
                <w:rFonts w:ascii="Arial" w:cs="Arial" w:eastAsia="Arial" w:hAnsi="Arial"/>
                <w:sz w:val="18"/>
                <w:szCs w:val="18"/>
                <w:color w:val="auto"/>
              </w:rPr>
              <w:t>Financial</w:t>
            </w:r>
          </w:p>
        </w:tc>
        <w:tc>
          <w:tcPr>
            <w:tcW w:w="1860" w:type="dxa"/>
            <w:vAlign w:val="bottom"/>
            <w:gridSpan w:val="3"/>
          </w:tcPr>
          <w:p>
            <w:pPr>
              <w:ind w:left="220"/>
              <w:spacing w:after="0"/>
              <w:rPr>
                <w:sz w:val="20"/>
                <w:szCs w:val="20"/>
                <w:color w:val="auto"/>
              </w:rPr>
            </w:pPr>
            <w:r>
              <w:rPr>
                <w:rFonts w:ascii="Arial" w:cs="Arial" w:eastAsia="Arial" w:hAnsi="Arial"/>
                <w:sz w:val="18"/>
                <w:szCs w:val="18"/>
                <w:color w:val="auto"/>
              </w:rPr>
              <w:t>Financial Officer,</w:t>
            </w: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1"/>
              </w:rPr>
              <w:t>September 2018. Prior to this, he served as general auditor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80" w:type="dxa"/>
            <w:vAlign w:val="bottom"/>
            <w:gridSpan w:val="3"/>
          </w:tcPr>
          <w:p>
            <w:pPr>
              <w:ind w:left="520"/>
              <w:spacing w:after="0"/>
              <w:rPr>
                <w:sz w:val="20"/>
                <w:szCs w:val="20"/>
                <w:color w:val="auto"/>
              </w:rPr>
            </w:pPr>
            <w:r>
              <w:rPr>
                <w:rFonts w:ascii="Arial" w:cs="Arial" w:eastAsia="Arial" w:hAnsi="Arial"/>
                <w:sz w:val="18"/>
                <w:szCs w:val="18"/>
                <w:color w:val="auto"/>
              </w:rPr>
              <w:t>Officer</w:t>
            </w:r>
          </w:p>
        </w:tc>
        <w:tc>
          <w:tcPr>
            <w:tcW w:w="1860" w:type="dxa"/>
            <w:vAlign w:val="bottom"/>
            <w:gridSpan w:val="3"/>
          </w:tcPr>
          <w:p>
            <w:pPr>
              <w:ind w:left="220"/>
              <w:spacing w:after="0"/>
              <w:rPr>
                <w:sz w:val="20"/>
                <w:szCs w:val="20"/>
                <w:color w:val="auto"/>
              </w:rPr>
            </w:pPr>
            <w:r>
              <w:rPr>
                <w:rFonts w:ascii="Arial" w:cs="Arial" w:eastAsia="Arial" w:hAnsi="Arial"/>
                <w:sz w:val="18"/>
                <w:szCs w:val="18"/>
                <w:color w:val="auto"/>
              </w:rPr>
              <w:t>Board Member</w:t>
            </w:r>
            <w:r>
              <w:rPr>
                <w:rFonts w:ascii="Arial" w:cs="Arial" w:eastAsia="Arial" w:hAnsi="Arial"/>
                <w:sz w:val="15"/>
                <w:szCs w:val="15"/>
                <w:color w:val="auto"/>
              </w:rPr>
              <w:t>*</w:t>
            </w: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8"/>
              </w:rPr>
              <w:t>chief ethics &amp; compliance leader for EID from 2013 to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6"/>
              </w:rPr>
              <w:t>and as chief financial officer of DuPont Pioneer from 2011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2"/>
              </w:rPr>
              <w:t>2013. Previously, he served as assistant treasurer for EID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3"/>
              </w:rPr>
              <w:t>2010 to 2011 with responsibility for financial risk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3"/>
              </w:rPr>
              <w:t>cash operations and leasing. From 2002 to 2010, he served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2"/>
              </w:rPr>
              <w:t>various business and finance leadership roles after joining EID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5"/>
              </w:rPr>
              <w:t>in 2001 as chief financial officer of Polar Vision, Inc., a newly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6"/>
              </w:rPr>
              <w:t>acquired electronics joint venture in Torrance, California. 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6"/>
              </w:rPr>
              <w:t>currently serves on the board of the United Way of Southern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Chester County.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Cornel B. Fuerer, 53</w:t>
            </w:r>
          </w:p>
        </w:tc>
        <w:tc>
          <w:tcPr>
            <w:tcW w:w="1980" w:type="dxa"/>
            <w:vAlign w:val="bottom"/>
            <w:gridSpan w:val="3"/>
            <w:shd w:val="clear" w:color="auto" w:fill="CCEEFF"/>
          </w:tcPr>
          <w:p>
            <w:pPr>
              <w:ind w:left="520"/>
              <w:spacing w:after="0" w:line="201" w:lineRule="exact"/>
              <w:rPr>
                <w:sz w:val="20"/>
                <w:szCs w:val="20"/>
                <w:color w:val="auto"/>
              </w:rPr>
            </w:pPr>
            <w:r>
              <w:rPr>
                <w:rFonts w:ascii="Arial" w:cs="Arial" w:eastAsia="Arial" w:hAnsi="Arial"/>
                <w:sz w:val="18"/>
                <w:szCs w:val="18"/>
                <w:color w:val="auto"/>
              </w:rPr>
              <w:t>Senior Vice</w:t>
            </w:r>
          </w:p>
        </w:tc>
        <w:tc>
          <w:tcPr>
            <w:tcW w:w="18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Senior Vice</w:t>
            </w:r>
          </w:p>
        </w:tc>
        <w:tc>
          <w:tcPr>
            <w:tcW w:w="48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Mr. Fuerer served as associate general counsel supporting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President,</w:t>
            </w:r>
          </w:p>
        </w:tc>
        <w:tc>
          <w:tcPr>
            <w:tcW w:w="1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General</w:t>
            </w: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6"/>
              </w:rPr>
              <w:t>Agriculture Division of DowDuPont after the Merger. In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General Counsel,</w:t>
            </w:r>
          </w:p>
        </w:tc>
        <w:tc>
          <w:tcPr>
            <w:tcW w:w="1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Counsel, Secretary,</w:t>
            </w: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2"/>
              </w:rPr>
              <w:t>he served as EID associate general counsel with responsibility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Secretary</w:t>
            </w:r>
          </w:p>
        </w:tc>
        <w:tc>
          <w:tcPr>
            <w:tcW w:w="1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Board Member</w:t>
            </w:r>
            <w:r>
              <w:rPr>
                <w:rFonts w:ascii="Arial" w:cs="Arial" w:eastAsia="Arial" w:hAnsi="Arial"/>
                <w:sz w:val="15"/>
                <w:szCs w:val="15"/>
                <w:color w:val="auto"/>
              </w:rPr>
              <w:t>*</w:t>
            </w: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1"/>
              </w:rPr>
              <w:t>for the legal affairs of EID’s agriculture business and from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0"/>
              </w:rPr>
              <w:t>to 2013 he served as the corporate secretary of EID. From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 2012, Mr. Fuerer served as the vice president, general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6"/>
              </w:rPr>
              <w:t>counsel and company secretary of Solae, a food ingredients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joint venture between EID and Bunge. After joining EID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1995 as an attorney in Geneva, Switzerland, he served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various legal roles around the world.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5580" w:right="4020" w:hanging="5376"/>
        <w:spacing w:after="0" w:line="449" w:lineRule="auto"/>
        <w:tabs>
          <w:tab w:leader="none" w:pos="421" w:val="left"/>
        </w:tabs>
        <w:numPr>
          <w:ilvl w:val="0"/>
          <w:numId w:val="229"/>
        </w:numPr>
        <w:rPr>
          <w:rFonts w:ascii="Arial" w:cs="Arial" w:eastAsia="Arial" w:hAnsi="Arial"/>
          <w:sz w:val="15"/>
          <w:szCs w:val="15"/>
          <w:color w:val="auto"/>
        </w:rPr>
      </w:pPr>
      <w:r>
        <w:rPr>
          <w:rFonts w:ascii="Arial" w:cs="Arial" w:eastAsia="Arial" w:hAnsi="Arial"/>
          <w:sz w:val="18"/>
          <w:szCs w:val="18"/>
          <w:color w:val="auto"/>
        </w:rPr>
        <w:t>Neither Mr. Friedman nor Mr. Fuerer will be a board member of Corteva after the distribution. 149</w:t>
      </w:r>
    </w:p>
    <w:p>
      <w:pPr>
        <w:sectPr>
          <w:pgSz w:w="11900" w:h="16838" w:orient="portrait"/>
          <w:cols w:equalWidth="0" w:num="1">
            <w:col w:w="11240"/>
          </w:cols>
          <w:pgMar w:left="240" w:top="459" w:right="41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w w:val="92"/>
              </w:rPr>
              <w:t>Name and Age</w:t>
            </w:r>
          </w:p>
        </w:tc>
        <w:tc>
          <w:tcPr>
            <w:tcW w:w="2660" w:type="dxa"/>
            <w:vAlign w:val="bottom"/>
            <w:gridSpan w:val="3"/>
          </w:tcPr>
          <w:p>
            <w:pPr>
              <w:ind w:left="1300"/>
              <w:spacing w:after="0"/>
              <w:rPr>
                <w:sz w:val="20"/>
                <w:szCs w:val="20"/>
                <w:color w:val="auto"/>
              </w:rPr>
            </w:pPr>
            <w:r>
              <w:rPr>
                <w:rFonts w:ascii="Arial" w:cs="Arial" w:eastAsia="Arial" w:hAnsi="Arial"/>
                <w:sz w:val="14"/>
                <w:szCs w:val="14"/>
                <w:b w:val="1"/>
                <w:bCs w:val="1"/>
                <w:color w:val="auto"/>
              </w:rPr>
              <w:t>Expected Position</w:t>
            </w:r>
          </w:p>
        </w:tc>
        <w:tc>
          <w:tcPr>
            <w:tcW w:w="62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Current</w:t>
            </w:r>
          </w:p>
        </w:tc>
        <w:tc>
          <w:tcPr>
            <w:tcW w:w="5020" w:type="dxa"/>
            <w:vAlign w:val="bottom"/>
            <w:gridSpan w:val="3"/>
          </w:tcPr>
          <w:p>
            <w:pPr>
              <w:jc w:val="center"/>
              <w:ind w:left="271"/>
              <w:spacing w:after="0"/>
              <w:rPr>
                <w:sz w:val="20"/>
                <w:szCs w:val="20"/>
                <w:color w:val="auto"/>
              </w:rPr>
            </w:pPr>
            <w:r>
              <w:rPr>
                <w:rFonts w:ascii="Arial" w:cs="Arial" w:eastAsia="Arial" w:hAnsi="Arial"/>
                <w:sz w:val="14"/>
                <w:szCs w:val="14"/>
                <w:b w:val="1"/>
                <w:bCs w:val="1"/>
                <w:color w:val="auto"/>
                <w:w w:val="90"/>
              </w:rPr>
              <w:t>Other Business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with Corteva</w:t>
            </w:r>
          </w:p>
        </w:tc>
        <w:tc>
          <w:tcPr>
            <w:tcW w:w="62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Positions</w:t>
            </w:r>
          </w:p>
        </w:tc>
        <w:tc>
          <w:tcPr>
            <w:tcW w:w="2360" w:type="dxa"/>
            <w:vAlign w:val="bottom"/>
          </w:tcPr>
          <w:p>
            <w:pPr>
              <w:spacing w:after="0"/>
              <w:rPr>
                <w:sz w:val="14"/>
                <w:szCs w:val="14"/>
                <w:color w:val="auto"/>
              </w:rPr>
            </w:pPr>
          </w:p>
        </w:tc>
        <w:tc>
          <w:tcPr>
            <w:tcW w:w="266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0"/>
              </w:rPr>
              <w:t>Experience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Rajan Gajaria, 51</w:t>
            </w:r>
          </w:p>
        </w:tc>
        <w:tc>
          <w:tcPr>
            <w:tcW w:w="2660" w:type="dxa"/>
            <w:vAlign w:val="bottom"/>
            <w:gridSpan w:val="3"/>
            <w:shd w:val="clear" w:color="auto" w:fill="CCEEFF"/>
          </w:tcPr>
          <w:p>
            <w:pPr>
              <w:ind w:left="1280"/>
              <w:spacing w:after="0" w:line="201" w:lineRule="exact"/>
              <w:rPr>
                <w:sz w:val="20"/>
                <w:szCs w:val="20"/>
                <w:color w:val="auto"/>
              </w:rPr>
            </w:pPr>
            <w:r>
              <w:rPr>
                <w:rFonts w:ascii="Arial" w:cs="Arial" w:eastAsia="Arial" w:hAnsi="Arial"/>
                <w:sz w:val="18"/>
                <w:szCs w:val="18"/>
                <w:color w:val="auto"/>
              </w:rPr>
              <w:t>Executive Vice</w:t>
            </w:r>
          </w:p>
        </w:tc>
        <w:tc>
          <w:tcPr>
            <w:tcW w:w="168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Head of</w:t>
            </w:r>
          </w:p>
        </w:tc>
        <w:tc>
          <w:tcPr>
            <w:tcW w:w="5020" w:type="dxa"/>
            <w:vAlign w:val="bottom"/>
            <w:gridSpan w:val="3"/>
            <w:shd w:val="clear" w:color="auto" w:fill="CCEEFF"/>
          </w:tcPr>
          <w:p>
            <w:pPr>
              <w:ind w:left="380"/>
              <w:spacing w:after="0" w:line="201" w:lineRule="exact"/>
              <w:rPr>
                <w:sz w:val="20"/>
                <w:szCs w:val="20"/>
                <w:color w:val="auto"/>
              </w:rPr>
            </w:pPr>
            <w:r>
              <w:rPr>
                <w:rFonts w:ascii="Arial" w:cs="Arial" w:eastAsia="Arial" w:hAnsi="Arial"/>
                <w:sz w:val="18"/>
                <w:szCs w:val="18"/>
                <w:color w:val="auto"/>
                <w:w w:val="98"/>
              </w:rPr>
              <w:t>Mr. Gajaria served as vice president, global crop protection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President,</w:t>
            </w:r>
          </w:p>
        </w:tc>
        <w:tc>
          <w:tcPr>
            <w:tcW w:w="1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Business</w:t>
            </w: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7"/>
              </w:rPr>
              <w:t>business platform, after the Merger. In 2015, he was named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Business</w:t>
            </w:r>
          </w:p>
        </w:tc>
        <w:tc>
          <w:tcPr>
            <w:tcW w:w="1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Platforms,</w:t>
            </w: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vice president, Latin America and North America, for Dow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Platforms</w:t>
            </w:r>
          </w:p>
        </w:tc>
        <w:tc>
          <w:tcPr>
            <w:tcW w:w="1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Agriculture</w:t>
            </w: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7"/>
              </w:rPr>
              <w:t>AgroSciences. He was selected to lead Dow AgroSciences’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Division of</w:t>
            </w: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2"/>
              </w:rPr>
              <w:t>Latin America and Asia Pacific geographies in 2012 after being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DowDuPont</w:t>
            </w: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5"/>
              </w:rPr>
              <w:t>named marketing director for the company’s U.S. business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5"/>
              </w:rPr>
              <w:t>2009. Mr. Gajaria advanced through leadership roles at Dow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2"/>
              </w:rPr>
              <w:t>AgroSciences in corporate strategy, marketing, and e-business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4"/>
              </w:rPr>
              <w:t>before serving as global supply chain director. He joined Dow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4"/>
              </w:rPr>
              <w:t>AgroSciences’ Indian joint venture partner in Mumbai in 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where he served in sales and marketing roles as well as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human resources before moving to the company’s global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8"/>
              </w:rPr>
              <w:t>headquarters in Indianapolis, Indiana. Mr. Gajaria is on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boards of the Indianapolis Chamber of Commerce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7"/>
              </w:rPr>
              <w:t>Central Indiana Corporate Partnership. He also serves as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member of the board of BioCrossroads, which works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advance the life sciences community.</w:t>
            </w:r>
          </w:p>
        </w:tc>
        <w:tc>
          <w:tcPr>
            <w:tcW w:w="0" w:type="dxa"/>
            <w:vAlign w:val="bottom"/>
          </w:tcPr>
          <w:p>
            <w:pPr>
              <w:spacing w:after="0"/>
              <w:rPr>
                <w:sz w:val="1"/>
                <w:szCs w:val="1"/>
                <w:color w:val="auto"/>
              </w:rPr>
            </w:pPr>
          </w:p>
        </w:tc>
      </w:tr>
      <w:tr>
        <w:trPr>
          <w:trHeight w:val="418"/>
        </w:trPr>
        <w:tc>
          <w:tcPr>
            <w:tcW w:w="1680" w:type="dxa"/>
            <w:vAlign w:val="bottom"/>
            <w:gridSpan w:val="3"/>
          </w:tcPr>
          <w:p>
            <w:pPr>
              <w:spacing w:after="0"/>
              <w:rPr>
                <w:sz w:val="20"/>
                <w:szCs w:val="20"/>
                <w:color w:val="auto"/>
              </w:rPr>
            </w:pPr>
            <w:r>
              <w:rPr>
                <w:rFonts w:ascii="Arial" w:cs="Arial" w:eastAsia="Arial" w:hAnsi="Arial"/>
                <w:sz w:val="18"/>
                <w:szCs w:val="18"/>
                <w:color w:val="auto"/>
                <w:w w:val="98"/>
              </w:rPr>
              <w:t>Timothy P. Glenn, 53</w:t>
            </w:r>
          </w:p>
        </w:tc>
        <w:tc>
          <w:tcPr>
            <w:tcW w:w="2660" w:type="dxa"/>
            <w:vAlign w:val="bottom"/>
            <w:gridSpan w:val="3"/>
          </w:tcPr>
          <w:p>
            <w:pPr>
              <w:ind w:left="1280"/>
              <w:spacing w:after="0"/>
              <w:rPr>
                <w:sz w:val="20"/>
                <w:szCs w:val="20"/>
                <w:color w:val="auto"/>
              </w:rPr>
            </w:pPr>
            <w:r>
              <w:rPr>
                <w:rFonts w:ascii="Arial" w:cs="Arial" w:eastAsia="Arial" w:hAnsi="Arial"/>
                <w:sz w:val="18"/>
                <w:szCs w:val="18"/>
                <w:color w:val="auto"/>
              </w:rPr>
              <w:t>Executive Vice</w:t>
            </w:r>
          </w:p>
        </w:tc>
        <w:tc>
          <w:tcPr>
            <w:tcW w:w="1680" w:type="dxa"/>
            <w:vAlign w:val="bottom"/>
            <w:gridSpan w:val="3"/>
          </w:tcPr>
          <w:p>
            <w:pPr>
              <w:ind w:left="280"/>
              <w:spacing w:after="0"/>
              <w:rPr>
                <w:sz w:val="20"/>
                <w:szCs w:val="20"/>
                <w:color w:val="auto"/>
              </w:rPr>
            </w:pPr>
            <w:r>
              <w:rPr>
                <w:rFonts w:ascii="Arial" w:cs="Arial" w:eastAsia="Arial" w:hAnsi="Arial"/>
                <w:sz w:val="18"/>
                <w:szCs w:val="18"/>
                <w:color w:val="auto"/>
              </w:rPr>
              <w:t>Head of</w:t>
            </w: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rPr>
              <w:t>Mr. Glenn served as vice president, global seed 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60" w:type="dxa"/>
            <w:vAlign w:val="bottom"/>
            <w:gridSpan w:val="3"/>
          </w:tcPr>
          <w:p>
            <w:pPr>
              <w:ind w:left="1280"/>
              <w:spacing w:after="0"/>
              <w:rPr>
                <w:sz w:val="20"/>
                <w:szCs w:val="20"/>
                <w:color w:val="auto"/>
              </w:rPr>
            </w:pPr>
            <w:r>
              <w:rPr>
                <w:rFonts w:ascii="Arial" w:cs="Arial" w:eastAsia="Arial" w:hAnsi="Arial"/>
                <w:sz w:val="18"/>
                <w:szCs w:val="18"/>
                <w:color w:val="auto"/>
              </w:rPr>
              <w:t>President,</w:t>
            </w:r>
          </w:p>
        </w:tc>
        <w:tc>
          <w:tcPr>
            <w:tcW w:w="1680" w:type="dxa"/>
            <w:vAlign w:val="bottom"/>
            <w:gridSpan w:val="3"/>
          </w:tcPr>
          <w:p>
            <w:pPr>
              <w:ind w:left="280"/>
              <w:spacing w:after="0"/>
              <w:rPr>
                <w:sz w:val="20"/>
                <w:szCs w:val="20"/>
                <w:color w:val="auto"/>
              </w:rPr>
            </w:pPr>
            <w:r>
              <w:rPr>
                <w:rFonts w:ascii="Arial" w:cs="Arial" w:eastAsia="Arial" w:hAnsi="Arial"/>
                <w:sz w:val="18"/>
                <w:szCs w:val="18"/>
                <w:color w:val="auto"/>
              </w:rPr>
              <w:t>Commercial,</w:t>
            </w: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w w:val="92"/>
              </w:rPr>
              <w:t>platform, after the Merger. Prior to this, he served as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60" w:type="dxa"/>
            <w:vAlign w:val="bottom"/>
            <w:gridSpan w:val="3"/>
          </w:tcPr>
          <w:p>
            <w:pPr>
              <w:ind w:left="1280"/>
              <w:spacing w:after="0"/>
              <w:rPr>
                <w:sz w:val="20"/>
                <w:szCs w:val="20"/>
                <w:color w:val="auto"/>
              </w:rPr>
            </w:pPr>
            <w:r>
              <w:rPr>
                <w:rFonts w:ascii="Arial" w:cs="Arial" w:eastAsia="Arial" w:hAnsi="Arial"/>
                <w:sz w:val="18"/>
                <w:szCs w:val="18"/>
                <w:color w:val="auto"/>
              </w:rPr>
              <w:t>Chief</w:t>
            </w:r>
          </w:p>
        </w:tc>
        <w:tc>
          <w:tcPr>
            <w:tcW w:w="1680" w:type="dxa"/>
            <w:vAlign w:val="bottom"/>
            <w:gridSpan w:val="3"/>
          </w:tcPr>
          <w:p>
            <w:pPr>
              <w:ind w:left="280"/>
              <w:spacing w:after="0"/>
              <w:rPr>
                <w:sz w:val="20"/>
                <w:szCs w:val="20"/>
                <w:color w:val="auto"/>
              </w:rPr>
            </w:pPr>
            <w:r>
              <w:rPr>
                <w:rFonts w:ascii="Arial" w:cs="Arial" w:eastAsia="Arial" w:hAnsi="Arial"/>
                <w:sz w:val="18"/>
                <w:szCs w:val="18"/>
                <w:color w:val="auto"/>
              </w:rPr>
              <w:t>Agriculture</w:t>
            </w: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w w:val="94"/>
              </w:rPr>
              <w:t>DuPont Crop Protection from 2015 until the Merger, and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60" w:type="dxa"/>
            <w:vAlign w:val="bottom"/>
            <w:gridSpan w:val="3"/>
          </w:tcPr>
          <w:p>
            <w:pPr>
              <w:ind w:left="1280"/>
              <w:spacing w:after="0"/>
              <w:rPr>
                <w:sz w:val="20"/>
                <w:szCs w:val="20"/>
                <w:color w:val="auto"/>
              </w:rPr>
            </w:pPr>
            <w:r>
              <w:rPr>
                <w:rFonts w:ascii="Arial" w:cs="Arial" w:eastAsia="Arial" w:hAnsi="Arial"/>
                <w:sz w:val="18"/>
                <w:szCs w:val="18"/>
                <w:color w:val="auto"/>
              </w:rPr>
              <w:t>Commercial</w:t>
            </w:r>
          </w:p>
        </w:tc>
        <w:tc>
          <w:tcPr>
            <w:tcW w:w="1680" w:type="dxa"/>
            <w:vAlign w:val="bottom"/>
            <w:gridSpan w:val="3"/>
          </w:tcPr>
          <w:p>
            <w:pPr>
              <w:ind w:left="280"/>
              <w:spacing w:after="0"/>
              <w:rPr>
                <w:sz w:val="20"/>
                <w:szCs w:val="20"/>
                <w:color w:val="auto"/>
              </w:rPr>
            </w:pPr>
            <w:r>
              <w:rPr>
                <w:rFonts w:ascii="Arial" w:cs="Arial" w:eastAsia="Arial" w:hAnsi="Arial"/>
                <w:sz w:val="18"/>
                <w:szCs w:val="18"/>
                <w:color w:val="auto"/>
              </w:rPr>
              <w:t>Division of</w:t>
            </w: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w w:val="89"/>
              </w:rPr>
              <w:t>2014 to 2015 served as vice president, integrated operations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60" w:type="dxa"/>
            <w:vAlign w:val="bottom"/>
            <w:gridSpan w:val="3"/>
          </w:tcPr>
          <w:p>
            <w:pPr>
              <w:ind w:left="1280"/>
              <w:spacing w:after="0"/>
              <w:rPr>
                <w:sz w:val="20"/>
                <w:szCs w:val="20"/>
                <w:color w:val="auto"/>
              </w:rPr>
            </w:pPr>
            <w:r>
              <w:rPr>
                <w:rFonts w:ascii="Arial" w:cs="Arial" w:eastAsia="Arial" w:hAnsi="Arial"/>
                <w:sz w:val="18"/>
                <w:szCs w:val="18"/>
                <w:color w:val="auto"/>
              </w:rPr>
              <w:t>Officer</w:t>
            </w:r>
          </w:p>
        </w:tc>
        <w:tc>
          <w:tcPr>
            <w:tcW w:w="1680" w:type="dxa"/>
            <w:vAlign w:val="bottom"/>
            <w:gridSpan w:val="3"/>
          </w:tcPr>
          <w:p>
            <w:pPr>
              <w:ind w:left="280"/>
              <w:spacing w:after="0"/>
              <w:rPr>
                <w:sz w:val="20"/>
                <w:szCs w:val="20"/>
                <w:color w:val="auto"/>
              </w:rPr>
            </w:pPr>
            <w:r>
              <w:rPr>
                <w:rFonts w:ascii="Arial" w:cs="Arial" w:eastAsia="Arial" w:hAnsi="Arial"/>
                <w:sz w:val="18"/>
                <w:szCs w:val="18"/>
                <w:color w:val="auto"/>
              </w:rPr>
              <w:t>DowDuPont</w:t>
            </w: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w w:val="96"/>
              </w:rPr>
              <w:t>commercial effectiveness for DuPont Pioneer. He previously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w w:val="96"/>
              </w:rPr>
              <w:t>held other leadership positions at DuPont Pioneer, 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w w:val="97"/>
              </w:rPr>
              <w:t>regional business director, Latin America and Canada, 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w w:val="94"/>
              </w:rPr>
              <w:t>rejoining DuPont Pioneer in 2006 as director, North 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rPr>
              <w:t>marketing. In 1997, he joined Dow AgroSciences as corn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w w:val="90"/>
              </w:rPr>
              <w:t>product manager, Mycogen Seeds, and served in key sales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w w:val="99"/>
              </w:rPr>
              <w:t>business leadership roles in the crop protection and seeds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rPr>
              <w:t>businesses of Dow AgroSciences. He first joined DuPont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w w:val="93"/>
              </w:rPr>
              <w:t>Pioneer in 1991, and held a variety of marketing roles working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20" w:type="dxa"/>
            <w:vAlign w:val="bottom"/>
            <w:gridSpan w:val="3"/>
          </w:tcPr>
          <w:p>
            <w:pPr>
              <w:ind w:left="380"/>
              <w:spacing w:after="0"/>
              <w:rPr>
                <w:sz w:val="20"/>
                <w:szCs w:val="20"/>
                <w:color w:val="auto"/>
              </w:rPr>
            </w:pPr>
            <w:r>
              <w:rPr>
                <w:rFonts w:ascii="Arial" w:cs="Arial" w:eastAsia="Arial" w:hAnsi="Arial"/>
                <w:sz w:val="18"/>
                <w:szCs w:val="18"/>
                <w:color w:val="auto"/>
              </w:rPr>
              <w:t>in seed markets around the world.</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gridSpan w:val="3"/>
          </w:tcPr>
          <w:p>
            <w:pPr>
              <w:ind w:left="1040"/>
              <w:spacing w:after="0"/>
              <w:rPr>
                <w:sz w:val="20"/>
                <w:szCs w:val="20"/>
                <w:color w:val="auto"/>
              </w:rPr>
            </w:pPr>
            <w:r>
              <w:rPr>
                <w:rFonts w:ascii="Arial" w:cs="Arial" w:eastAsia="Arial" w:hAnsi="Arial"/>
                <w:sz w:val="18"/>
                <w:szCs w:val="18"/>
                <w:color w:val="auto"/>
              </w:rPr>
              <w:t>150</w:t>
            </w: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Name and Age</w:t>
            </w:r>
          </w:p>
        </w:tc>
        <w:tc>
          <w:tcPr>
            <w:tcW w:w="1940" w:type="dxa"/>
            <w:vAlign w:val="bottom"/>
            <w:gridSpan w:val="3"/>
          </w:tcPr>
          <w:p>
            <w:pPr>
              <w:jc w:val="center"/>
              <w:ind w:left="191"/>
              <w:spacing w:after="0"/>
              <w:rPr>
                <w:sz w:val="20"/>
                <w:szCs w:val="20"/>
                <w:color w:val="auto"/>
              </w:rPr>
            </w:pPr>
            <w:r>
              <w:rPr>
                <w:rFonts w:ascii="Arial" w:cs="Arial" w:eastAsia="Arial" w:hAnsi="Arial"/>
                <w:sz w:val="14"/>
                <w:szCs w:val="14"/>
                <w:b w:val="1"/>
                <w:bCs w:val="1"/>
                <w:color w:val="auto"/>
                <w:w w:val="90"/>
              </w:rPr>
              <w:t>Expected Position</w:t>
            </w:r>
          </w:p>
        </w:tc>
        <w:tc>
          <w:tcPr>
            <w:tcW w:w="6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w:t>
            </w:r>
          </w:p>
        </w:tc>
        <w:tc>
          <w:tcPr>
            <w:tcW w:w="4800" w:type="dxa"/>
            <w:vAlign w:val="bottom"/>
            <w:gridSpan w:val="3"/>
          </w:tcPr>
          <w:p>
            <w:pPr>
              <w:jc w:val="center"/>
              <w:ind w:left="171"/>
              <w:spacing w:after="0"/>
              <w:rPr>
                <w:sz w:val="20"/>
                <w:szCs w:val="20"/>
                <w:color w:val="auto"/>
              </w:rPr>
            </w:pPr>
            <w:r>
              <w:rPr>
                <w:rFonts w:ascii="Arial" w:cs="Arial" w:eastAsia="Arial" w:hAnsi="Arial"/>
                <w:sz w:val="14"/>
                <w:szCs w:val="14"/>
                <w:b w:val="1"/>
                <w:bCs w:val="1"/>
                <w:color w:val="auto"/>
                <w:w w:val="90"/>
              </w:rPr>
              <w:t>Other Business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with Corteva</w:t>
            </w:r>
          </w:p>
        </w:tc>
        <w:tc>
          <w:tcPr>
            <w:tcW w:w="6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c>
          <w:tcPr>
            <w:tcW w:w="2180" w:type="dxa"/>
            <w:vAlign w:val="bottom"/>
          </w:tcPr>
          <w:p>
            <w:pPr>
              <w:spacing w:after="0"/>
              <w:rPr>
                <w:sz w:val="14"/>
                <w:szCs w:val="14"/>
                <w:color w:val="auto"/>
              </w:rPr>
            </w:pPr>
          </w:p>
        </w:tc>
        <w:tc>
          <w:tcPr>
            <w:tcW w:w="262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93"/>
              </w:rPr>
              <w:t>Experience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Meghan Cassidy, 43</w:t>
            </w:r>
          </w:p>
        </w:tc>
        <w:tc>
          <w:tcPr>
            <w:tcW w:w="1940" w:type="dxa"/>
            <w:vAlign w:val="bottom"/>
            <w:gridSpan w:val="3"/>
            <w:shd w:val="clear" w:color="auto" w:fill="CCEEFF"/>
          </w:tcPr>
          <w:p>
            <w:pPr>
              <w:ind w:left="540"/>
              <w:spacing w:after="0" w:line="201" w:lineRule="exact"/>
              <w:rPr>
                <w:sz w:val="20"/>
                <w:szCs w:val="20"/>
                <w:color w:val="auto"/>
              </w:rPr>
            </w:pPr>
            <w:r>
              <w:rPr>
                <w:rFonts w:ascii="Arial" w:cs="Arial" w:eastAsia="Arial" w:hAnsi="Arial"/>
                <w:sz w:val="18"/>
                <w:szCs w:val="18"/>
                <w:color w:val="auto"/>
              </w:rPr>
              <w:t>Senior Vice</w:t>
            </w:r>
          </w:p>
        </w:tc>
        <w:tc>
          <w:tcPr>
            <w:tcW w:w="188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Head of Human</w:t>
            </w:r>
          </w:p>
        </w:tc>
        <w:tc>
          <w:tcPr>
            <w:tcW w:w="48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Ms. Cassidy joined EID in 2015 as director, global talent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President,</w:t>
            </w:r>
          </w:p>
        </w:tc>
        <w:tc>
          <w:tcPr>
            <w:tcW w:w="18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Resources,</w:t>
            </w:r>
          </w:p>
        </w:tc>
        <w:tc>
          <w:tcPr>
            <w:tcW w:w="4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89"/>
              </w:rPr>
              <w:t>management and leadership development. From 2011 to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Chief</w:t>
            </w:r>
          </w:p>
        </w:tc>
        <w:tc>
          <w:tcPr>
            <w:tcW w:w="18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Agriculture</w:t>
            </w:r>
          </w:p>
        </w:tc>
        <w:tc>
          <w:tcPr>
            <w:tcW w:w="4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she served as chief human resources officer for Sunoco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Human</w:t>
            </w:r>
          </w:p>
        </w:tc>
        <w:tc>
          <w:tcPr>
            <w:tcW w:w="18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Division of</w:t>
            </w:r>
          </w:p>
        </w:tc>
        <w:tc>
          <w:tcPr>
            <w:tcW w:w="4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5"/>
              </w:rPr>
              <w:t>Logistics after joining Sunoco in 2010 as director, corporate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Resources</w:t>
            </w:r>
          </w:p>
        </w:tc>
        <w:tc>
          <w:tcPr>
            <w:tcW w:w="18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DowDuPont</w:t>
            </w:r>
          </w:p>
        </w:tc>
        <w:tc>
          <w:tcPr>
            <w:tcW w:w="4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6"/>
              </w:rPr>
              <w:t>human resources. Ms. Cassidy’s early career was spent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Officer</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7"/>
              </w:rPr>
              <w:t>ARAMARK, where she held progressive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1"/>
              </w:rPr>
              <w:t>roles before serving as vice president, executive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and corporate human resources.</w:t>
            </w:r>
          </w:p>
        </w:tc>
        <w:tc>
          <w:tcPr>
            <w:tcW w:w="0" w:type="dxa"/>
            <w:vAlign w:val="bottom"/>
          </w:tcPr>
          <w:p>
            <w:pPr>
              <w:spacing w:after="0"/>
              <w:rPr>
                <w:sz w:val="1"/>
                <w:szCs w:val="1"/>
                <w:color w:val="auto"/>
              </w:rPr>
            </w:pPr>
          </w:p>
        </w:tc>
      </w:tr>
      <w:tr>
        <w:trPr>
          <w:trHeight w:val="418"/>
        </w:trPr>
        <w:tc>
          <w:tcPr>
            <w:tcW w:w="2420" w:type="dxa"/>
            <w:vAlign w:val="bottom"/>
            <w:gridSpan w:val="4"/>
          </w:tcPr>
          <w:p>
            <w:pPr>
              <w:spacing w:after="0"/>
              <w:rPr>
                <w:sz w:val="20"/>
                <w:szCs w:val="20"/>
                <w:color w:val="auto"/>
              </w:rPr>
            </w:pPr>
            <w:r>
              <w:rPr>
                <w:rFonts w:ascii="Arial" w:cs="Arial" w:eastAsia="Arial" w:hAnsi="Arial"/>
                <w:sz w:val="18"/>
                <w:szCs w:val="18"/>
                <w:color w:val="auto"/>
              </w:rPr>
              <w:t>Neal Gutterson, Ph.D., 63</w:t>
            </w:r>
          </w:p>
        </w:tc>
        <w:tc>
          <w:tcPr>
            <w:tcW w:w="1940" w:type="dxa"/>
            <w:vAlign w:val="bottom"/>
            <w:gridSpan w:val="3"/>
          </w:tcPr>
          <w:p>
            <w:pPr>
              <w:ind w:left="540"/>
              <w:spacing w:after="0"/>
              <w:rPr>
                <w:sz w:val="20"/>
                <w:szCs w:val="20"/>
                <w:color w:val="auto"/>
              </w:rPr>
            </w:pPr>
            <w:r>
              <w:rPr>
                <w:rFonts w:ascii="Arial" w:cs="Arial" w:eastAsia="Arial" w:hAnsi="Arial"/>
                <w:sz w:val="18"/>
                <w:szCs w:val="18"/>
                <w:color w:val="auto"/>
              </w:rPr>
              <w:t>Senior Vice</w:t>
            </w:r>
          </w:p>
        </w:tc>
        <w:tc>
          <w:tcPr>
            <w:tcW w:w="1880" w:type="dxa"/>
            <w:vAlign w:val="bottom"/>
            <w:gridSpan w:val="3"/>
          </w:tcPr>
          <w:p>
            <w:pPr>
              <w:ind w:left="280"/>
              <w:spacing w:after="0"/>
              <w:rPr>
                <w:sz w:val="20"/>
                <w:szCs w:val="20"/>
                <w:color w:val="auto"/>
              </w:rPr>
            </w:pPr>
            <w:r>
              <w:rPr>
                <w:rFonts w:ascii="Arial" w:cs="Arial" w:eastAsia="Arial" w:hAnsi="Arial"/>
                <w:sz w:val="18"/>
                <w:szCs w:val="18"/>
                <w:color w:val="auto"/>
              </w:rPr>
              <w:t>Head of Research</w:t>
            </w:r>
          </w:p>
        </w:tc>
        <w:tc>
          <w:tcPr>
            <w:tcW w:w="4800" w:type="dxa"/>
            <w:vAlign w:val="bottom"/>
            <w:gridSpan w:val="3"/>
          </w:tcPr>
          <w:p>
            <w:pPr>
              <w:ind w:left="280"/>
              <w:spacing w:after="0"/>
              <w:rPr>
                <w:sz w:val="20"/>
                <w:szCs w:val="20"/>
                <w:color w:val="auto"/>
              </w:rPr>
            </w:pPr>
            <w:r>
              <w:rPr>
                <w:rFonts w:ascii="Arial" w:cs="Arial" w:eastAsia="Arial" w:hAnsi="Arial"/>
                <w:sz w:val="18"/>
                <w:szCs w:val="18"/>
                <w:color w:val="auto"/>
              </w:rPr>
              <w:t>Dr. Gutterson was named vice president, research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gridSpan w:val="3"/>
          </w:tcPr>
          <w:p>
            <w:pPr>
              <w:ind w:left="540"/>
              <w:spacing w:after="0"/>
              <w:rPr>
                <w:sz w:val="20"/>
                <w:szCs w:val="20"/>
                <w:color w:val="auto"/>
              </w:rPr>
            </w:pPr>
            <w:r>
              <w:rPr>
                <w:rFonts w:ascii="Arial" w:cs="Arial" w:eastAsia="Arial" w:hAnsi="Arial"/>
                <w:sz w:val="18"/>
                <w:szCs w:val="18"/>
                <w:color w:val="auto"/>
              </w:rPr>
              <w:t>President,</w:t>
            </w:r>
          </w:p>
        </w:tc>
        <w:tc>
          <w:tcPr>
            <w:tcW w:w="1880" w:type="dxa"/>
            <w:vAlign w:val="bottom"/>
            <w:gridSpan w:val="3"/>
          </w:tcPr>
          <w:p>
            <w:pPr>
              <w:ind w:left="280"/>
              <w:spacing w:after="0"/>
              <w:rPr>
                <w:sz w:val="20"/>
                <w:szCs w:val="20"/>
                <w:color w:val="auto"/>
              </w:rPr>
            </w:pPr>
            <w:r>
              <w:rPr>
                <w:rFonts w:ascii="Arial" w:cs="Arial" w:eastAsia="Arial" w:hAnsi="Arial"/>
                <w:sz w:val="18"/>
                <w:szCs w:val="18"/>
                <w:color w:val="auto"/>
              </w:rPr>
              <w:t>and Development,</w:t>
            </w:r>
          </w:p>
        </w:tc>
        <w:tc>
          <w:tcPr>
            <w:tcW w:w="4800" w:type="dxa"/>
            <w:vAlign w:val="bottom"/>
            <w:gridSpan w:val="3"/>
          </w:tcPr>
          <w:p>
            <w:pPr>
              <w:ind w:left="280"/>
              <w:spacing w:after="0"/>
              <w:rPr>
                <w:sz w:val="20"/>
                <w:szCs w:val="20"/>
                <w:color w:val="auto"/>
              </w:rPr>
            </w:pPr>
            <w:r>
              <w:rPr>
                <w:rFonts w:ascii="Arial" w:cs="Arial" w:eastAsia="Arial" w:hAnsi="Arial"/>
                <w:sz w:val="18"/>
                <w:szCs w:val="18"/>
                <w:color w:val="auto"/>
                <w:w w:val="93"/>
              </w:rPr>
              <w:t>development of DuPont Pioneer in 2016 after joining DuPont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gridSpan w:val="3"/>
          </w:tcPr>
          <w:p>
            <w:pPr>
              <w:ind w:left="540"/>
              <w:spacing w:after="0"/>
              <w:rPr>
                <w:sz w:val="20"/>
                <w:szCs w:val="20"/>
                <w:color w:val="auto"/>
              </w:rPr>
            </w:pPr>
            <w:r>
              <w:rPr>
                <w:rFonts w:ascii="Arial" w:cs="Arial" w:eastAsia="Arial" w:hAnsi="Arial"/>
                <w:sz w:val="18"/>
                <w:szCs w:val="18"/>
                <w:color w:val="auto"/>
              </w:rPr>
              <w:t>Chief</w:t>
            </w:r>
          </w:p>
        </w:tc>
        <w:tc>
          <w:tcPr>
            <w:tcW w:w="1880" w:type="dxa"/>
            <w:vAlign w:val="bottom"/>
            <w:gridSpan w:val="3"/>
          </w:tcPr>
          <w:p>
            <w:pPr>
              <w:ind w:left="280"/>
              <w:spacing w:after="0"/>
              <w:rPr>
                <w:sz w:val="20"/>
                <w:szCs w:val="20"/>
                <w:color w:val="auto"/>
              </w:rPr>
            </w:pPr>
            <w:r>
              <w:rPr>
                <w:rFonts w:ascii="Arial" w:cs="Arial" w:eastAsia="Arial" w:hAnsi="Arial"/>
                <w:sz w:val="18"/>
                <w:szCs w:val="18"/>
                <w:color w:val="auto"/>
              </w:rPr>
              <w:t>Agriculture</w:t>
            </w:r>
          </w:p>
        </w:tc>
        <w:tc>
          <w:tcPr>
            <w:tcW w:w="4800" w:type="dxa"/>
            <w:vAlign w:val="bottom"/>
            <w:gridSpan w:val="3"/>
          </w:tcPr>
          <w:p>
            <w:pPr>
              <w:ind w:left="280"/>
              <w:spacing w:after="0"/>
              <w:rPr>
                <w:sz w:val="20"/>
                <w:szCs w:val="20"/>
                <w:color w:val="auto"/>
              </w:rPr>
            </w:pPr>
            <w:r>
              <w:rPr>
                <w:rFonts w:ascii="Arial" w:cs="Arial" w:eastAsia="Arial" w:hAnsi="Arial"/>
                <w:sz w:val="18"/>
                <w:szCs w:val="18"/>
                <w:color w:val="auto"/>
                <w:w w:val="93"/>
              </w:rPr>
              <w:t>Pioneer as vice president, Ag Biotec, in 2014. Previously, 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gridSpan w:val="3"/>
          </w:tcPr>
          <w:p>
            <w:pPr>
              <w:ind w:left="540"/>
              <w:spacing w:after="0"/>
              <w:rPr>
                <w:sz w:val="20"/>
                <w:szCs w:val="20"/>
                <w:color w:val="auto"/>
              </w:rPr>
            </w:pPr>
            <w:r>
              <w:rPr>
                <w:rFonts w:ascii="Arial" w:cs="Arial" w:eastAsia="Arial" w:hAnsi="Arial"/>
                <w:sz w:val="18"/>
                <w:szCs w:val="18"/>
                <w:color w:val="auto"/>
              </w:rPr>
              <w:t>Technology</w:t>
            </w:r>
          </w:p>
        </w:tc>
        <w:tc>
          <w:tcPr>
            <w:tcW w:w="1880" w:type="dxa"/>
            <w:vAlign w:val="bottom"/>
            <w:gridSpan w:val="3"/>
          </w:tcPr>
          <w:p>
            <w:pPr>
              <w:ind w:left="280"/>
              <w:spacing w:after="0"/>
              <w:rPr>
                <w:sz w:val="20"/>
                <w:szCs w:val="20"/>
                <w:color w:val="auto"/>
              </w:rPr>
            </w:pPr>
            <w:r>
              <w:rPr>
                <w:rFonts w:ascii="Arial" w:cs="Arial" w:eastAsia="Arial" w:hAnsi="Arial"/>
                <w:sz w:val="18"/>
                <w:szCs w:val="18"/>
                <w:color w:val="auto"/>
              </w:rPr>
              <w:t>Division of</w:t>
            </w:r>
          </w:p>
        </w:tc>
        <w:tc>
          <w:tcPr>
            <w:tcW w:w="4800" w:type="dxa"/>
            <w:vAlign w:val="bottom"/>
            <w:gridSpan w:val="3"/>
          </w:tcPr>
          <w:p>
            <w:pPr>
              <w:ind w:left="280"/>
              <w:spacing w:after="0"/>
              <w:rPr>
                <w:sz w:val="20"/>
                <w:szCs w:val="20"/>
                <w:color w:val="auto"/>
              </w:rPr>
            </w:pPr>
            <w:r>
              <w:rPr>
                <w:rFonts w:ascii="Arial" w:cs="Arial" w:eastAsia="Arial" w:hAnsi="Arial"/>
                <w:sz w:val="18"/>
                <w:szCs w:val="18"/>
                <w:color w:val="auto"/>
                <w:w w:val="90"/>
              </w:rPr>
              <w:t>served as president, chief executive officer and board member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40" w:type="dxa"/>
            <w:vAlign w:val="bottom"/>
            <w:gridSpan w:val="3"/>
          </w:tcPr>
          <w:p>
            <w:pPr>
              <w:ind w:left="540"/>
              <w:spacing w:after="0"/>
              <w:rPr>
                <w:sz w:val="20"/>
                <w:szCs w:val="20"/>
                <w:color w:val="auto"/>
              </w:rPr>
            </w:pPr>
            <w:r>
              <w:rPr>
                <w:rFonts w:ascii="Arial" w:cs="Arial" w:eastAsia="Arial" w:hAnsi="Arial"/>
                <w:sz w:val="18"/>
                <w:szCs w:val="18"/>
                <w:color w:val="auto"/>
              </w:rPr>
              <w:t>Officer</w:t>
            </w:r>
          </w:p>
        </w:tc>
        <w:tc>
          <w:tcPr>
            <w:tcW w:w="1880" w:type="dxa"/>
            <w:vAlign w:val="bottom"/>
            <w:gridSpan w:val="3"/>
          </w:tcPr>
          <w:p>
            <w:pPr>
              <w:ind w:left="280"/>
              <w:spacing w:after="0"/>
              <w:rPr>
                <w:sz w:val="20"/>
                <w:szCs w:val="20"/>
                <w:color w:val="auto"/>
              </w:rPr>
            </w:pPr>
            <w:r>
              <w:rPr>
                <w:rFonts w:ascii="Arial" w:cs="Arial" w:eastAsia="Arial" w:hAnsi="Arial"/>
                <w:sz w:val="18"/>
                <w:szCs w:val="18"/>
                <w:color w:val="auto"/>
              </w:rPr>
              <w:t>DowDuPont</w:t>
            </w:r>
          </w:p>
        </w:tc>
        <w:tc>
          <w:tcPr>
            <w:tcW w:w="4800" w:type="dxa"/>
            <w:vAlign w:val="bottom"/>
            <w:gridSpan w:val="3"/>
          </w:tcPr>
          <w:p>
            <w:pPr>
              <w:ind w:left="280"/>
              <w:spacing w:after="0"/>
              <w:rPr>
                <w:sz w:val="20"/>
                <w:szCs w:val="20"/>
                <w:color w:val="auto"/>
              </w:rPr>
            </w:pPr>
            <w:r>
              <w:rPr>
                <w:rFonts w:ascii="Arial" w:cs="Arial" w:eastAsia="Arial" w:hAnsi="Arial"/>
                <w:sz w:val="18"/>
                <w:szCs w:val="18"/>
                <w:color w:val="auto"/>
              </w:rPr>
              <w:t>at Mendel Biotechnology from 2007 to 2014.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Following the Distribution</w:t>
      </w:r>
    </w:p>
    <w:p>
      <w:pPr>
        <w:spacing w:after="0" w:line="121"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The following sets forth information with respect to those persons who are expected to serve on our board of directors following the distribution. We may name and present additional nominees for election prior to the distribution. While some of these individuals currently serve as employees or directors of DowDuPont, after the distribution only Edward D. Breen will be an employee and director of New DuPont.</w:t>
      </w:r>
    </w:p>
    <w:p>
      <w:pPr>
        <w:spacing w:after="0" w:line="166"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i w:val="1"/>
          <w:iCs w:val="1"/>
          <w:color w:val="auto"/>
        </w:rPr>
        <w:t xml:space="preserve">Gregory Page, 67, </w:t>
      </w:r>
      <w:r>
        <w:rPr>
          <w:rFonts w:ascii="Arial" w:cs="Arial" w:eastAsia="Arial" w:hAnsi="Arial"/>
          <w:sz w:val="18"/>
          <w:szCs w:val="18"/>
          <w:color w:val="auto"/>
        </w:rPr>
        <w:t>is expected to serve as non-executive chairman of Corteva. Mr. Page served as the executive director of Cargill, Incorporated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2015 to August 2016. He served as executive chairman from December 2013 to September 2015, and as chief executive officer from June 2007 to December 2013. He was elected chairman of the board in September 2007 and was elected to the Cargill board of directors in August 2000. He joined the company in 1974 as a trainee assigned to the Feed Division and over the years held a number of positions in the United States and Singapore, including working with the start-up of a poultry processing operation in Thailand, the beef and pork processing operations of Cargill’s Excel subsidiary in Wichita, Kansas, and the Financial Markets Group in Minneapolis. Mr. Page serves as a member of the board of directors of Eaton Corporation, Deere &amp; Company, 3M, Big Brothers Big Sisters of America, Northern Star Council of the Boy Scouts of America and the American Refugee Committee.</w:t>
      </w:r>
    </w:p>
    <w:p>
      <w:pPr>
        <w:spacing w:after="0" w:line="192"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i w:val="1"/>
          <w:iCs w:val="1"/>
          <w:color w:val="auto"/>
        </w:rPr>
        <w:t xml:space="preserve">Lamberto Andreotti, 68, </w:t>
      </w:r>
      <w:r>
        <w:rPr>
          <w:rFonts w:ascii="Arial" w:cs="Arial" w:eastAsia="Arial" w:hAnsi="Arial"/>
          <w:sz w:val="17"/>
          <w:szCs w:val="17"/>
          <w:color w:val="auto"/>
        </w:rPr>
        <w:t>is the former chairman of the board and chief executive officer of Bristol-Myers Squibb, a global, innovative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He served as chairman at Bristol-Myers Squibb from May 2015 to May 2017 and chief executive officer from May 2010 to May 2015. Mr. Andreotti previously served as its president and chief operating officer responsible for all of Bristol-Myers Squibb’s pharmaceutical operations worldwide. He joined Bristol-Myers Squibb’s board of directors in 2009, and led a broad range of businesses and regions after joining the company in 1998. Mr. Andreotti serves as a member of the board of directors of UniCredit S.p.A. and serves as a senior advisor to Essex Woodlands. He served as a director of EID from 2012 until the effective date of the Merger when he became a director of DowDuPont.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240" w:top="459" w:right="41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i w:val="1"/>
          <w:iCs w:val="1"/>
          <w:color w:val="auto"/>
        </w:rPr>
        <w:t xml:space="preserve">Edward D. Breen, 63, </w:t>
      </w:r>
      <w:r>
        <w:rPr>
          <w:rFonts w:ascii="Arial" w:cs="Arial" w:eastAsia="Arial" w:hAnsi="Arial"/>
          <w:sz w:val="16"/>
          <w:szCs w:val="16"/>
          <w:color w:val="auto"/>
        </w:rPr>
        <w:t>is the chief executive officer of DowDuPont. Mr. Breen is expected to be the executive chairman of New DuPont. Prior to his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role, Mr. Breen was the chairman of the EID board and chief executive officer of EID. He was named interim chairman of the EID board and chief executive officer on October 16, 2015, and assumed those roles permanently on November 9, 2015. He served as chairman, from July 2002 to March 2016, and chief executive officer, from July 2002 to September 2012, of Tyco International, plc, a leading global provider of security products and services, fire detection and suppression products and services and life safety products. Prior to joining Tyco, Mr. Breen held senior management positions at Motorola, including as president and chief operating officer, and General Instrument Corporation, including as chairman, president and chief executive officer. Mr. Breen is a director of Comcast Corporation and a member of the advisory board of New Mountain Capital LLC, a private equity firm. Mr. Breen served as a director of EID from February 2015 until the effective date of the Merger when he became a director of DowDuPont.</w:t>
      </w:r>
    </w:p>
    <w:p>
      <w:pPr>
        <w:spacing w:after="0" w:line="166"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i w:val="1"/>
          <w:iCs w:val="1"/>
          <w:color w:val="auto"/>
        </w:rPr>
        <w:t xml:space="preserve">Robert A. Brown, 67, </w:t>
      </w:r>
      <w:r>
        <w:rPr>
          <w:rFonts w:ascii="Arial" w:cs="Arial" w:eastAsia="Arial" w:hAnsi="Arial"/>
          <w:sz w:val="17"/>
          <w:szCs w:val="17"/>
          <w:color w:val="auto"/>
        </w:rPr>
        <w:t>has served as president of Boston University since September 2005. Dr. Brown previously was provost and professor of 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at the Massachusetts Institute of Technology from July 1998 through July 2005. Dr. Brown is a member of the National Academy of Sciences, the American Academy of Arts and Sciences, the National Academy of Engineering and a former member of the President’s Council of Advisors on Science and Technology. He is a member of the board of directors of the Association of American Universities and is a member of the Council on Competitiveness. Dr. Brown is chairman of the Academic Research Council of the Ministry of Education of the Republic of Singapore and also serves on the Research Innovation and Enterprise Council chaired by the Prime Minister of Singapore. Dr. Brown served as a director of EID from 2007 until the effective date of the Merger when he became a director of DowDuPont.</w:t>
      </w:r>
    </w:p>
    <w:p>
      <w:pPr>
        <w:spacing w:after="0" w:line="178"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i w:val="1"/>
          <w:iCs w:val="1"/>
          <w:color w:val="auto"/>
        </w:rPr>
        <w:t xml:space="preserve">James C. Collins, Jr. 56, </w:t>
      </w:r>
      <w:r>
        <w:rPr>
          <w:rFonts w:ascii="Arial" w:cs="Arial" w:eastAsia="Arial" w:hAnsi="Arial"/>
          <w:sz w:val="16"/>
          <w:szCs w:val="16"/>
          <w:color w:val="auto"/>
        </w:rPr>
        <w:t>is expected to be the chief executive officer of Corteva. In January 2016, he assumed responsibility for the Agriculture Division</w:t>
      </w:r>
      <w:r>
        <w:rPr>
          <w:rFonts w:ascii="Arial" w:cs="Arial" w:eastAsia="Arial" w:hAnsi="Arial"/>
          <w:sz w:val="16"/>
          <w:szCs w:val="16"/>
          <w:i w:val="1"/>
          <w:iCs w:val="1"/>
          <w:color w:val="auto"/>
        </w:rPr>
        <w:t xml:space="preserve"> </w:t>
      </w:r>
      <w:r>
        <w:rPr>
          <w:rFonts w:ascii="Arial" w:cs="Arial" w:eastAsia="Arial" w:hAnsi="Arial"/>
          <w:sz w:val="16"/>
          <w:szCs w:val="16"/>
          <w:color w:val="auto"/>
        </w:rPr>
        <w:t>of DowDuPont. In December 2014, he was named executive vice president of EID and had responsibility for the electronics &amp; communications, industrial biosciences, performance materials segments as well as regional management for Europe, Middle East, Africa and Canada and corporate communications. In September 2013, he assumed additional business and functional responsibilities as senior vice president. In January 2011, he was appointed vice president for acquisition &amp; integration of Danisco, and was named president of DuPont Industrial Biosciences in May of that year. From 2004 to 2010, he was responsible for DuPont Crop Protection as vice president and general manager and then president. In 1993, he joined the agriculture sales &amp; marketing group where he served in a variety of roles across the globe supporting EID’s seed and crop protection businesses. He held positions in engineering, supervision and plant management at a variety of manufacturing sites after joining EID in 1984 as an engineer. He currently serves on the board of directors for CropLife International and the U.S. China Business Council. He also serves on the University of Tennessee Loan Oaks Farm Advisory Council and the board of trustees of the Hagley Museum and Library.</w:t>
      </w:r>
    </w:p>
    <w:p>
      <w:pPr>
        <w:spacing w:after="0" w:line="169" w:lineRule="exact"/>
        <w:rPr>
          <w:sz w:val="20"/>
          <w:szCs w:val="20"/>
          <w:color w:val="auto"/>
        </w:rPr>
      </w:pPr>
    </w:p>
    <w:p>
      <w:pPr>
        <w:ind w:left="200" w:right="160"/>
        <w:spacing w:after="0" w:line="286" w:lineRule="auto"/>
        <w:rPr>
          <w:sz w:val="20"/>
          <w:szCs w:val="20"/>
          <w:color w:val="auto"/>
        </w:rPr>
      </w:pPr>
      <w:r>
        <w:rPr>
          <w:rFonts w:ascii="Arial" w:cs="Arial" w:eastAsia="Arial" w:hAnsi="Arial"/>
          <w:sz w:val="16"/>
          <w:szCs w:val="16"/>
          <w:i w:val="1"/>
          <w:iCs w:val="1"/>
          <w:color w:val="auto"/>
        </w:rPr>
        <w:t>Klaus Engel, Ph.D., 63</w:t>
      </w:r>
      <w:r>
        <w:rPr>
          <w:rFonts w:ascii="Arial" w:cs="Arial" w:eastAsia="Arial" w:hAnsi="Arial"/>
          <w:sz w:val="16"/>
          <w:szCs w:val="16"/>
          <w:color w:val="auto"/>
        </w:rPr>
        <w:t>, is the former chief executive officer of Evonik Industries AG, a specialty chemical manufacturer, from 2009 to 2017, and</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was chief executive officer of Degussa AG, a predecessor to Evonik, from 2006 to 2009. Prior to that, Dr. Engel was chief executive officer of Brenntag AG/ Mülheim, a global chemical distribution company, since 2001. Earlier in his career, he held various senior positions in R&amp;D, production, marketing and strategy planning at Chemische Werke Hüls/Marl, VEBA AG, Düsseldorf and Stinnes AG and Mülheim an der Ruhr.</w:t>
      </w:r>
    </w:p>
    <w:p>
      <w:pPr>
        <w:spacing w:after="0" w:line="2" w:lineRule="exact"/>
        <w:rPr>
          <w:sz w:val="20"/>
          <w:szCs w:val="20"/>
          <w:color w:val="auto"/>
        </w:rPr>
      </w:pPr>
    </w:p>
    <w:p>
      <w:pPr>
        <w:jc w:val="both"/>
        <w:ind w:left="200" w:right="140"/>
        <w:spacing w:after="0" w:line="255" w:lineRule="auto"/>
        <w:rPr>
          <w:sz w:val="20"/>
          <w:szCs w:val="20"/>
          <w:color w:val="auto"/>
        </w:rPr>
      </w:pPr>
      <w:r>
        <w:rPr>
          <w:rFonts w:ascii="Arial" w:cs="Arial" w:eastAsia="Arial" w:hAnsi="Arial"/>
          <w:sz w:val="18"/>
          <w:szCs w:val="18"/>
          <w:color w:val="auto"/>
        </w:rPr>
        <w:t>Dr. Engel has been a member of the supervisory board of National-Bank, Essen since 2011 and joined the advisory board of Ruhr-University, Bochum, Germany in 2018. He is honorary professor at University of Duisburg/Essen and member of the board of trustees of Bonner Akademie für angewandte Politik at University of Bonn.</w:t>
      </w:r>
    </w:p>
    <w:p>
      <w:pPr>
        <w:spacing w:after="0" w:line="19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i w:val="1"/>
          <w:iCs w:val="1"/>
          <w:color w:val="auto"/>
        </w:rPr>
        <w:t xml:space="preserve">Michael O. Johanns, 68, </w:t>
      </w:r>
      <w:r>
        <w:rPr>
          <w:rFonts w:ascii="Arial" w:cs="Arial" w:eastAsia="Arial" w:hAnsi="Arial"/>
          <w:sz w:val="18"/>
          <w:szCs w:val="18"/>
          <w:color w:val="auto"/>
        </w:rPr>
        <w:t>served as a Senator from Nebraska from 2009 until 2015. In the 111th-113th Congresses, his committee assignments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Agriculture, Appropriations, Banking, Commerce, Veterans Affairs, Indian Affairs, and Environment &amp; Public Works. He was United States Secretary of Agriculture from 2005 until 2007 and was twice elected Governor of Nebraska, 1999-2005. In 2002 he chaired the Midwestern Governors Association. Mr. Johanns serves on the board of directors of Deere &amp; Company, OSI Group,</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Burlington Capital/ATAX and is chairman of agriculture for alliantgroup. In February 2016, his Presidential nomination as a new board member of the Millennium Challenge Corporation, a bilateral United States foreign aid agency, was confirmed by the United States Senate.</w:t>
      </w:r>
    </w:p>
    <w:p>
      <w:pPr>
        <w:spacing w:after="0" w:line="147" w:lineRule="exact"/>
        <w:rPr>
          <w:sz w:val="20"/>
          <w:szCs w:val="20"/>
          <w:color w:val="auto"/>
        </w:rPr>
      </w:pPr>
    </w:p>
    <w:p>
      <w:pPr>
        <w:jc w:val="both"/>
        <w:ind w:left="200" w:right="120"/>
        <w:spacing w:after="0" w:line="288" w:lineRule="auto"/>
        <w:rPr>
          <w:sz w:val="20"/>
          <w:szCs w:val="20"/>
          <w:color w:val="auto"/>
        </w:rPr>
      </w:pPr>
      <w:r>
        <w:rPr>
          <w:rFonts w:ascii="Arial" w:cs="Arial" w:eastAsia="Arial" w:hAnsi="Arial"/>
          <w:sz w:val="16"/>
          <w:szCs w:val="16"/>
          <w:i w:val="1"/>
          <w:iCs w:val="1"/>
          <w:color w:val="auto"/>
        </w:rPr>
        <w:t xml:space="preserve">Lois D. Juliber, 70, </w:t>
      </w:r>
      <w:r>
        <w:rPr>
          <w:rFonts w:ascii="Arial" w:cs="Arial" w:eastAsia="Arial" w:hAnsi="Arial"/>
          <w:sz w:val="16"/>
          <w:szCs w:val="16"/>
          <w:color w:val="auto"/>
        </w:rPr>
        <w:t>served as vice chairman, from October 2004 to March 2005, of Colgate-Palmolive Company, the principal business of which is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and marketing of consumer products. Ms. Juliber was chief operating officer of Colgate-Palmolive from 2000 to 2004. She formerly served as executive vice president-developed markets, president, Colgate-Palmolive North America and chief technology officer of Colgate-Palmolive. Ms.</w:t>
      </w:r>
    </w:p>
    <w:p>
      <w:pPr>
        <w:ind w:left="200" w:right="160"/>
        <w:spacing w:after="0" w:line="254" w:lineRule="auto"/>
        <w:rPr>
          <w:sz w:val="20"/>
          <w:szCs w:val="20"/>
          <w:color w:val="auto"/>
        </w:rPr>
      </w:pPr>
      <w:r>
        <w:rPr>
          <w:rFonts w:ascii="Arial" w:cs="Arial" w:eastAsia="Arial" w:hAnsi="Arial"/>
          <w:sz w:val="18"/>
          <w:szCs w:val="18"/>
          <w:color w:val="auto"/>
        </w:rPr>
        <w:t>Juliber has been director of Mondelez International, formerly Kraft Foods Inc., since 2007. She was previously chairperson of the MasterCard Foundation from 2006 to 2015 and also serves as a Trustee Emeritae of Wellesley College, a member of the President’s Council at Olin College and a member of the President’s Council at Wellesley College. Ms. Juliber served as a director of EID from 1995 until the effective date of the Merger when she became a director of DowDuPont.</w:t>
      </w:r>
    </w:p>
    <w:p>
      <w:pPr>
        <w:spacing w:after="0" w:line="190" w:lineRule="exact"/>
        <w:rPr>
          <w:sz w:val="20"/>
          <w:szCs w:val="20"/>
          <w:color w:val="auto"/>
        </w:rPr>
      </w:pPr>
    </w:p>
    <w:p>
      <w:pPr>
        <w:ind w:left="200" w:right="280"/>
        <w:spacing w:after="0" w:line="276" w:lineRule="auto"/>
        <w:rPr>
          <w:sz w:val="20"/>
          <w:szCs w:val="20"/>
          <w:color w:val="auto"/>
        </w:rPr>
      </w:pPr>
      <w:r>
        <w:rPr>
          <w:rFonts w:ascii="Arial" w:cs="Arial" w:eastAsia="Arial" w:hAnsi="Arial"/>
          <w:sz w:val="17"/>
          <w:szCs w:val="17"/>
          <w:i w:val="1"/>
          <w:iCs w:val="1"/>
          <w:color w:val="auto"/>
        </w:rPr>
        <w:t>Rebecca B. Liebert, 51</w:t>
      </w:r>
      <w:r>
        <w:rPr>
          <w:rFonts w:ascii="Arial" w:cs="Arial" w:eastAsia="Arial" w:hAnsi="Arial"/>
          <w:sz w:val="17"/>
          <w:szCs w:val="17"/>
          <w:color w:val="auto"/>
        </w:rPr>
        <w:t>, is senior vice president, automotive coatings at PPG Industries, a publicly traded global manufacturer of paints, coatings and</w:t>
      </w:r>
      <w:r>
        <w:rPr>
          <w:rFonts w:ascii="Arial" w:cs="Arial" w:eastAsia="Arial" w:hAnsi="Arial"/>
          <w:sz w:val="17"/>
          <w:szCs w:val="17"/>
          <w:i w:val="1"/>
          <w:iCs w:val="1"/>
          <w:color w:val="auto"/>
        </w:rPr>
        <w:t xml:space="preserve"> </w:t>
      </w:r>
      <w:r>
        <w:rPr>
          <w:rFonts w:ascii="Arial" w:cs="Arial" w:eastAsia="Arial" w:hAnsi="Arial"/>
          <w:sz w:val="17"/>
          <w:szCs w:val="17"/>
          <w:color w:val="auto"/>
        </w:rPr>
        <w:t>specialty materials. She joined PPG in 2018, following a decade at Honeywell in senior roles including most recently serving as president and chief executive officer of Honeywell UOP, which develops technology for the petroleum refining, gas processing, petrochemical production, and major manufacturing industries. She started her career at Honeywell in the Electronic Materials business and moved to UOP in 2012. Earlier, she spent two years at Alcoa as president of Reynolds Food Packaging and started her career at Nova Chemicals.</w:t>
      </w:r>
    </w:p>
    <w:p>
      <w:pPr>
        <w:spacing w:after="0" w:line="173"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i w:val="1"/>
          <w:iCs w:val="1"/>
          <w:color w:val="auto"/>
        </w:rPr>
        <w:t xml:space="preserve">Lee M. Thomas, 74, </w:t>
      </w:r>
      <w:r>
        <w:rPr>
          <w:rFonts w:ascii="Arial" w:cs="Arial" w:eastAsia="Arial" w:hAnsi="Arial"/>
          <w:sz w:val="17"/>
          <w:szCs w:val="17"/>
          <w:color w:val="auto"/>
        </w:rPr>
        <w:t>served Rayonier Inc., a global forest products company, as chairman from July 2007 to May 2012, and chief executive officer from</w:t>
      </w:r>
      <w:r>
        <w:rPr>
          <w:rFonts w:ascii="Arial" w:cs="Arial" w:eastAsia="Arial" w:hAnsi="Arial"/>
          <w:sz w:val="17"/>
          <w:szCs w:val="17"/>
          <w:i w:val="1"/>
          <w:iCs w:val="1"/>
          <w:color w:val="auto"/>
        </w:rPr>
        <w:t xml:space="preserve"> </w:t>
      </w:r>
      <w:r>
        <w:rPr>
          <w:rFonts w:ascii="Arial" w:cs="Arial" w:eastAsia="Arial" w:hAnsi="Arial"/>
          <w:sz w:val="17"/>
          <w:szCs w:val="17"/>
          <w:color w:val="auto"/>
        </w:rPr>
        <w:t>May 2007 to December 2011. He was also president of Rayonier from March 2007 through August 2010. Previously, Mr. Thomas was president and chief operating officer of Georgia-Pacific Corp. Prior to joining Georgia-Pacific, he was chairman/chief executive officer of Law Companies Environmental Group Inc. and administrator of the U.S. Environmental Protection Agency. Mr. Thomas previously served on the board of the Regal Entertainment Group from 2006 to 2018 and the board of Airgas Inc. from 1998 to 2016. Mr. Thomas served as a director of EID from 2011 until the effective date of the Merger when he became a director of DowDuPont.</w:t>
      </w:r>
    </w:p>
    <w:p>
      <w:pPr>
        <w:spacing w:after="0" w:line="178"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i w:val="1"/>
          <w:iCs w:val="1"/>
          <w:color w:val="auto"/>
        </w:rPr>
        <w:t xml:space="preserve">Patrick J. Ward, 55, </w:t>
      </w:r>
      <w:r>
        <w:rPr>
          <w:rFonts w:ascii="Arial" w:cs="Arial" w:eastAsia="Arial" w:hAnsi="Arial"/>
          <w:sz w:val="17"/>
          <w:szCs w:val="17"/>
          <w:color w:val="auto"/>
        </w:rPr>
        <w:t>served as chief financial officer of Cummins Inc., a global power leader that designs, manufactures, distributes and services engines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technologies, from May 2008 until March 2019. He held a broad range of financial leadership positions after joining Cummins in 1987, including serving as vice president, engine business controller, and executive director, power generation business controller. Mr. Ward previously served as a director of EID from 2013 until the effective date of the Merger when he became a director of DowDuPont.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It is anticipated that all of our board of directors, except Mr. Breen, who is the chief executive officer of DowDuPont, and Mr. Collins, who will be the chief executive officer of Corteva, will meet the criteria for independence as defined by rules of the NYSE and the Corporate Governance Guidelines to be adopted by the board of directors (see discussion below under “—Corporate Governance Guidelines”). The Corporate Governance Guidelines, including our independence standards, will be posted to our website prior to the completion of the distribution.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Effective upon the completion of the distribution, our board of directors will have the following standing committees: an Audit Committee, a People and Compensation Committee, a Nomination and Governance Committee and a Sustainability, Safety and Innovation Committee. Our board of directors will adopt a written charter for each of these committees, which will be posted on our website.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responsibilities of the Audit Committee will be more fully described in our Audit Committee Charter and will include, among other duties:</w:t>
      </w:r>
    </w:p>
    <w:p>
      <w:pPr>
        <w:spacing w:after="0" w:line="142" w:lineRule="exact"/>
        <w:rPr>
          <w:sz w:val="20"/>
          <w:szCs w:val="20"/>
          <w:color w:val="auto"/>
        </w:rPr>
      </w:pPr>
    </w:p>
    <w:p>
      <w:pPr>
        <w:ind w:left="1060" w:right="160" w:hanging="316"/>
        <w:spacing w:after="0" w:line="277"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the work of any independent auditors engaged for the purpose of preparing or issuing an audit report or performing other audit, review or attest services for us.</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Reviewing and pre-approving our independent auditors’ annual engagement letter, including the proposed fees contained therein, as well as all audit and permitted non-audit engagements and relationships with us.</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their annual audit plan, including the timing and scope of audit activities, and monitoring such plan’s progress and results during the year.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Reviewing the performance and evaluating the independence of the independent auditors.</w:t>
      </w:r>
    </w:p>
    <w:p>
      <w:pPr>
        <w:spacing w:after="0" w:line="130" w:lineRule="exact"/>
        <w:rPr>
          <w:rFonts w:ascii="Arial" w:cs="Arial" w:eastAsia="Arial" w:hAnsi="Arial"/>
          <w:sz w:val="18"/>
          <w:szCs w:val="18"/>
          <w:color w:val="auto"/>
        </w:rPr>
      </w:pPr>
    </w:p>
    <w:p>
      <w:pPr>
        <w:ind w:left="1060" w:right="100" w:hanging="316"/>
        <w:spacing w:after="0" w:line="302" w:lineRule="auto"/>
        <w:tabs>
          <w:tab w:leader="none" w:pos="10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Reviewing (i) the adequacy and effectiveness of our accounting and internal control policies and procedures on a regular basis through inquiry and periodic meetings with our independent auditors and management and (ii) the yearly report prepared by management assessing the effectiveness of our internal control over financial reporting and stating management’s responsibility for establishing and maintaining adequate internal control over financial reporting prior to its inclusion in our Annual Report on Form 10-K.</w:t>
      </w:r>
    </w:p>
    <w:p>
      <w:pPr>
        <w:spacing w:after="0" w:line="59" w:lineRule="exact"/>
        <w:rPr>
          <w:rFonts w:ascii="Arial" w:cs="Arial" w:eastAsia="Arial" w:hAnsi="Arial"/>
          <w:sz w:val="16"/>
          <w:szCs w:val="16"/>
          <w:color w:val="auto"/>
        </w:rPr>
      </w:pPr>
    </w:p>
    <w:p>
      <w:pPr>
        <w:ind w:left="1060" w:right="200" w:hanging="316"/>
        <w:spacing w:after="0" w:line="264"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Establishing procedures for (i) the receipt, retention and treatment of complaints received by us regarding accounting, internal accounting controls or auditing matters and (ii) the confidential, anonymous submission by our employees of concerns regarding questionable accounting or auditing matters.</w:t>
      </w:r>
    </w:p>
    <w:p>
      <w:pPr>
        <w:spacing w:after="0" w:line="86"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Reviewing with management, the independent auditor and, if applicable, the Chief Audit Executive our annual audited financial statements and quarterly financial statements, including our specific disclosures under “Management’s Discussion, and Analysis of Financial Condition and Results of Operations,” and any major issues related thereto.</w:t>
      </w:r>
    </w:p>
    <w:p>
      <w:pPr>
        <w:spacing w:after="0" w:line="181"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The Audit Committee will consist entirely of independent directors, and we intend that each member of the Audit Committee will meet the independence requirements set forth in the rules of the NYSE and Rule 10A-3 of the Exchange Act. We also intend that (x) each member of the Audit Committee will be financially literate and (y) at least one member of the Audit Committee will be an “audit committee financial expert” under SEC rules and the rules of the NYSE applicable to audit committees. The initial members of the Audit Committee are expected to be Mr. Ward (Chair), Mr. Johanns, Mr. Page and Mr. Engel.</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People and Compensation Committee</w:t>
      </w:r>
    </w:p>
    <w:p>
      <w:pPr>
        <w:spacing w:after="0" w:line="117"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responsibilities of the People and Compensation Committee will be more fully described in our People and Compensation Committee Charter and will include, among other duties:</w:t>
      </w:r>
    </w:p>
    <w:p>
      <w:pPr>
        <w:spacing w:after="0" w:line="76" w:lineRule="exact"/>
        <w:rPr>
          <w:sz w:val="20"/>
          <w:szCs w:val="20"/>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Overseeing the succession planning process for the Chief Executive Officer.</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Reviewing current and future senior leadership talent, including their development and the succession plans for key management positions other than the Chief Executive Officer.</w:t>
      </w:r>
    </w:p>
    <w:p>
      <w:pPr>
        <w:spacing w:after="0" w:line="75" w:lineRule="exact"/>
        <w:rPr>
          <w:rFonts w:ascii="Arial" w:cs="Arial" w:eastAsia="Arial" w:hAnsi="Arial"/>
          <w:sz w:val="18"/>
          <w:szCs w:val="18"/>
          <w:color w:val="auto"/>
        </w:rPr>
      </w:pPr>
    </w:p>
    <w:p>
      <w:pPr>
        <w:ind w:left="1060" w:right="180" w:hanging="316"/>
        <w:spacing w:after="0" w:line="259" w:lineRule="auto"/>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Reviewing and approving annually the goals and objectives applicable to the compensation of the Chief Executive Officer, evaluating annually the performance of the Chief Executive Officer in light of those goals and objectives, and, after making a recommendation to the other independent directors, together with the other independent directors, determining and approving the Chief Executive Officer’s compensation level based on this evaluation.</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80"/>
          </w:cols>
          <w:pgMar w:left="240" w:top="460"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316"/>
        <w:spacing w:after="0" w:line="264" w:lineRule="auto"/>
        <w:tabs>
          <w:tab w:leader="none" w:pos="1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Reviewing compensation arrangements for our employees to evaluate whether incentive and other forms of pay encourage unnecessary or excessive risk taking, and reviewing and discussing, at least annually, the relationship between risk management policies and practices, corporate strategy and our compensation arrangements.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and preparing the Compensation Committee Report for inclusion in our annual proxy statement or annual report on Form 10-K.</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Considering the results of the most recent shareholder advisory vote on executive compensation and, if appropriate, taking such results into consideration in connection with the review and approval of executive officer compensation.</w:t>
      </w:r>
    </w:p>
    <w:p>
      <w:pPr>
        <w:spacing w:after="0" w:line="170"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The People and Compensation Committee will consist entirely of independent directors, and we intend that each member of the People and Compensation Committee will meet the independence requirements set forth in the rules of the NYSE and Rule 10C-1 of the Exchange Act. We also intend the members of the People and Compensation Committee to be “non-employee directors” (within the meaning of Rule 16b-3 of the Exchange Act) and “outside directors” (within the meaning of Section 162(m) of the Code). The initial members of the People and Compensation Committee are expected to be Mr. Andreotti (Chair), Ms. Juliber, Mr. Thomas and Ms. Liebert.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Nomination and Governance Committee</w:t>
      </w:r>
    </w:p>
    <w:p>
      <w:pPr>
        <w:spacing w:after="0" w:line="11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responsibilities of the Nomination and Governance Committee will be more fully described in our Nomination and Governance Committee Charter and will include, among other duties:</w:t>
      </w:r>
    </w:p>
    <w:p>
      <w:pPr>
        <w:spacing w:after="0" w:line="76" w:lineRule="exact"/>
        <w:rPr>
          <w:sz w:val="20"/>
          <w:szCs w:val="20"/>
          <w:color w:val="auto"/>
        </w:rPr>
      </w:pPr>
    </w:p>
    <w:p>
      <w:pPr>
        <w:ind w:left="1060" w:hanging="316"/>
        <w:spacing w:after="0"/>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Assisting in identifying, recruiting and, if appropriate, interviewing candidates to fill positions on our board of directors.</w:t>
      </w:r>
    </w:p>
    <w:p>
      <w:pPr>
        <w:spacing w:after="0" w:line="130" w:lineRule="exact"/>
        <w:rPr>
          <w:rFonts w:ascii="Arial" w:cs="Arial" w:eastAsia="Arial" w:hAnsi="Arial"/>
          <w:sz w:val="18"/>
          <w:szCs w:val="18"/>
          <w:color w:val="auto"/>
        </w:rPr>
      </w:pPr>
    </w:p>
    <w:p>
      <w:pPr>
        <w:ind w:left="1060" w:right="180" w:hanging="316"/>
        <w:spacing w:after="0" w:line="342" w:lineRule="auto"/>
        <w:tabs>
          <w:tab w:leader="none" w:pos="10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Recommending to our board of directors the director nominees for election by the stockholders or appointment by our board of directors, which recommendations shall be consistent with the criteria for selecting directors established by our board of directors from time to time.</w:t>
      </w:r>
    </w:p>
    <w:p>
      <w:pPr>
        <w:spacing w:after="0" w:line="29" w:lineRule="exact"/>
        <w:rPr>
          <w:rFonts w:ascii="Arial" w:cs="Arial" w:eastAsia="Arial" w:hAnsi="Arial"/>
          <w:sz w:val="16"/>
          <w:szCs w:val="16"/>
          <w:color w:val="auto"/>
        </w:rPr>
      </w:pPr>
    </w:p>
    <w:p>
      <w:pPr>
        <w:ind w:left="1060" w:right="140" w:hanging="316"/>
        <w:spacing w:after="0" w:line="312" w:lineRule="auto"/>
        <w:tabs>
          <w:tab w:leader="none" w:pos="10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Reviewing annually with our board of directors the composition of our board of directors as a whole and recommending, if necessary, measures to be taken so that our board of directors reflects the appropriate balance of knowledge, experience, skills, expertise and diversity required for our board of directors as a whole and contains at least the minimum number of independent directors required by the NYSE.</w:t>
      </w:r>
    </w:p>
    <w:p>
      <w:pPr>
        <w:spacing w:after="0" w:line="52" w:lineRule="exact"/>
        <w:rPr>
          <w:rFonts w:ascii="Arial" w:cs="Arial" w:eastAsia="Arial" w:hAnsi="Arial"/>
          <w:sz w:val="16"/>
          <w:szCs w:val="16"/>
          <w:color w:val="auto"/>
        </w:rPr>
      </w:pPr>
    </w:p>
    <w:p>
      <w:pPr>
        <w:ind w:left="1060" w:right="280" w:hanging="316"/>
        <w:spacing w:after="0" w:line="277" w:lineRule="auto"/>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Reviewing annually, and making a recommendation to our board of directors for final determination, regarding the independence of each director in accordance with the standards of independence of the NYSE.</w:t>
      </w:r>
    </w:p>
    <w:p>
      <w:pPr>
        <w:spacing w:after="0" w:line="75"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the size and composition of each standing committee of our board of directors, including the identification of individuals qualified to serve as members of a committee, and recommending individual directors to fill any vacancy that might occur on a committee.</w:t>
      </w:r>
    </w:p>
    <w:p>
      <w:pPr>
        <w:spacing w:after="0" w:line="86"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principles for the company, which shall be consistent with any applicable laws, regulations and listing standards.</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as a whole and evaluating and reporting to our board of directors on the performance and effectiveness of our board of directors.</w:t>
      </w:r>
    </w:p>
    <w:p>
      <w:pPr>
        <w:spacing w:after="0" w:line="75" w:lineRule="exact"/>
        <w:rPr>
          <w:rFonts w:ascii="Arial" w:cs="Arial" w:eastAsia="Arial" w:hAnsi="Arial"/>
          <w:sz w:val="18"/>
          <w:szCs w:val="18"/>
          <w:color w:val="auto"/>
        </w:rPr>
      </w:pPr>
    </w:p>
    <w:p>
      <w:pPr>
        <w:ind w:left="1060" w:right="20" w:hanging="316"/>
        <w:spacing w:after="0" w:line="259" w:lineRule="auto"/>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Overseeing our ethics and compliance programs and establishing, implementing and reviewing our ethics and compliance-related policies and procedures, including those relating to (a) the ethical handling of conflicts of interest, (b) the Nomination and Governance Committee’s review and approval or disapproval of proposed “related party transactions” and (c) officers’ expense accounts and perquisites, including the use of corporate assets.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86" w:lineRule="auto"/>
        <w:rPr>
          <w:sz w:val="20"/>
          <w:szCs w:val="20"/>
          <w:color w:val="auto"/>
        </w:rPr>
      </w:pPr>
      <w:r>
        <w:rPr>
          <w:rFonts w:ascii="Arial" w:cs="Arial" w:eastAsia="Arial" w:hAnsi="Arial"/>
          <w:sz w:val="17"/>
          <w:szCs w:val="17"/>
          <w:color w:val="auto"/>
        </w:rPr>
        <w:t>The Nomination and Governance Committee will consist entirely of independent directors, and we intend that each member of the Nomination and Governance Committee will meet the independence requirements set forth in the rules of the NYSE. The initial members of the Nomination and Governance Committee are expected to be Mr. Page (Chair), Mr. Brown, Mr. Johanns, Mr. Ward and Mr. Engel.</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Sustainability, Safety and Innovation Committee</w:t>
      </w:r>
    </w:p>
    <w:p>
      <w:pPr>
        <w:spacing w:after="0" w:line="11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responsibilities of the Sustainability, Safety and Innovation Committee will be more fully described in our Sustainability, Safety and Innovation Committee Charter and will include, among other duties:</w:t>
      </w:r>
    </w:p>
    <w:p>
      <w:pPr>
        <w:spacing w:after="0" w:line="76" w:lineRule="exact"/>
        <w:rPr>
          <w:sz w:val="20"/>
          <w:szCs w:val="20"/>
          <w:color w:val="auto"/>
        </w:rPr>
      </w:pPr>
    </w:p>
    <w:p>
      <w:pPr>
        <w:ind w:left="1060" w:right="260" w:hanging="316"/>
        <w:spacing w:after="0" w:line="286" w:lineRule="auto"/>
        <w:tabs>
          <w:tab w:leader="none" w:pos="10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Overseeing and advising our board of directors on our corporate citizenship and corporate social responsibility programs and activities, including our sustainability commitments and programs, public policy management, advocacy priorities, philanthropic contributions, and corporate reputation management to advance our business strategy and the creation of stakeholder value.</w:t>
      </w:r>
    </w:p>
    <w:p>
      <w:pPr>
        <w:spacing w:after="0" w:line="70" w:lineRule="exact"/>
        <w:rPr>
          <w:rFonts w:ascii="Arial" w:cs="Arial" w:eastAsia="Arial" w:hAnsi="Arial"/>
          <w:sz w:val="17"/>
          <w:szCs w:val="17"/>
          <w:color w:val="auto"/>
        </w:rPr>
      </w:pPr>
    </w:p>
    <w:p>
      <w:pPr>
        <w:ind w:left="1060" w:hanging="316"/>
        <w:spacing w:after="0" w:line="264" w:lineRule="auto"/>
        <w:tabs>
          <w:tab w:leader="none" w:pos="10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Assessing current aspects of our sustainability commitments, policies and performance and making recommendations for promoting and maintaining superior standards of performance, including processes to ensure compliance with applicable laws and regulations and programs to manage risk.</w:t>
      </w:r>
    </w:p>
    <w:p>
      <w:pPr>
        <w:spacing w:after="0" w:line="86" w:lineRule="exact"/>
        <w:rPr>
          <w:rFonts w:ascii="Arial" w:cs="Arial" w:eastAsia="Arial" w:hAnsi="Arial"/>
          <w:sz w:val="18"/>
          <w:szCs w:val="18"/>
          <w:color w:val="auto"/>
        </w:rPr>
      </w:pPr>
    </w:p>
    <w:p>
      <w:pPr>
        <w:ind w:left="1060" w:right="760" w:hanging="316"/>
        <w:spacing w:after="0" w:line="342" w:lineRule="auto"/>
        <w:tabs>
          <w:tab w:leader="none" w:pos="10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Reviewing our public policy positions, strategy regarding political engagement and political contributions (at the state, federal and international level), and corporate social responsibility initiatives with significant potential financial and reputational impact.</w:t>
      </w:r>
    </w:p>
    <w:p>
      <w:pPr>
        <w:spacing w:after="0" w:line="29" w:lineRule="exact"/>
        <w:rPr>
          <w:rFonts w:ascii="Arial" w:cs="Arial" w:eastAsia="Arial" w:hAnsi="Arial"/>
          <w:sz w:val="16"/>
          <w:szCs w:val="16"/>
          <w:color w:val="auto"/>
        </w:rPr>
      </w:pPr>
    </w:p>
    <w:p>
      <w:pPr>
        <w:ind w:left="1060" w:right="80" w:hanging="316"/>
        <w:spacing w:after="0" w:line="264" w:lineRule="auto"/>
        <w:tabs>
          <w:tab w:leader="none" w:pos="10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Reviewing and providing input to our management regarding the management of current and emerging environment, health, safety, security and product quality stewardship issues and reporting periodically to our board of directors on environment, health, safety, security and product quality stewardship matters affecting us.</w:t>
      </w:r>
    </w:p>
    <w:p>
      <w:pPr>
        <w:spacing w:after="0" w:line="86" w:lineRule="exact"/>
        <w:rPr>
          <w:rFonts w:ascii="Arial" w:cs="Arial" w:eastAsia="Arial" w:hAnsi="Arial"/>
          <w:sz w:val="18"/>
          <w:szCs w:val="18"/>
          <w:color w:val="auto"/>
        </w:rPr>
      </w:pPr>
    </w:p>
    <w:p>
      <w:pPr>
        <w:ind w:left="1060" w:right="200" w:hanging="316"/>
        <w:spacing w:after="0" w:line="342" w:lineRule="auto"/>
        <w:tabs>
          <w:tab w:leader="none" w:pos="10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Overseeing and assessing all aspects of our science and technology capabilities in all phases of its activities in relation to its strategies and plans, including the development of key technologies and major science-driven innovation initiatives essential to our long-term success.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Making recommendations to our board of directors and management to continually enhance our science and technology capabilities.</w:t>
      </w:r>
    </w:p>
    <w:p>
      <w:pPr>
        <w:spacing w:after="0" w:line="237"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color w:val="auto"/>
        </w:rPr>
        <w:t>The initial members of the Sustainability, Safety and Innovation Committee are expected to be Mr. Brown (Chair), Mr. Andreotti, Ms. Juliber, Mr. Thomas and Ms. Liebert.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Recommendations for Director Nominees</w:t>
      </w:r>
    </w:p>
    <w:p>
      <w:pPr>
        <w:spacing w:after="0" w:line="121"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The Nomination and Governance Committee will adopt a process for identifying new director candidates. The Nomination and Governance Committee will consider potential candidates suggested by board members, as well as management, stockholders and others. The Corporate Governance Committee will accept stockholders’ suggestions of candidates to consider as potential board members as part of the Nomination and Governance Committee’s periodic review of the size and composition of our board of directors and its committees. The Nomination and Governance Committee will use the same process to evaluate director nominees recommended by stockholders as it does to evaluate nominees identified by other sources.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Qualification Standards</w:t>
      </w:r>
    </w:p>
    <w:p>
      <w:pPr>
        <w:spacing w:after="0" w:line="121"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The Nomination and Governance Committee will evaluate candidates for board membership in accordance with the qualifications set forth in the Nomination and Governance Committee Charter and the Corporate Governance Guidelines in order to ensure a diverse and highly qualified board of directors. Those qualifications include integrity and character, sound and independent judgment, breadth of experience, insight and knowledge, business acumen, leadership skills, scientific or technology expertise, familiarity with issues affecting global businesses,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prior government service, diversity, time availability in light of other commitments, dedication, conflicts of interest and such other relevant factors that the Nomination and Governance Committee considers appropriate in the context of the needs of the board of directors.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Nomination and Governance Committee will recommend, and our board of directors will adopt, Corporate Governance Guidelines designed to assist Corteva and our board of directors in implementing effective corporate governance practices. The Corporate Governance Guidelines will be reviewed regularly by the Nomination and Governance Committee in light of changing circumstances in order to continue serving our best interests and the best interests of our stockholders.</w:t>
      </w:r>
    </w:p>
    <w:p>
      <w:pPr>
        <w:spacing w:after="0" w:line="291" w:lineRule="exact"/>
        <w:rPr>
          <w:sz w:val="20"/>
          <w:szCs w:val="20"/>
          <w:color w:val="auto"/>
        </w:rPr>
      </w:pPr>
    </w:p>
    <w:p>
      <w:pPr>
        <w:ind w:left="200" w:right="620"/>
        <w:spacing w:after="0" w:line="282" w:lineRule="auto"/>
        <w:rPr>
          <w:sz w:val="20"/>
          <w:szCs w:val="20"/>
          <w:color w:val="auto"/>
        </w:rPr>
      </w:pPr>
      <w:r>
        <w:rPr>
          <w:rFonts w:ascii="Arial" w:cs="Arial" w:eastAsia="Arial" w:hAnsi="Arial"/>
          <w:sz w:val="18"/>
          <w:szCs w:val="18"/>
          <w:b w:val="1"/>
          <w:bCs w:val="1"/>
          <w:color w:val="auto"/>
        </w:rPr>
        <w:t>Communications with the Board of Directors and Procedures for Treatment of Complaints Regarding Accounting, Internal Accounting Controls and Auditing Matters</w:t>
      </w:r>
    </w:p>
    <w:p>
      <w:pPr>
        <w:spacing w:after="0" w:line="58"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Stockholders and other parties interested in communicating directly with our board of directors may do so by writing in care of the corporate secretary. Our Corporate Governance Guidelines set forth procedures approved by our board of directors for handling correspondence received by Corteva and addressed to the board of directors.</w:t>
      </w:r>
    </w:p>
    <w:p>
      <w:pPr>
        <w:spacing w:after="0" w:line="181" w:lineRule="exact"/>
        <w:rPr>
          <w:sz w:val="20"/>
          <w:szCs w:val="20"/>
          <w:color w:val="auto"/>
        </w:rPr>
      </w:pPr>
    </w:p>
    <w:p>
      <w:pPr>
        <w:ind w:left="200" w:right="740"/>
        <w:spacing w:after="0" w:line="342" w:lineRule="auto"/>
        <w:rPr>
          <w:sz w:val="20"/>
          <w:szCs w:val="20"/>
          <w:color w:val="auto"/>
        </w:rPr>
      </w:pPr>
      <w:r>
        <w:rPr>
          <w:rFonts w:ascii="Arial" w:cs="Arial" w:eastAsia="Arial" w:hAnsi="Arial"/>
          <w:sz w:val="16"/>
          <w:szCs w:val="16"/>
          <w:color w:val="auto"/>
        </w:rPr>
        <w:t>Complaints regarding accounting, internal controls or auditing matters will be handled in accordance with procedures established by the Audit Committee with respect to such matters, which may include an anonymous toll-free hotline and a website through which to report issues.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Codes of Conduct and Financial Ethics</w:t>
      </w:r>
    </w:p>
    <w:p>
      <w:pPr>
        <w:spacing w:after="0" w:line="121" w:lineRule="exact"/>
        <w:rPr>
          <w:sz w:val="20"/>
          <w:szCs w:val="20"/>
          <w:color w:val="auto"/>
        </w:rPr>
      </w:pPr>
    </w:p>
    <w:p>
      <w:pPr>
        <w:jc w:val="both"/>
        <w:ind w:left="200" w:right="580"/>
        <w:spacing w:after="0" w:line="264" w:lineRule="auto"/>
        <w:rPr>
          <w:sz w:val="20"/>
          <w:szCs w:val="20"/>
          <w:color w:val="auto"/>
        </w:rPr>
      </w:pPr>
      <w:r>
        <w:rPr>
          <w:rFonts w:ascii="Arial" w:cs="Arial" w:eastAsia="Arial" w:hAnsi="Arial"/>
          <w:sz w:val="18"/>
          <w:szCs w:val="18"/>
          <w:color w:val="auto"/>
        </w:rPr>
        <w:t>Our board of directors will adopt a code of conduct for all directors of Corteva, which will be intended to foster the highest ethical standards and integrity, focus directors on areas of potential ethical risk and conflicts of interest, guide directors in recognizing and dealing with ethical issues, establish reporting mechanisms and promote a culture of honesty and accountability.</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will also adopt a code of conduct that applies to all of our employees, which will be intended to help employees conduct business in accordance with our values and understand their responsibility for compliance with laws, regulations and our policies.</w:t>
      </w:r>
    </w:p>
    <w:p>
      <w:pPr>
        <w:spacing w:after="0" w:line="17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In addition, the Nomination and Governance Committee will adopt a Code of Financial Ethics applicable to all of our principal executive officers, principal financial officers, principal accounting officers or controllers, or persons performing similar functions.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Following the distribution, director compensation will be determined by our board of directors with the assistance of the People and Compensation Committee. It is anticipated that such compensation will consist of the following:</w:t>
      </w:r>
    </w:p>
    <w:p>
      <w:pPr>
        <w:spacing w:after="0" w:line="76" w:lineRule="exact"/>
        <w:rPr>
          <w:sz w:val="20"/>
          <w:szCs w:val="20"/>
          <w:color w:val="auto"/>
        </w:rPr>
      </w:pPr>
    </w:p>
    <w:p>
      <w:pPr>
        <w:ind w:left="640" w:hanging="328"/>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cash retainer in the amount of $115,000 per year, and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 annual equity award in the form of restricted stock units valued at $170,000</w:t>
      </w:r>
    </w:p>
    <w:p>
      <w:pPr>
        <w:spacing w:after="0" w:line="225"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Corteva also anticipates that the company’s Non-Executive Chairman will receive an additional cash retainer of $60,000 per year, and an additional annual restricted stock unit grant valued at $90,000. We also anticipate that our Non-Executive Chairman will receive, for the year following the distribution, an additional cash retainer of $20,000 and an additional restricted stock unit grant valued at $30,000, in recognition of the increased level of</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60"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64" w:lineRule="auto"/>
        <w:rPr>
          <w:sz w:val="20"/>
          <w:szCs w:val="20"/>
          <w:color w:val="auto"/>
        </w:rPr>
      </w:pPr>
      <w:r>
        <w:rPr>
          <w:rFonts w:ascii="Arial" w:cs="Arial" w:eastAsia="Arial" w:hAnsi="Arial"/>
          <w:sz w:val="18"/>
          <w:szCs w:val="18"/>
          <w:color w:val="auto"/>
        </w:rPr>
        <w:t>oversight involved in chairing a newly public company. In addition, we anticipate that the chairs of the Audit Committee and the People and Compensation Committee will receive an additional cash retainer in the amount of $35,000 and $25,000 per year, respectively, and that all other committee chairs will receive an additional cash retainer in the amount of $20,000 per year.</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 Ownership Guidelines</w:t>
      </w:r>
    </w:p>
    <w:p>
      <w:pPr>
        <w:spacing w:after="0" w:line="117"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The Corporate Governance Guidelines set forth our stock ownership guidelines, which require non-employee directors to hold all equity-based compensation until his or her retirement from the board of directors, though equity grants may be deferred beyond retirement pursuant to the deferred compensation program described immediately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Deferred Compensation</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expect to continue a legacy DuPont director deferred compensation program (both for legacy DuPont directors who continue as directors with us and for new directors) under which non-employee directors may choose, prior to the beginning of each year, to have all or part of their fees credited to a deferred compensation account. Under this program, a director may defer all or part of the board retainer and committee chair fees in cash or stock units until retirement as a director or until a specified year after retirement. Interest will accrue on deferred cash payments and dividend equivalents will accrue on deferred stock units.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Following the distribution, Corteva’s pay practices will be developed and revised to fit with the future pay philosophy of Corteva, and therefore the amounts and forms of compensation reported below with respect to 2018 do not necessarily reflect the compensation these executive officers will receive following the distribution. The People and Compensation Committee of the Corteva board of directors will review the impact of the separation from DowDuPont and will review all aspects of compensation and may make adjustments that it believes are appropriate in structuring our executive compensation arrangements.</w:t>
      </w:r>
    </w:p>
    <w:p>
      <w:pPr>
        <w:spacing w:after="0" w:line="188"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Following the Merger but prior to the distribution, the compensation programs applicable to the executive officers of DowDuPont, one of whom is expected to be our Chief Executive Officer, have been overseen by the DowDuPont compensation committee (“DowDuPont Compensation Committee”) and, in the case of DowDuPont’s Chief Executive Officer and its former Executive Chairman, by the independent members of the board of directors of DowDuPont. Compensation and benefit programs with respect to other employees of Historical Dow and Historical DuPont (including each individual other than our Chief Executive Officer who is expected to be one of our named executive officers (“NEOs”) following the distribution) have been overseen by either the Dow compensation subcommittee (“Dow Subcommittee”) or DuPont compensation subcommittee (“DuPont Subcommittee”), respectively, each of which was established for those express purposes by the DowDuPont Compensation Committee.</w:t>
      </w:r>
    </w:p>
    <w:p>
      <w:pPr>
        <w:spacing w:after="0" w:line="17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Although oversight of compensation and benefit programs applicable to employees other than the executive officers of DowDuPont rested with the Dow Subcommittee and DuPont Subcommittee, respectively, authority for specific compensation actions rested with management of each respective future company As such, the compensation and benefit programs in place in 2018 and described in this Compensation Discussion and Analysis (“CD&amp;A”) and the accompanying compensation tables and narratives reflect the oversight of, and the decisions made by, the DowDuPont Compensation Committee, Dow Subcommittee, DuPont Subcommittee or Corteva management, as applicable, as they relate to the compensation of those individuals we expect to be our NEOs following the distribution.</w:t>
      </w:r>
    </w:p>
    <w:p>
      <w:pPr>
        <w:spacing w:after="0" w:line="193"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The historical information provided below is included in order to give context to the new compensation, benefit and perquisite programs we anticipate will be put in place at Corteva after the distribution, and which will be based, at least in part, on the pay practices at DowDuPont, which in turn are based on the pay practices at Historical Dow and Historical DuPont. The historical information is generally noted as being applicable to DowDuPont as a whole, and as such is applicable to each of our NEOs. To the extent that the compensation and benefit practices of Historical Dow and Historical DuPont differed such that their applicability was specific to individual NEOs, however, those specifics have been noted below.</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Named Executive Officers</w:t>
      </w:r>
    </w:p>
    <w:p>
      <w:pPr>
        <w:spacing w:after="0" w:line="121"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Following the distribution, we expect that James C. Collins, Jr., will serve as our Chief Executive Officer (“CEO”) and that Gregory R. Friedman will serve as our Executive Vice President and Chief Financial Officer. In addition, our other NEOs are Rajan Gajaria, whom we expect to serve as our Executive Vice President of Business Platforms; Timothy P. Glenn, whom we expect to serve as our Executive Vice President and Chief Commercial Officer; and Neal Gutterson, whom we expect to serve as our Senior Vice President and Chief Technology Officer.</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Program Structure and Alignment with Core Principles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Historically</w:t>
      </w:r>
    </w:p>
    <w:p>
      <w:pPr>
        <w:spacing w:after="0" w:line="117" w:lineRule="exact"/>
        <w:rPr>
          <w:sz w:val="20"/>
          <w:szCs w:val="20"/>
          <w:color w:val="auto"/>
        </w:rPr>
      </w:pPr>
    </w:p>
    <w:p>
      <w:pPr>
        <w:ind w:left="200" w:right="440"/>
        <w:spacing w:after="0" w:line="342" w:lineRule="auto"/>
        <w:rPr>
          <w:sz w:val="20"/>
          <w:szCs w:val="20"/>
          <w:color w:val="auto"/>
        </w:rPr>
      </w:pPr>
      <w:r>
        <w:rPr>
          <w:rFonts w:ascii="Arial" w:cs="Arial" w:eastAsia="Arial" w:hAnsi="Arial"/>
          <w:sz w:val="16"/>
          <w:szCs w:val="16"/>
          <w:color w:val="auto"/>
        </w:rPr>
        <w:t>DowDuPont has a history of executive compensation programs that are designed to attract, motivate, reward and retain the high-quality executives necessary for company leadership and strategy execution. These programs were designed and administered to follow these core principles:</w:t>
      </w:r>
    </w:p>
    <w:p>
      <w:pPr>
        <w:spacing w:after="0" w:line="29" w:lineRule="exact"/>
        <w:rPr>
          <w:sz w:val="20"/>
          <w:szCs w:val="20"/>
          <w:color w:val="auto"/>
        </w:rPr>
      </w:pPr>
    </w:p>
    <w:p>
      <w:pPr>
        <w:ind w:left="1060" w:hanging="316"/>
        <w:spacing w:after="0"/>
        <w:tabs>
          <w:tab w:leader="none" w:pos="10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Establish a strong link between pay and performance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240" w:top="460"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Align executives’ interests with stockholders’ interests, particularly over the longer term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Reinforce business strategies and drive long-term sustained stockholder value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Going Forward</w:t>
      </w:r>
    </w:p>
    <w:p>
      <w:pPr>
        <w:spacing w:after="0" w:line="11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Following the distribution, the Corteva People and Compensation Committee will evaluate and determine the appropriate executive compensation philosophy and structure for the company on an ongoing basis. We anticipate that the design of the post-distribution Corteva executive compensation programs will:</w:t>
      </w:r>
    </w:p>
    <w:p>
      <w:pPr>
        <w:spacing w:after="0" w:line="87" w:lineRule="exact"/>
        <w:rPr>
          <w:sz w:val="20"/>
          <w:szCs w:val="20"/>
          <w:color w:val="auto"/>
        </w:rPr>
      </w:pPr>
    </w:p>
    <w:p>
      <w:pPr>
        <w:ind w:left="1060" w:hanging="316"/>
        <w:spacing w:after="0"/>
        <w:tabs>
          <w:tab w:leader="none" w:pos="10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reinforce Corteva’s business objectives and the creation of long-term shareholder value;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provide for performance-based reward opportunities that support growth and innovation without encouraging or rewarding excessive risk;</w:t>
      </w:r>
    </w:p>
    <w:p>
      <w:pPr>
        <w:spacing w:after="0" w:line="153"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align the interests of executives with those of shareholders by weighting a significant portion of compensation on sustained shareholder returns through long-term performance programs;</w:t>
      </w:r>
    </w:p>
    <w:p>
      <w:pPr>
        <w:spacing w:after="0" w:line="75" w:lineRule="exact"/>
        <w:rPr>
          <w:rFonts w:ascii="Arial" w:cs="Arial" w:eastAsia="Arial" w:hAnsi="Arial"/>
          <w:sz w:val="18"/>
          <w:szCs w:val="18"/>
          <w:color w:val="auto"/>
        </w:rPr>
      </w:pPr>
    </w:p>
    <w:p>
      <w:pPr>
        <w:ind w:left="1060" w:right="820" w:hanging="316"/>
        <w:spacing w:after="0" w:line="277" w:lineRule="auto"/>
        <w:tabs>
          <w:tab w:leader="none" w:pos="10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attract, retain and motivate key executives by providing competitive compensation with an appropriate mix of fixed and variable compensation, short-term and long-term incentives and cash- and equity- based pay; and</w:t>
      </w:r>
    </w:p>
    <w:p>
      <w:pPr>
        <w:spacing w:after="0" w:line="75"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recognize and support outstanding individual performance and behaviors that demonstrate Corteva’s core values—Enrich Lives, Stand Tall, Be Curious, Build Together, Be Upstanding and Live Safely—in support of our purpose to enrich the lives of those who produce and those who consume, ensuring progress for generations to come.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Governance Practices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Following the distribution, compensation of the executive officers of Corteva, including that of the Corteva NEOs, will be overseen by the Corteva People and Compensation Committee (or, in the case of the Chief Executive Officer, by the independent members of the Corteva board of directors as a whole). The Corteva board of directors and the People and Compensation Committee will be assisted in the performance of their oversight duties by both an independent compensation consultant and management.</w:t>
      </w:r>
    </w:p>
    <w:p>
      <w:pPr>
        <w:spacing w:after="0" w:line="79"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We anticipate that Corteva People and Compensation Committee will, on an ongoing basis, review best practices in governance and executive compensation to ensure that the company’s executive compensation programs align with Corteva’s core principles. As such, we anticipate that the post-distribution executive compensation programs in which the NEOs participate will contain certain key governance practices, including:</w:t>
      </w:r>
    </w:p>
    <w:p>
      <w:pPr>
        <w:spacing w:after="0" w:line="71" w:lineRule="exact"/>
        <w:rPr>
          <w:sz w:val="20"/>
          <w:szCs w:val="20"/>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Active stockholder engagement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Strong links between executive compensation outcomes and both company and individual performance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Compensation program structure designed to discourage excessive risk taking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Significant focus on performance-based pay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Target pay benchmarked to the median of either the peer group or of the general market, as applicable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Carefully structured peer group with regular People and Compensation Committee review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Stock ownership and share retention requirements for the NEOs and other executive officers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100 percent independent People and Compensation Committee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Anti-hedging/Anti-pledging policies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Independent compensation consultant reporting to the People and Compensation Committee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240" w:top="459" w:right="51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 single-trigger change-in-control provisions</w:t>
      </w:r>
    </w:p>
    <w:p>
      <w:pPr>
        <w:spacing w:after="0" w:line="130"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 excise tax gross-up provisions in connection with a change-in-control (other than those contained in the DuPont Senior Executive Severance Plan, of which Mr. Collins is the only participant who is a Corteva NEO, and the terms of which Corteva is required to adhere to, per the plan, until August 31, 2019)</w:t>
      </w:r>
    </w:p>
    <w:p>
      <w:pPr>
        <w:spacing w:after="0" w:line="86"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Equity incentive plan which prohibits option repricing, reloads, exchanges or options granted below market value without stockholder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Regular review of the People and Compensation Committee Charter to ensure best practices and priorities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Historically</w:t>
      </w:r>
    </w:p>
    <w:p>
      <w:pPr>
        <w:spacing w:after="0" w:line="117"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When determining executive compensation, the DowDuPont Compensation Committee has focused on three primary elements of compensation with respect to executive officers of DowDuPont, together with certain additional employee benefits and limited perquisites, all of which are described in more detail below:</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Element</w:t>
            </w: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Purpose</w:t>
            </w:r>
          </w:p>
        </w:tc>
        <w:tc>
          <w:tcPr>
            <w:tcW w:w="7480" w:type="dxa"/>
            <w:vAlign w:val="bottom"/>
          </w:tcPr>
          <w:p>
            <w:pPr>
              <w:spacing w:after="0"/>
              <w:rPr>
                <w:sz w:val="14"/>
                <w:szCs w:val="14"/>
                <w:color w:val="auto"/>
              </w:rPr>
            </w:pPr>
          </w:p>
        </w:tc>
      </w:tr>
      <w:tr>
        <w:trPr>
          <w:trHeight w:val="195"/>
        </w:trPr>
        <w:tc>
          <w:tcPr>
            <w:tcW w:w="2320" w:type="dxa"/>
            <w:vAlign w:val="bottom"/>
            <w:gridSpan w:val="2"/>
          </w:tcPr>
          <w:p>
            <w:pPr>
              <w:spacing w:after="0" w:line="195" w:lineRule="exact"/>
              <w:rPr>
                <w:sz w:val="20"/>
                <w:szCs w:val="20"/>
                <w:color w:val="auto"/>
              </w:rPr>
            </w:pPr>
            <w:r>
              <w:rPr>
                <w:rFonts w:ascii="Arial" w:cs="Arial" w:eastAsia="Arial" w:hAnsi="Arial"/>
                <w:sz w:val="18"/>
                <w:szCs w:val="18"/>
                <w:color w:val="auto"/>
              </w:rPr>
              <w:t>Base Salary</w:t>
            </w:r>
          </w:p>
        </w:tc>
        <w:tc>
          <w:tcPr>
            <w:tcW w:w="560" w:type="dxa"/>
            <w:vAlign w:val="bottom"/>
          </w:tcPr>
          <w:p>
            <w:pPr>
              <w:spacing w:after="0"/>
              <w:rPr>
                <w:sz w:val="16"/>
                <w:szCs w:val="16"/>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auto"/>
                <w:w w:val="71"/>
              </w:rPr>
              <w:t>Provides</w:t>
            </w:r>
          </w:p>
        </w:tc>
        <w:tc>
          <w:tcPr>
            <w:tcW w:w="7480" w:type="dxa"/>
            <w:vAlign w:val="bottom"/>
          </w:tcPr>
          <w:p>
            <w:pPr>
              <w:ind w:left="160"/>
              <w:spacing w:after="0" w:line="195" w:lineRule="exact"/>
              <w:rPr>
                <w:sz w:val="20"/>
                <w:szCs w:val="20"/>
                <w:color w:val="auto"/>
              </w:rPr>
            </w:pPr>
            <w:r>
              <w:rPr>
                <w:rFonts w:ascii="Arial" w:cs="Arial" w:eastAsia="Arial" w:hAnsi="Arial"/>
                <w:sz w:val="18"/>
                <w:szCs w:val="18"/>
                <w:color w:val="auto"/>
                <w:w w:val="90"/>
              </w:rPr>
              <w:t>a regular source of income for NEOs and acts as a foundation for other pay components (e.g., annual</w:t>
            </w:r>
          </w:p>
        </w:tc>
      </w:tr>
      <w:tr>
        <w:trPr>
          <w:trHeight w:val="230"/>
        </w:trPr>
        <w:tc>
          <w:tcPr>
            <w:tcW w:w="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560" w:type="dxa"/>
            <w:vAlign w:val="bottom"/>
            <w:gridSpan w:val="3"/>
          </w:tcPr>
          <w:p>
            <w:pPr>
              <w:ind w:left="560"/>
              <w:spacing w:after="0"/>
              <w:rPr>
                <w:sz w:val="20"/>
                <w:szCs w:val="20"/>
                <w:color w:val="auto"/>
              </w:rPr>
            </w:pPr>
            <w:r>
              <w:rPr>
                <w:rFonts w:ascii="Arial" w:cs="Arial" w:eastAsia="Arial" w:hAnsi="Arial"/>
                <w:sz w:val="18"/>
                <w:szCs w:val="18"/>
                <w:color w:val="auto"/>
              </w:rPr>
              <w:t>incentive targets for NEOs are expressed as a percentage of base salary)</w:t>
            </w: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Annual Incentive</w:t>
            </w:r>
          </w:p>
        </w:tc>
        <w:tc>
          <w:tcPr>
            <w:tcW w:w="8560" w:type="dxa"/>
            <w:vAlign w:val="bottom"/>
            <w:gridSpan w:val="3"/>
          </w:tcPr>
          <w:p>
            <w:pPr>
              <w:ind w:left="560"/>
              <w:spacing w:after="0"/>
              <w:rPr>
                <w:sz w:val="20"/>
                <w:szCs w:val="20"/>
                <w:color w:val="auto"/>
              </w:rPr>
            </w:pPr>
            <w:r>
              <w:rPr>
                <w:rFonts w:ascii="Arial" w:cs="Arial" w:eastAsia="Arial" w:hAnsi="Arial"/>
                <w:sz w:val="18"/>
                <w:szCs w:val="18"/>
                <w:color w:val="auto"/>
              </w:rPr>
              <w:t>Rewards employees for achieving critical financial and operational goals</w:t>
            </w:r>
          </w:p>
        </w:tc>
      </w:tr>
      <w:tr>
        <w:trPr>
          <w:trHeight w:val="310"/>
        </w:trPr>
        <w:tc>
          <w:tcPr>
            <w:tcW w:w="2320" w:type="dxa"/>
            <w:vAlign w:val="bottom"/>
            <w:gridSpan w:val="2"/>
          </w:tcPr>
          <w:p>
            <w:pPr>
              <w:spacing w:after="0"/>
              <w:rPr>
                <w:sz w:val="20"/>
                <w:szCs w:val="20"/>
                <w:color w:val="auto"/>
              </w:rPr>
            </w:pPr>
            <w:r>
              <w:rPr>
                <w:rFonts w:ascii="Arial" w:cs="Arial" w:eastAsia="Arial" w:hAnsi="Arial"/>
                <w:sz w:val="18"/>
                <w:szCs w:val="18"/>
                <w:color w:val="auto"/>
              </w:rPr>
              <w:t>Long-Term Incentives</w:t>
            </w:r>
          </w:p>
        </w:tc>
        <w:tc>
          <w:tcPr>
            <w:tcW w:w="8560" w:type="dxa"/>
            <w:vAlign w:val="bottom"/>
            <w:gridSpan w:val="3"/>
          </w:tcPr>
          <w:p>
            <w:pPr>
              <w:ind w:left="560"/>
              <w:spacing w:after="0"/>
              <w:rPr>
                <w:sz w:val="20"/>
                <w:szCs w:val="20"/>
                <w:color w:val="auto"/>
              </w:rPr>
            </w:pPr>
            <w:r>
              <w:rPr>
                <w:rFonts w:ascii="Arial" w:cs="Arial" w:eastAsia="Arial" w:hAnsi="Arial"/>
                <w:sz w:val="18"/>
                <w:szCs w:val="18"/>
                <w:color w:val="auto"/>
              </w:rPr>
              <w:t>Aligns the interests of executives with stockholders by linking pay and performance, with the goal of</w:t>
            </w:r>
          </w:p>
        </w:tc>
      </w:tr>
      <w:tr>
        <w:trPr>
          <w:trHeight w:val="230"/>
        </w:trPr>
        <w:tc>
          <w:tcPr>
            <w:tcW w:w="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560" w:type="dxa"/>
            <w:vAlign w:val="bottom"/>
            <w:gridSpan w:val="3"/>
          </w:tcPr>
          <w:p>
            <w:pPr>
              <w:ind w:left="560"/>
              <w:spacing w:after="0"/>
              <w:rPr>
                <w:sz w:val="20"/>
                <w:szCs w:val="20"/>
                <w:color w:val="auto"/>
              </w:rPr>
            </w:pPr>
            <w:r>
              <w:rPr>
                <w:rFonts w:ascii="Arial" w:cs="Arial" w:eastAsia="Arial" w:hAnsi="Arial"/>
                <w:sz w:val="18"/>
                <w:szCs w:val="18"/>
                <w:color w:val="auto"/>
              </w:rPr>
              <w:t>accelerating growth, profitability and stockholder return</w:t>
            </w:r>
          </w:p>
        </w:tc>
      </w:tr>
      <w:tr>
        <w:trPr>
          <w:trHeight w:val="338"/>
        </w:trPr>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560" w:type="dxa"/>
            <w:vAlign w:val="bottom"/>
            <w:gridSpan w:val="3"/>
          </w:tcPr>
          <w:p>
            <w:pPr>
              <w:ind w:left="560"/>
              <w:spacing w:after="0"/>
              <w:rPr>
                <w:sz w:val="20"/>
                <w:szCs w:val="20"/>
                <w:color w:val="auto"/>
              </w:rPr>
            </w:pPr>
            <w:r>
              <w:rPr>
                <w:rFonts w:ascii="Arial" w:cs="Arial" w:eastAsia="Arial" w:hAnsi="Arial"/>
                <w:sz w:val="18"/>
                <w:szCs w:val="18"/>
                <w:color w:val="auto"/>
              </w:rPr>
              <w:t>Aids the company in retaining its NEOs and other key employees</w:t>
            </w:r>
          </w:p>
        </w:tc>
      </w:tr>
      <w:tr>
        <w:trPr>
          <w:trHeight w:val="323"/>
        </w:trPr>
        <w:tc>
          <w:tcPr>
            <w:tcW w:w="2320" w:type="dxa"/>
            <w:vAlign w:val="bottom"/>
            <w:gridSpan w:val="2"/>
          </w:tcPr>
          <w:p>
            <w:pPr>
              <w:spacing w:after="0"/>
              <w:rPr>
                <w:sz w:val="20"/>
                <w:szCs w:val="20"/>
                <w:color w:val="auto"/>
              </w:rPr>
            </w:pPr>
            <w:r>
              <w:rPr>
                <w:rFonts w:ascii="Arial" w:cs="Arial" w:eastAsia="Arial" w:hAnsi="Arial"/>
                <w:sz w:val="18"/>
                <w:szCs w:val="18"/>
                <w:color w:val="auto"/>
              </w:rPr>
              <w:t>Benefits and Perquisites</w:t>
            </w:r>
          </w:p>
        </w:tc>
        <w:tc>
          <w:tcPr>
            <w:tcW w:w="8560" w:type="dxa"/>
            <w:vAlign w:val="bottom"/>
            <w:gridSpan w:val="3"/>
          </w:tcPr>
          <w:p>
            <w:pPr>
              <w:ind w:left="560"/>
              <w:spacing w:after="0"/>
              <w:rPr>
                <w:sz w:val="20"/>
                <w:szCs w:val="20"/>
                <w:color w:val="auto"/>
              </w:rPr>
            </w:pPr>
            <w:r>
              <w:rPr>
                <w:rFonts w:ascii="Arial" w:cs="Arial" w:eastAsia="Arial" w:hAnsi="Arial"/>
                <w:sz w:val="18"/>
                <w:szCs w:val="18"/>
                <w:color w:val="auto"/>
                <w:w w:val="91"/>
              </w:rPr>
              <w:t>Executives participate in the same benefit programs within Historical Dow or Historical DuPont, as applicable,</w:t>
            </w:r>
          </w:p>
        </w:tc>
      </w:tr>
      <w:tr>
        <w:trPr>
          <w:trHeight w:val="230"/>
        </w:trPr>
        <w:tc>
          <w:tcPr>
            <w:tcW w:w="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560" w:type="dxa"/>
            <w:vAlign w:val="bottom"/>
            <w:gridSpan w:val="3"/>
          </w:tcPr>
          <w:p>
            <w:pPr>
              <w:ind w:left="560"/>
              <w:spacing w:after="0"/>
              <w:rPr>
                <w:sz w:val="20"/>
                <w:szCs w:val="20"/>
                <w:color w:val="auto"/>
              </w:rPr>
            </w:pPr>
            <w:r>
              <w:rPr>
                <w:rFonts w:ascii="Arial" w:cs="Arial" w:eastAsia="Arial" w:hAnsi="Arial"/>
                <w:sz w:val="18"/>
                <w:szCs w:val="18"/>
                <w:color w:val="auto"/>
              </w:rPr>
              <w:t>that are offered to other salaried employees</w:t>
            </w:r>
          </w:p>
        </w:tc>
      </w:tr>
      <w:tr>
        <w:trPr>
          <w:trHeight w:val="323"/>
        </w:trPr>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560" w:type="dxa"/>
            <w:vAlign w:val="bottom"/>
            <w:gridSpan w:val="3"/>
          </w:tcPr>
          <w:p>
            <w:pPr>
              <w:ind w:left="560"/>
              <w:spacing w:after="0"/>
              <w:rPr>
                <w:sz w:val="20"/>
                <w:szCs w:val="20"/>
                <w:color w:val="auto"/>
              </w:rPr>
            </w:pPr>
            <w:r>
              <w:rPr>
                <w:rFonts w:ascii="Arial" w:cs="Arial" w:eastAsia="Arial" w:hAnsi="Arial"/>
                <w:sz w:val="18"/>
                <w:szCs w:val="18"/>
                <w:color w:val="auto"/>
                <w:w w:val="93"/>
              </w:rPr>
              <w:t>Limited perquisites are provided to executives to facilitate strong performance on the job and enhance their</w:t>
            </w:r>
          </w:p>
        </w:tc>
      </w:tr>
      <w:tr>
        <w:trPr>
          <w:trHeight w:val="230"/>
        </w:trPr>
        <w:tc>
          <w:tcPr>
            <w:tcW w:w="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560" w:type="dxa"/>
            <w:vAlign w:val="bottom"/>
            <w:gridSpan w:val="3"/>
          </w:tcPr>
          <w:p>
            <w:pPr>
              <w:ind w:left="560"/>
              <w:spacing w:after="0"/>
              <w:rPr>
                <w:sz w:val="20"/>
                <w:szCs w:val="20"/>
                <w:color w:val="auto"/>
              </w:rPr>
            </w:pPr>
            <w:r>
              <w:rPr>
                <w:rFonts w:ascii="Arial" w:cs="Arial" w:eastAsia="Arial" w:hAnsi="Arial"/>
                <w:sz w:val="18"/>
                <w:szCs w:val="18"/>
                <w:color w:val="auto"/>
              </w:rPr>
              <w:t>personal security and productivity</w:t>
            </w: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Going Forward</w:t>
      </w:r>
    </w:p>
    <w:p>
      <w:pPr>
        <w:spacing w:after="0" w:line="11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expect that our executive compensation programs that are put into place post-distribution will generally include the same elements of compensation as DowDuPont’s current programs. We also anticipate that the Corteva incentive compensation programs will have a basis in clearly disclosed and measurable goals that will be linked to company performance including, but not limited to, goals related to Return On Invested Capital (“ROIC”) and Operating EBITDA. Following the distribution, Corteva’s People and Compensation Committee will review all aspects of compensation and may make adjustments that it believes are appropriate in structuring our executive compensation arrangements.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Compensation Process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Historically</w:t>
      </w:r>
    </w:p>
    <w:p>
      <w:pPr>
        <w:spacing w:after="0" w:line="117"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The DowDuPont Compensation Committee, with the support of its independent compensation consultants and company management, develops and executes the executive compensation program applicable to DowDuPont’s executive officers, including our CEO.</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60"/>
          </w:cols>
          <w:pgMar w:left="240" w:top="460" w:right="49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Going Forward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People and Compensation Committee</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Corteva’s People and Compensation Committee will be responsible for establishing the company’s executive compensation philosophy, and for developing and administering the executive compensation programs applicable to our executive officers, including our NEOs, in support of such philosophy. The People and Compensation Committee will annually review and evaluate the executive compensation programs to ensure that they are aligned with Corteva’s compensation philosophy and with performance. The People and Compensation Committee will annually review the corporate goals and objectives relevant to the compensation of the CEO, and will also evaluate the CEO’s performance against his objectives and make recommendations to the independent directors regarding compensation levels based on that evaluation. The People and Compensation Committee will consider compensation market data from both our peer group and from published compensation surveys when recommending compensation types and amounts for the CEO. The People and Compensation Committee will also have the responsibility of approving the compensation for Corteva’s executive officers including our NEOs (other than our CEO).</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expect that the People and Compensation Committee will review the following factors, among others, when determining executive compensation:</w:t>
      </w:r>
    </w:p>
    <w:p>
      <w:pPr>
        <w:spacing w:after="0" w:line="154" w:lineRule="exact"/>
        <w:rPr>
          <w:sz w:val="20"/>
          <w:szCs w:val="20"/>
          <w:color w:val="auto"/>
        </w:rPr>
      </w:pPr>
    </w:p>
    <w:p>
      <w:pPr>
        <w:ind w:left="1060" w:hanging="316"/>
        <w:spacing w:after="0" w:line="277" w:lineRule="auto"/>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Competitive analysis: Identifying levels of compensation for similar jobs and job levels in the market, taking into account revenue relative to our peer group</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Company performance: Measured against financial metrics and operational targets approved by the People and Compensation Committee</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Market landscape: Business climate, economic conditions and other factors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Individual roles: Each executive’s experience, knowledge, skills and personal contributions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Independent Board Members</w:t>
      </w:r>
    </w:p>
    <w:p>
      <w:pPr>
        <w:spacing w:after="0" w:line="117"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Following the distribution, the independent members of Corteva’s board of directors will be responsible for assessing the performance of, and for approving the compensation types and amounts for, Corteva’s CEO.</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Independent Compensation Consultant and Company Management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Historically</w:t>
      </w:r>
    </w:p>
    <w:p>
      <w:pPr>
        <w:spacing w:after="0" w:line="11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In carrying out its role in establishing executive compensation plans, the DowDuPont Compensation Committee has received advice from its independent compensation consultants and considers pay strategies and recommendations prepared by DowDuPont’s management. Under its charter, the DowDuPont Compensation Committee has the sole authority to retain, compensate and terminate its independent compensation consultants and any other advisors necessary to assist it in its evaluation of the compensation of DowDuPont’s Chief Executive Officer, former Executive Chairman and other executive officers of DowDuPont, as well as of the DowDuPont non-employee directors. The DowDuPont Compensation Committee has retained both Mercer and Frederic W. Cook &amp; Co., Inc. (“FW Cook”) as its independent compensation consultants to provide services exclusively to the DowDuPont Compensation Committee. Among the responsibilities of Mercer and FW Cook are the following:</w:t>
      </w:r>
    </w:p>
    <w:p>
      <w:pPr>
        <w:spacing w:after="0" w:line="83" w:lineRule="exact"/>
        <w:rPr>
          <w:sz w:val="20"/>
          <w:szCs w:val="20"/>
          <w:color w:val="auto"/>
        </w:rPr>
      </w:pPr>
    </w:p>
    <w:p>
      <w:pPr>
        <w:ind w:left="1060" w:hanging="316"/>
        <w:spacing w:after="0"/>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conducting an ongoing review and critique of DowDuPont’s director compensation programs;</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providing an ongoing review and critique of DowDuPont’s executive compensation philosophy, the strategies associated with it and the composition of the peer group of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preparing periodic analyses of data, including data on competitive executive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presenting updates on market trends;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60"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attending regular and special meetings of the DowDuPont Compensation Committee; and</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regularly conducting private meetings with the DowDuPont Compensation Committee and/or board of directors without management representatives.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Going Forward</w:t>
      </w:r>
    </w:p>
    <w:p>
      <w:pPr>
        <w:spacing w:after="0" w:line="117"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The People and Compensation Committee is expected to select an independent compensation consultant to assist the committee in meeting its responsibilities related to the oversight of Corteva’s executive compensation programs. In general, we expect the independent compensation consultant to develop pay strategies relating to Corteva’s NEOs, including our CEO, which the consultant will provide to the People and Compensation Committee. We also expect our independent compensation consultant to develop pay recommendations relating to our CEO, and to provide them to the People and Compensation Committee. The People and Compensation Committee and the consultant will then review and discuss all matters involving the CEO’s compensation. After this review, we expect that the People and Compensation Committee will prepare its own recommendation for the board of directors to review and discuss. The independent members of our board of directors will have the sole authority to approve compensation decisions made with respect to the CEO. However, we expect that the People and Compensation Committee will review and approve the performance goals and objectives relevant to the CEO’s compensation, evaluate his performance in light of those goals and objectives and, based upon this evaluation, recommend his compensation for approval by the independent members of the board of directors.</w:t>
      </w:r>
    </w:p>
    <w:p>
      <w:pPr>
        <w:spacing w:after="0" w:line="169"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With respect to the other executive officers, including each of our NEOs other than our CEO, we expect that the CEO will make pay recommendations based upon a review of Corteva’s business performance, each individual NEO’s performance relative to their goals and objectives, and the relative market data from the peer group and/or general industry surveys, which the People and Compensation Committee will then have the responsibility to review and approve. We also anticipate the People and Compensation Committee will be responsible for approving actions related to certain aspects of the compensation of other employees, such as the size of bonus pools, annual incentive plan performance goals, equity award design, equity value ranges and share pools.</w:t>
      </w:r>
    </w:p>
    <w:p>
      <w:pPr>
        <w:spacing w:after="0" w:line="193"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independent compensation consultant is expected to have safeguards and procedures in place to maintain its independence, and the People and Compensation Committee will determine whether the independent compensation consultant’s work has raised any conflicts of interest. These safeguards may include a rigidly enforced code of conduct, a policy against investing in client organizations and separation between their executive compensation consulting and their other administrative and consulting business units, if any, from a leadership, performance measurement and compensation perspective.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Peer Group and Benchmarking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Historically</w:t>
      </w:r>
    </w:p>
    <w:p>
      <w:pPr>
        <w:spacing w:after="0" w:line="117"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Prior to the Merger, Historical Dow and Historical DuPont maintained separate executive compensation peer groups and utilized similar selection criteria to develop their respective peer groups. After the Merger, the DowDuPont Compensation Committee, with the support of the management team and the independent compensation consultants, reviewed the two legacy groups and eliminated companies with revenues less than one-third or more than three times that of DowDuPont in order to create a peer group for use in assessing the compensation of DowDuPont’s executive officers.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Going Forward</w:t>
      </w:r>
    </w:p>
    <w:p>
      <w:pPr>
        <w:spacing w:after="0" w:line="117" w:lineRule="exact"/>
        <w:rPr>
          <w:sz w:val="20"/>
          <w:szCs w:val="20"/>
          <w:color w:val="auto"/>
        </w:rPr>
      </w:pPr>
    </w:p>
    <w:p>
      <w:pPr>
        <w:ind w:left="200" w:right="620"/>
        <w:spacing w:after="0" w:line="264" w:lineRule="auto"/>
        <w:rPr>
          <w:sz w:val="20"/>
          <w:szCs w:val="20"/>
          <w:color w:val="auto"/>
        </w:rPr>
      </w:pPr>
      <w:r>
        <w:rPr>
          <w:rFonts w:ascii="Arial" w:cs="Arial" w:eastAsia="Arial" w:hAnsi="Arial"/>
          <w:sz w:val="18"/>
          <w:szCs w:val="18"/>
          <w:color w:val="auto"/>
        </w:rPr>
        <w:t>Management has, in conjunction with FW Cook (who serves as one of the DowDuPont Compensation Committee’s independent compensation consultants, and who previously served as the independent compensation consultant to Historical DuPont’s compensation committee prior to the Merger), reviewed with certain members of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DowDuPont board of directors whom we expect may serve on the People and Compensation Committee after the distribution, a preliminary list of companies that have been analyzed with regard to the following selection criteria:</w:t>
      </w:r>
    </w:p>
    <w:p>
      <w:pPr>
        <w:spacing w:after="0" w:line="76" w:lineRule="exact"/>
        <w:rPr>
          <w:sz w:val="20"/>
          <w:szCs w:val="20"/>
          <w:color w:val="auto"/>
        </w:rPr>
      </w:pPr>
    </w:p>
    <w:p>
      <w:pPr>
        <w:ind w:left="1060" w:hanging="316"/>
        <w:spacing w:after="0"/>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Revenues—companies which generally fall between 1/3</w:t>
      </w:r>
      <w:r>
        <w:rPr>
          <w:rFonts w:ascii="Arial" w:cs="Arial" w:eastAsia="Arial" w:hAnsi="Arial"/>
          <w:sz w:val="15"/>
          <w:szCs w:val="15"/>
          <w:color w:val="auto"/>
        </w:rPr>
        <w:t>rd</w:t>
      </w:r>
      <w:r>
        <w:rPr>
          <w:rFonts w:ascii="Arial" w:cs="Arial" w:eastAsia="Arial" w:hAnsi="Arial"/>
          <w:sz w:val="18"/>
          <w:szCs w:val="18"/>
          <w:color w:val="auto"/>
        </w:rPr>
        <w:t xml:space="preserve"> to 3 times the anticipated revenue of Corteva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Profitability—companies with operating margins generally greater than or equal to 6% of total revenue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Global scale—companies with significant foreign operations generally accounting for 33% or more of total revenue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Research, innovation and/or technology focus—companies with expenditures generally greater than 2% of total revenue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Competitor for talent</w:t>
      </w:r>
    </w:p>
    <w:p>
      <w:pPr>
        <w:spacing w:after="0" w:line="225"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The members of the DowDuPont board of directors with whom the list of companies has been reviewed and discussed have selected the companies named below to be utilized as a “working peer group,” which will be reviewed further by the People and Compensation Committee following the distribution and on an ongoing basis: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“Working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7006590" cy="9093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7006590" cy="909320"/>
                    </a:xfrm>
                    <a:prstGeom prst="rect">
                      <a:avLst/>
                    </a:prstGeom>
                    <a:noFill/>
                  </pic:spPr>
                </pic:pic>
              </a:graphicData>
            </a:graphic>
          </wp:anchor>
        </w:drawing>
      </w:r>
    </w:p>
    <w:p>
      <w:pPr>
        <w:spacing w:after="0" w:line="9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840" w:type="dxa"/>
            <w:vAlign w:val="bottom"/>
          </w:tcPr>
          <w:p>
            <w:pPr>
              <w:jc w:val="center"/>
              <w:ind w:right="670"/>
              <w:spacing w:after="0"/>
              <w:rPr>
                <w:sz w:val="20"/>
                <w:szCs w:val="20"/>
                <w:color w:val="auto"/>
              </w:rPr>
            </w:pPr>
            <w:r>
              <w:rPr>
                <w:rFonts w:ascii="Arial" w:cs="Arial" w:eastAsia="Arial" w:hAnsi="Arial"/>
                <w:sz w:val="18"/>
                <w:szCs w:val="18"/>
                <w:color w:val="auto"/>
                <w:w w:val="93"/>
              </w:rPr>
              <w:t>3M Company</w:t>
            </w:r>
          </w:p>
        </w:tc>
        <w:tc>
          <w:tcPr>
            <w:tcW w:w="3820" w:type="dxa"/>
            <w:vAlign w:val="bottom"/>
          </w:tcPr>
          <w:p>
            <w:pPr>
              <w:jc w:val="center"/>
              <w:spacing w:after="0"/>
              <w:rPr>
                <w:sz w:val="20"/>
                <w:szCs w:val="20"/>
                <w:color w:val="auto"/>
              </w:rPr>
            </w:pPr>
            <w:r>
              <w:rPr>
                <w:rFonts w:ascii="Arial" w:cs="Arial" w:eastAsia="Arial" w:hAnsi="Arial"/>
                <w:sz w:val="18"/>
                <w:szCs w:val="18"/>
                <w:color w:val="auto"/>
                <w:w w:val="91"/>
              </w:rPr>
              <w:t>Air Products and Chemicals, Inc.</w:t>
            </w:r>
          </w:p>
        </w:tc>
        <w:tc>
          <w:tcPr>
            <w:tcW w:w="3200" w:type="dxa"/>
            <w:vAlign w:val="bottom"/>
          </w:tcPr>
          <w:p>
            <w:pPr>
              <w:jc w:val="center"/>
              <w:ind w:left="590"/>
              <w:spacing w:after="0"/>
              <w:rPr>
                <w:sz w:val="20"/>
                <w:szCs w:val="20"/>
                <w:color w:val="auto"/>
              </w:rPr>
            </w:pPr>
            <w:r>
              <w:rPr>
                <w:rFonts w:ascii="Arial" w:cs="Arial" w:eastAsia="Arial" w:hAnsi="Arial"/>
                <w:sz w:val="18"/>
                <w:szCs w:val="18"/>
                <w:color w:val="auto"/>
                <w:w w:val="93"/>
              </w:rPr>
              <w:t>Archer-Daniels-Midland Company</w:t>
            </w:r>
          </w:p>
        </w:tc>
      </w:tr>
      <w:tr>
        <w:trPr>
          <w:trHeight w:val="216"/>
        </w:trPr>
        <w:tc>
          <w:tcPr>
            <w:tcW w:w="2840" w:type="dxa"/>
            <w:vAlign w:val="bottom"/>
          </w:tcPr>
          <w:p>
            <w:pPr>
              <w:jc w:val="center"/>
              <w:ind w:right="670"/>
              <w:spacing w:after="0"/>
              <w:rPr>
                <w:sz w:val="20"/>
                <w:szCs w:val="20"/>
                <w:color w:val="auto"/>
              </w:rPr>
            </w:pPr>
            <w:r>
              <w:rPr>
                <w:rFonts w:ascii="Arial" w:cs="Arial" w:eastAsia="Arial" w:hAnsi="Arial"/>
                <w:sz w:val="18"/>
                <w:szCs w:val="18"/>
                <w:color w:val="auto"/>
                <w:w w:val="91"/>
              </w:rPr>
              <w:t>Avery Dennison Corporation</w:t>
            </w:r>
          </w:p>
        </w:tc>
        <w:tc>
          <w:tcPr>
            <w:tcW w:w="3820" w:type="dxa"/>
            <w:vAlign w:val="bottom"/>
          </w:tcPr>
          <w:p>
            <w:pPr>
              <w:jc w:val="center"/>
              <w:ind w:left="10"/>
              <w:spacing w:after="0"/>
              <w:rPr>
                <w:sz w:val="20"/>
                <w:szCs w:val="20"/>
                <w:color w:val="auto"/>
              </w:rPr>
            </w:pPr>
            <w:r>
              <w:rPr>
                <w:rFonts w:ascii="Arial" w:cs="Arial" w:eastAsia="Arial" w:hAnsi="Arial"/>
                <w:sz w:val="18"/>
                <w:szCs w:val="18"/>
                <w:color w:val="auto"/>
                <w:w w:val="89"/>
              </w:rPr>
              <w:t>Celanese Corporation</w:t>
            </w:r>
          </w:p>
        </w:tc>
        <w:tc>
          <w:tcPr>
            <w:tcW w:w="3200" w:type="dxa"/>
            <w:vAlign w:val="bottom"/>
          </w:tcPr>
          <w:p>
            <w:pPr>
              <w:jc w:val="center"/>
              <w:ind w:left="590"/>
              <w:spacing w:after="0"/>
              <w:rPr>
                <w:sz w:val="20"/>
                <w:szCs w:val="20"/>
                <w:color w:val="auto"/>
              </w:rPr>
            </w:pPr>
            <w:r>
              <w:rPr>
                <w:rFonts w:ascii="Arial" w:cs="Arial" w:eastAsia="Arial" w:hAnsi="Arial"/>
                <w:sz w:val="18"/>
                <w:szCs w:val="18"/>
                <w:color w:val="auto"/>
                <w:w w:val="91"/>
              </w:rPr>
              <w:t>Deere &amp; Company</w:t>
            </w:r>
          </w:p>
        </w:tc>
      </w:tr>
      <w:tr>
        <w:trPr>
          <w:trHeight w:val="216"/>
        </w:trPr>
        <w:tc>
          <w:tcPr>
            <w:tcW w:w="2840" w:type="dxa"/>
            <w:vAlign w:val="bottom"/>
          </w:tcPr>
          <w:p>
            <w:pPr>
              <w:jc w:val="center"/>
              <w:ind w:right="650"/>
              <w:spacing w:after="0"/>
              <w:rPr>
                <w:sz w:val="20"/>
                <w:szCs w:val="20"/>
                <w:color w:val="auto"/>
              </w:rPr>
            </w:pPr>
            <w:r>
              <w:rPr>
                <w:rFonts w:ascii="Arial" w:cs="Arial" w:eastAsia="Arial" w:hAnsi="Arial"/>
                <w:sz w:val="18"/>
                <w:szCs w:val="18"/>
                <w:color w:val="auto"/>
                <w:w w:val="90"/>
              </w:rPr>
              <w:t>Eastman Chemical Company</w:t>
            </w:r>
          </w:p>
        </w:tc>
        <w:tc>
          <w:tcPr>
            <w:tcW w:w="3820" w:type="dxa"/>
            <w:vAlign w:val="bottom"/>
          </w:tcPr>
          <w:p>
            <w:pPr>
              <w:jc w:val="center"/>
              <w:spacing w:after="0"/>
              <w:rPr>
                <w:sz w:val="20"/>
                <w:szCs w:val="20"/>
                <w:color w:val="auto"/>
              </w:rPr>
            </w:pPr>
            <w:r>
              <w:rPr>
                <w:rFonts w:ascii="Arial" w:cs="Arial" w:eastAsia="Arial" w:hAnsi="Arial"/>
                <w:sz w:val="18"/>
                <w:szCs w:val="18"/>
                <w:color w:val="auto"/>
                <w:w w:val="92"/>
              </w:rPr>
              <w:t>Ecolab Inc.</w:t>
            </w:r>
          </w:p>
        </w:tc>
        <w:tc>
          <w:tcPr>
            <w:tcW w:w="3200" w:type="dxa"/>
            <w:vAlign w:val="bottom"/>
          </w:tcPr>
          <w:p>
            <w:pPr>
              <w:jc w:val="center"/>
              <w:ind w:left="610"/>
              <w:spacing w:after="0"/>
              <w:rPr>
                <w:sz w:val="20"/>
                <w:szCs w:val="20"/>
                <w:color w:val="auto"/>
              </w:rPr>
            </w:pPr>
            <w:r>
              <w:rPr>
                <w:rFonts w:ascii="Arial" w:cs="Arial" w:eastAsia="Arial" w:hAnsi="Arial"/>
                <w:sz w:val="18"/>
                <w:szCs w:val="18"/>
                <w:color w:val="auto"/>
                <w:w w:val="94"/>
              </w:rPr>
              <w:t>FMC Corporation</w:t>
            </w:r>
          </w:p>
        </w:tc>
      </w:tr>
      <w:tr>
        <w:trPr>
          <w:trHeight w:val="216"/>
        </w:trPr>
        <w:tc>
          <w:tcPr>
            <w:tcW w:w="2840" w:type="dxa"/>
            <w:vAlign w:val="bottom"/>
          </w:tcPr>
          <w:p>
            <w:pPr>
              <w:jc w:val="center"/>
              <w:ind w:right="670"/>
              <w:spacing w:after="0"/>
              <w:rPr>
                <w:sz w:val="20"/>
                <w:szCs w:val="20"/>
                <w:color w:val="auto"/>
              </w:rPr>
            </w:pPr>
            <w:r>
              <w:rPr>
                <w:rFonts w:ascii="Arial" w:cs="Arial" w:eastAsia="Arial" w:hAnsi="Arial"/>
                <w:sz w:val="18"/>
                <w:szCs w:val="18"/>
                <w:color w:val="auto"/>
                <w:w w:val="94"/>
              </w:rPr>
              <w:t>Honeywell International Inc.</w:t>
            </w:r>
          </w:p>
        </w:tc>
        <w:tc>
          <w:tcPr>
            <w:tcW w:w="3820" w:type="dxa"/>
            <w:vAlign w:val="bottom"/>
          </w:tcPr>
          <w:p>
            <w:pPr>
              <w:jc w:val="center"/>
              <w:spacing w:after="0"/>
              <w:rPr>
                <w:sz w:val="20"/>
                <w:szCs w:val="20"/>
                <w:color w:val="auto"/>
              </w:rPr>
            </w:pPr>
            <w:r>
              <w:rPr>
                <w:rFonts w:ascii="Arial" w:cs="Arial" w:eastAsia="Arial" w:hAnsi="Arial"/>
                <w:sz w:val="18"/>
                <w:szCs w:val="18"/>
                <w:color w:val="auto"/>
                <w:w w:val="96"/>
              </w:rPr>
              <w:t>Nutrien Ltd.</w:t>
            </w:r>
          </w:p>
        </w:tc>
        <w:tc>
          <w:tcPr>
            <w:tcW w:w="3200" w:type="dxa"/>
            <w:vAlign w:val="bottom"/>
          </w:tcPr>
          <w:p>
            <w:pPr>
              <w:jc w:val="center"/>
              <w:ind w:left="610"/>
              <w:spacing w:after="0"/>
              <w:rPr>
                <w:sz w:val="20"/>
                <w:szCs w:val="20"/>
                <w:color w:val="auto"/>
              </w:rPr>
            </w:pPr>
            <w:r>
              <w:rPr>
                <w:rFonts w:ascii="Arial" w:cs="Arial" w:eastAsia="Arial" w:hAnsi="Arial"/>
                <w:sz w:val="18"/>
                <w:szCs w:val="18"/>
                <w:color w:val="auto"/>
                <w:w w:val="91"/>
              </w:rPr>
              <w:t>Perrigo Company plc</w:t>
            </w:r>
          </w:p>
        </w:tc>
      </w:tr>
      <w:tr>
        <w:trPr>
          <w:trHeight w:val="230"/>
        </w:trPr>
        <w:tc>
          <w:tcPr>
            <w:tcW w:w="2840" w:type="dxa"/>
            <w:vAlign w:val="bottom"/>
          </w:tcPr>
          <w:p>
            <w:pPr>
              <w:jc w:val="center"/>
              <w:ind w:right="670"/>
              <w:spacing w:after="0"/>
              <w:rPr>
                <w:sz w:val="20"/>
                <w:szCs w:val="20"/>
                <w:color w:val="auto"/>
              </w:rPr>
            </w:pPr>
            <w:r>
              <w:rPr>
                <w:rFonts w:ascii="Arial" w:cs="Arial" w:eastAsia="Arial" w:hAnsi="Arial"/>
                <w:sz w:val="18"/>
                <w:szCs w:val="18"/>
                <w:color w:val="auto"/>
                <w:w w:val="89"/>
              </w:rPr>
              <w:t>PPG Industries, Inc.</w:t>
            </w:r>
          </w:p>
        </w:tc>
        <w:tc>
          <w:tcPr>
            <w:tcW w:w="3820" w:type="dxa"/>
            <w:vAlign w:val="bottom"/>
          </w:tcPr>
          <w:p>
            <w:pPr>
              <w:jc w:val="center"/>
              <w:spacing w:after="0"/>
              <w:rPr>
                <w:sz w:val="20"/>
                <w:szCs w:val="20"/>
                <w:color w:val="auto"/>
              </w:rPr>
            </w:pPr>
            <w:r>
              <w:rPr>
                <w:rFonts w:ascii="Arial" w:cs="Arial" w:eastAsia="Arial" w:hAnsi="Arial"/>
                <w:sz w:val="18"/>
                <w:szCs w:val="18"/>
                <w:color w:val="auto"/>
                <w:w w:val="92"/>
              </w:rPr>
              <w:t>The Sherwin-Williams Company</w:t>
            </w:r>
          </w:p>
        </w:tc>
        <w:tc>
          <w:tcPr>
            <w:tcW w:w="3200" w:type="dxa"/>
            <w:vAlign w:val="bottom"/>
          </w:tcPr>
          <w:p>
            <w:pPr>
              <w:jc w:val="center"/>
              <w:ind w:left="590"/>
              <w:spacing w:after="0"/>
              <w:rPr>
                <w:sz w:val="20"/>
                <w:szCs w:val="20"/>
                <w:color w:val="auto"/>
              </w:rPr>
            </w:pPr>
            <w:r>
              <w:rPr>
                <w:rFonts w:ascii="Arial" w:cs="Arial" w:eastAsia="Arial" w:hAnsi="Arial"/>
                <w:sz w:val="18"/>
                <w:szCs w:val="18"/>
                <w:color w:val="auto"/>
                <w:w w:val="91"/>
              </w:rPr>
              <w:t>Zoetis Inc.</w:t>
            </w:r>
          </w:p>
        </w:tc>
      </w:tr>
    </w:tbl>
    <w:p>
      <w:pPr>
        <w:spacing w:after="0" w:line="215"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The selected peer group will be used, in conjunction with published compensation survey data, for market comparisons, benchmarking and setting executive compensation, including assessing comparisons of performance criteria, pay mix and other pay practices. We anticipate that Corteva will, in the aggregate, target executive officer compensation at the median of either the peer group or the published compensation survey data (adjusted for company revenue size), as applicable, in order to assist in the attraction, motivation, development and retention of top level executive talent. While we anticipate targeting the median for overall compensation, including the impact of both annual incentive and long-term incentive targets, actual incentive awards and overall compensation will be dependent on performance.</w:t>
      </w:r>
    </w:p>
    <w:p>
      <w:pPr>
        <w:spacing w:after="0" w:line="17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anticipate that the People and Compensation Committee will periodically reevaluate the peer group to ensure the companies in the group continue to fit Corteva’s stated selection criteria, and will make adjustments as warranted.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Considerations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Historically</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DowDuPont maintains stock ownership guidelines which required the company’s NEOs and other specified executives to hold shares with a value equal to a specified multiple of base pay. The stock ownership guidelines at DowDuPont also include a retention ratio requirement. Under the policy, until the required ownership is reached, executives are required to retain 75% of the net shares acquired upon the vesting of stock units or exercise of stock options, after deducting shares used to pay applicable taxes and/or option exercise cost.</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Going Forward</w:t>
      </w:r>
    </w:p>
    <w:p>
      <w:pPr>
        <w:spacing w:after="0" w:line="11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We anticipate that the Corteva People and Compensation Committee will institute stock ownership guidelines that will be applicable to the CEO and other executive officers. In conjunction with the guidelines, we expect that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80"/>
          </w:cols>
          <w:pgMar w:left="240" w:top="460" w:right="4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the People and Compensation Committee will also institute a retention ratio policy that will require executive officers to retain a certain percentage of net shares acquired upon any future vesting of stock units or exercise of stock options, after deducting shares used to pay applicable taxes and/or exercise price, until such time that the executive has met his or her required level of ownership.</w:t>
      </w:r>
    </w:p>
    <w:p>
      <w:pPr>
        <w:spacing w:after="0" w:line="181"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We anticipate that for purposes of the stock ownership guidelines, direct ownership of shares, unvested restricted stock units (“RSUs”) and stock units held in employee plans will be included, and that stock options and performance share units (“PSUs”) will not be included in determining whether an executive has achieved required stock ownership levels.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Anti-Hedging and Anti-Pledging Policy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Historically</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DowDuPont maintains an anti-hedging and anti-pledging policy which prohibits executive officers from trading in puts or calls in DowDuPont securities or selling DowDuPont securities short. The policy also prohibits executive officers from pledging DowDuPont securities or holding DowDuPont securities in margin accounts.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Going Forward</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We expect that Corteva will institute an anti-hedging and anti-pledging policy, and that it will be prohibited under such policy for directors and executive officers to engage in derivative or speculative transactions in Corteva securities. As such, it will be against the Corteva policy for directors and executive officers to trade in puts or calls in Corteva securities, or sell Corteva securities short. In addition, it will be against the anticipated policy for directors and executive officers to pledge Corteva securities, or hold Corteva securities in margin accounts.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Compensation Recovery (Clawback) Policy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Historically</w:t>
      </w:r>
    </w:p>
    <w:p>
      <w:pPr>
        <w:spacing w:after="0" w:line="11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DowDuPont’s clawback policy allows the company to recover incentive compensation that was based on achievement of quantitative performance targets if an executive officer engaged in grossly negligent conduct or intentional misconduct that resulted in a financial restatement or in any increase in his or her incentive compensation.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Going Forward</w:t>
      </w:r>
    </w:p>
    <w:p>
      <w:pPr>
        <w:spacing w:after="0" w:line="11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As part of its overall corporate governance structure, Corteva is expected to maintain an Executive Compensation Recovery Policy which will apply to, at a minimum, all of the company’s executive officers, including each of our NEOs. The anticipated policy is expected to allow Corteva to recover incentive compensation, including any income related to annual or long-term incentives, if an executive officer either knowingly engages in or is grossly negligent in the event of circumstances that result in a financial restatement or other material non-compliance.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and Risk Management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Historically</w:t>
      </w:r>
    </w:p>
    <w:p>
      <w:pPr>
        <w:spacing w:after="0" w:line="117"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The DowDuPont Compensation Committee periodically reviews the company’s executive compensation policies and practices in order to determine whether any incentive compensation programs create risks that are reasonably likely to have a material adverse effect on the company, and it has determined that no such risks exist.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Going Forward</w:t>
      </w:r>
    </w:p>
    <w:p>
      <w:pPr>
        <w:spacing w:after="0" w:line="117"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In accordance with the committee charter which we anticipate being approved, the People and Compensation Committee will periodically review Corteva’s compensation programs, policies and practices to determine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whether any of these encourage unnecessary or excessive risks that are reasonably likely to have a material adverse effect on Corteva. This periodic review is expected to include discussion around the relationship between the company’s risk management policies and practices, corporate strategy and compensation arrangements.</w:t>
      </w:r>
    </w:p>
    <w:p>
      <w:pPr>
        <w:spacing w:after="0" w:line="181"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The evaluation is expected to cover a wide range of practices and policies including: the balanced mix between pay elements, the balanced mix between short and long-term programs, caps on incentive payouts, governance processes in place to establish, review and approve goals, use of multiple performance measures, discretion on individual awards, use of stock ownership guidelines, provisions in severance/change in control policies, use of compensation recovery and anti-hedging/anti-pledging policies, and People and Compensation Committee oversight of compensation programs.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Compensation Decisions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Base salary is a fixed portion of compensation based primarily on an individual’s skills, job responsibilities and experience, as well as more subjective factors such as the assessment of individual performance. Base salaries for DowDuPont executives have historically been benchmarked against similar jobs at other companies, and have generally been targeted at the median of the respective peer group, after adjusting for each company’s revenue size, although in certain instances individual executives’ compensation is targeted either above or below median based upon a variety of factors including executive tenure, experience and performance.</w:t>
      </w:r>
    </w:p>
    <w:p>
      <w:pPr>
        <w:spacing w:after="0" w:line="18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2018 was a unique year, however, as the compensation decisions related to base salaries for our NEOs were made taking into account the future role that each is expected to hold at Corteva following the distribution. As such, the roles against which our NEOs were benchmarked, and the compensation relative to those roles, reflect those future positions. Because the base salaries of our NEOs at the beginning of 2018 were reflective of their then current positions with either Historical Dow or Historical DuPont, as applicable, in most cases the salaries were well below the median base salaries of their respective expected future positions with Corteva.</w:t>
      </w:r>
    </w:p>
    <w:p>
      <w:pPr>
        <w:spacing w:after="0" w:line="188" w:lineRule="exact"/>
        <w:rPr>
          <w:sz w:val="20"/>
          <w:szCs w:val="20"/>
          <w:color w:val="auto"/>
        </w:rPr>
      </w:pPr>
    </w:p>
    <w:p>
      <w:pPr>
        <w:jc w:val="both"/>
        <w:ind w:left="200" w:right="240"/>
        <w:spacing w:after="0" w:line="288" w:lineRule="auto"/>
        <w:rPr>
          <w:sz w:val="20"/>
          <w:szCs w:val="20"/>
          <w:color w:val="auto"/>
        </w:rPr>
      </w:pPr>
      <w:r>
        <w:rPr>
          <w:rFonts w:ascii="Arial" w:cs="Arial" w:eastAsia="Arial" w:hAnsi="Arial"/>
          <w:sz w:val="16"/>
          <w:szCs w:val="16"/>
          <w:color w:val="auto"/>
        </w:rPr>
        <w:t>As a result, the decision was made to approach base salaries from the perspective of a “glidepath” along which multiple adjustments would be made over a period of time. This approach allows for the adjustment of base salaries in connection with each executive’s continued growth in experience in their new role with Corteva, with the ultimate goal of targeting base salary at the median of the peer group or of the broader market, as applicable.</w:t>
      </w:r>
    </w:p>
    <w:p>
      <w:pPr>
        <w:ind w:left="200" w:right="600"/>
        <w:spacing w:after="0" w:line="261" w:lineRule="auto"/>
        <w:rPr>
          <w:sz w:val="20"/>
          <w:szCs w:val="20"/>
          <w:color w:val="auto"/>
        </w:rPr>
      </w:pPr>
      <w:r>
        <w:rPr>
          <w:rFonts w:ascii="Arial" w:cs="Arial" w:eastAsia="Arial" w:hAnsi="Arial"/>
          <w:sz w:val="18"/>
          <w:szCs w:val="18"/>
          <w:color w:val="auto"/>
        </w:rPr>
        <w:t>Accordingly, base salary actions in 2018 for our NEOs generally reflect the impact of both merit increases and market adjustments reflecting the compensation “glidepath,” with multiple adjustments made over a period of time.</w:t>
      </w:r>
    </w:p>
    <w:p>
      <w:pPr>
        <w:spacing w:after="0" w:line="184"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Base salaries for those individuals expected to be Corteva’s NEOs are shown in the table below as of December 31, 2018 and December 31, 2017, respectively. The increase for Mr. Collins represents a merit increase aligned to a general increase in base salary for his current role as Chief Operating Officer for the Agriculture division of DowDuPont. As noted above, the base salary increases for Messrs. Friedman, Gajaria, Glenn and Gutterson reflect both merit increases relative to their current roles with DowDuPont and market adjustments relative to their future roles with Corteva.</w:t>
      </w:r>
    </w:p>
    <w:p>
      <w:pPr>
        <w:spacing w:after="0" w:line="16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2017 Base</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2018 Base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02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6020" w:type="dxa"/>
            <w:vAlign w:val="bottom"/>
            <w:vMerge w:val="continue"/>
          </w:tcPr>
          <w:p>
            <w:pPr>
              <w:spacing w:after="0"/>
              <w:rPr>
                <w:sz w:val="13"/>
                <w:szCs w:val="13"/>
                <w:color w:val="auto"/>
              </w:rPr>
            </w:pPr>
          </w:p>
        </w:tc>
        <w:tc>
          <w:tcPr>
            <w:tcW w:w="8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20"/>
        </w:trPr>
        <w:tc>
          <w:tcPr>
            <w:tcW w:w="6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James C. Collins, Jr.</w:t>
            </w: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rPr>
              <w:t>(1)</w:t>
            </w: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775,000</w:t>
            </w:r>
          </w:p>
        </w:tc>
        <w:tc>
          <w:tcPr>
            <w:tcW w:w="1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800,000</w:t>
            </w:r>
          </w:p>
        </w:tc>
        <w:tc>
          <w:tcPr>
            <w:tcW w:w="4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Gregory R. Friedman</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400,000</w:t>
            </w:r>
          </w:p>
        </w:tc>
        <w:tc>
          <w:tcPr>
            <w:tcW w:w="1120" w:type="dxa"/>
            <w:vAlign w:val="bottom"/>
            <w:gridSpan w:val="2"/>
          </w:tcPr>
          <w:p>
            <w:pPr>
              <w:jc w:val="right"/>
              <w:ind w:right="383"/>
              <w:spacing w:after="0"/>
              <w:rPr>
                <w:sz w:val="20"/>
                <w:szCs w:val="20"/>
                <w:color w:val="auto"/>
              </w:rPr>
            </w:pPr>
            <w:r>
              <w:rPr>
                <w:rFonts w:ascii="Arial" w:cs="Arial" w:eastAsia="Arial" w:hAnsi="Arial"/>
                <w:sz w:val="18"/>
                <w:szCs w:val="18"/>
                <w:color w:val="auto"/>
                <w:w w:val="98"/>
              </w:rPr>
              <w:t>620,000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Gajaria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375,000</w:t>
            </w:r>
          </w:p>
        </w:tc>
        <w:tc>
          <w:tcPr>
            <w:tcW w:w="112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w w:val="98"/>
              </w:rPr>
              <w:t>500,004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Timothy P. Glenn</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425,000</w:t>
            </w:r>
          </w:p>
        </w:tc>
        <w:tc>
          <w:tcPr>
            <w:tcW w:w="1120" w:type="dxa"/>
            <w:vAlign w:val="bottom"/>
            <w:gridSpan w:val="2"/>
          </w:tcPr>
          <w:p>
            <w:pPr>
              <w:jc w:val="right"/>
              <w:ind w:right="383"/>
              <w:spacing w:after="0"/>
              <w:rPr>
                <w:sz w:val="20"/>
                <w:szCs w:val="20"/>
                <w:color w:val="auto"/>
              </w:rPr>
            </w:pPr>
            <w:r>
              <w:rPr>
                <w:rFonts w:ascii="Arial" w:cs="Arial" w:eastAsia="Arial" w:hAnsi="Arial"/>
                <w:sz w:val="18"/>
                <w:szCs w:val="18"/>
                <w:color w:val="auto"/>
                <w:w w:val="98"/>
              </w:rPr>
              <w:t>525,000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Neal Gutterson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400,000</w:t>
            </w:r>
          </w:p>
        </w:tc>
        <w:tc>
          <w:tcPr>
            <w:tcW w:w="112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w w:val="98"/>
              </w:rPr>
              <w:t>475,000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380" w:hanging="436"/>
        <w:spacing w:after="0" w:line="277" w:lineRule="auto"/>
        <w:tabs>
          <w:tab w:leader="none" w:pos="6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Subsequent to December 31, 2018, Mr. Collins’ base salary was increased to $1,050,000 in recognition of movement along the compensation “glidepath” relative to his future role as Chief Executive Officer of Corteva.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24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117" w:lineRule="exact"/>
        <w:rPr>
          <w:sz w:val="20"/>
          <w:szCs w:val="20"/>
          <w:color w:val="auto"/>
        </w:rPr>
      </w:pPr>
    </w:p>
    <w:p>
      <w:pPr>
        <w:ind w:left="200" w:right="220"/>
        <w:spacing w:after="0" w:line="297" w:lineRule="auto"/>
        <w:rPr>
          <w:sz w:val="20"/>
          <w:szCs w:val="20"/>
          <w:color w:val="auto"/>
        </w:rPr>
      </w:pPr>
      <w:r>
        <w:rPr>
          <w:rFonts w:ascii="Arial" w:cs="Arial" w:eastAsia="Arial" w:hAnsi="Arial"/>
          <w:sz w:val="16"/>
          <w:szCs w:val="16"/>
          <w:color w:val="auto"/>
        </w:rPr>
        <w:t>The DowDuPont Compensation Committee determined that there would be a common set of metrics and overall design for all participants under the 2018 annual incentive programs. Each of our NEOs was aligned to the performance of both overall DowDuPont Operating Net Income and Operating EBITDA of the Agriculture Division of DowDuPont, with the weighting of each metric varying by position. Each of these metrics ranged in payout between 50 percent at threshold performance (with zero payout below threshold) and 200 percent at maximum performance. Individual performance factors ranged from 0 percent to 150 percent. Individual awards were capped at a maximum payout of 200 percent.</w:t>
      </w:r>
    </w:p>
    <w:p>
      <w:pPr>
        <w:spacing w:after="0" w:line="158"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The table below highlights the business performance range for each metric, the weightings of each metric applicable to each of our NEOs, the 2018 results relative to the business performance, and the payout percentage for each metric individually, as well as the overall weighted payout, for each of our NEOs: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Threshold</w:t>
            </w:r>
          </w:p>
        </w:tc>
        <w:tc>
          <w:tcPr>
            <w:tcW w:w="220" w:type="dxa"/>
            <w:vAlign w:val="bottom"/>
          </w:tcPr>
          <w:p>
            <w:pPr>
              <w:spacing w:after="0"/>
              <w:rPr>
                <w:sz w:val="14"/>
                <w:szCs w:val="14"/>
                <w:color w:val="auto"/>
              </w:rPr>
            </w:pPr>
          </w:p>
        </w:tc>
        <w:tc>
          <w:tcPr>
            <w:tcW w:w="700" w:type="dxa"/>
            <w:vAlign w:val="bottom"/>
          </w:tcPr>
          <w:p>
            <w:pPr>
              <w:jc w:val="right"/>
              <w:ind w:right="79"/>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6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6"/>
              </w:rPr>
              <w:t>Metric</w:t>
            </w:r>
          </w:p>
        </w:tc>
        <w:tc>
          <w:tcPr>
            <w:tcW w:w="1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Overall</w:t>
            </w:r>
          </w:p>
        </w:tc>
        <w:tc>
          <w:tcPr>
            <w:tcW w:w="0" w:type="dxa"/>
            <w:vAlign w:val="bottom"/>
          </w:tcPr>
          <w:p>
            <w:pPr>
              <w:spacing w:after="0"/>
              <w:rPr>
                <w:sz w:val="1"/>
                <w:szCs w:val="1"/>
                <w:color w:val="auto"/>
              </w:rPr>
            </w:pPr>
          </w:p>
        </w:tc>
      </w:tr>
      <w:tr>
        <w:trPr>
          <w:trHeight w:val="149"/>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Employee Group</w:t>
            </w:r>
          </w:p>
        </w:tc>
        <w:tc>
          <w:tcPr>
            <w:tcW w:w="160" w:type="dxa"/>
            <w:vAlign w:val="bottom"/>
          </w:tcPr>
          <w:p>
            <w:pPr>
              <w:spacing w:after="0"/>
              <w:rPr>
                <w:sz w:val="12"/>
                <w:szCs w:val="12"/>
                <w:color w:val="auto"/>
              </w:rPr>
            </w:pPr>
          </w:p>
        </w:tc>
        <w:tc>
          <w:tcPr>
            <w:tcW w:w="16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Metric</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millions)</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millions)</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millions)</w:t>
            </w:r>
          </w:p>
        </w:tc>
        <w:tc>
          <w:tcPr>
            <w:tcW w:w="900" w:type="dxa"/>
            <w:vAlign w:val="bottom"/>
            <w:gridSpan w:val="3"/>
            <w:vMerge w:val="restart"/>
          </w:tcPr>
          <w:p>
            <w:pPr>
              <w:jc w:val="right"/>
              <w:ind w:right="170"/>
              <w:spacing w:after="0"/>
              <w:rPr>
                <w:sz w:val="20"/>
                <w:szCs w:val="20"/>
                <w:color w:val="auto"/>
              </w:rPr>
            </w:pPr>
            <w:r>
              <w:rPr>
                <w:rFonts w:ascii="Arial" w:cs="Arial" w:eastAsia="Arial" w:hAnsi="Arial"/>
                <w:sz w:val="14"/>
                <w:szCs w:val="14"/>
                <w:b w:val="1"/>
                <w:bCs w:val="1"/>
                <w:color w:val="auto"/>
              </w:rPr>
              <w:t>Weight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Actual</w:t>
            </w:r>
          </w:p>
        </w:tc>
        <w:tc>
          <w:tcPr>
            <w:tcW w:w="66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880" w:type="dxa"/>
            <w:vAlign w:val="bottom"/>
            <w:gridSpan w:val="2"/>
          </w:tcPr>
          <w:p>
            <w:pPr>
              <w:jc w:val="right"/>
              <w:ind w:right="99"/>
              <w:spacing w:after="0" w:line="158" w:lineRule="exact"/>
              <w:rPr>
                <w:sz w:val="20"/>
                <w:szCs w:val="20"/>
                <w:color w:val="auto"/>
              </w:rPr>
            </w:pPr>
            <w:r>
              <w:rPr>
                <w:rFonts w:ascii="Arial" w:cs="Arial" w:eastAsia="Arial" w:hAnsi="Arial"/>
                <w:sz w:val="14"/>
                <w:szCs w:val="14"/>
                <w:b w:val="1"/>
                <w:bCs w:val="1"/>
                <w:color w:val="auto"/>
              </w:rPr>
              <w:t>(50%)</w:t>
            </w:r>
          </w:p>
        </w:tc>
        <w:tc>
          <w:tcPr>
            <w:tcW w:w="920" w:type="dxa"/>
            <w:vAlign w:val="bottom"/>
            <w:gridSpan w:val="2"/>
          </w:tcPr>
          <w:p>
            <w:pPr>
              <w:jc w:val="right"/>
              <w:ind w:right="59"/>
              <w:spacing w:after="0" w:line="158" w:lineRule="exact"/>
              <w:rPr>
                <w:sz w:val="20"/>
                <w:szCs w:val="20"/>
                <w:color w:val="auto"/>
              </w:rPr>
            </w:pPr>
            <w:r>
              <w:rPr>
                <w:rFonts w:ascii="Arial" w:cs="Arial" w:eastAsia="Arial" w:hAnsi="Arial"/>
                <w:sz w:val="14"/>
                <w:szCs w:val="14"/>
                <w:b w:val="1"/>
                <w:bCs w:val="1"/>
                <w:color w:val="auto"/>
              </w:rPr>
              <w:t>(100%)</w:t>
            </w:r>
          </w:p>
        </w:tc>
        <w:tc>
          <w:tcPr>
            <w:tcW w:w="920" w:type="dxa"/>
            <w:vAlign w:val="bottom"/>
            <w:gridSpan w:val="2"/>
          </w:tcPr>
          <w:p>
            <w:pPr>
              <w:jc w:val="right"/>
              <w:ind w:right="59"/>
              <w:spacing w:after="0" w:line="158" w:lineRule="exact"/>
              <w:rPr>
                <w:sz w:val="20"/>
                <w:szCs w:val="20"/>
                <w:color w:val="auto"/>
              </w:rPr>
            </w:pPr>
            <w:r>
              <w:rPr>
                <w:rFonts w:ascii="Arial" w:cs="Arial" w:eastAsia="Arial" w:hAnsi="Arial"/>
                <w:sz w:val="14"/>
                <w:szCs w:val="14"/>
                <w:b w:val="1"/>
                <w:bCs w:val="1"/>
                <w:color w:val="auto"/>
              </w:rPr>
              <w:t>(200%)</w:t>
            </w:r>
          </w:p>
        </w:tc>
        <w:tc>
          <w:tcPr>
            <w:tcW w:w="900" w:type="dxa"/>
            <w:vAlign w:val="bottom"/>
            <w:gridSpan w:val="3"/>
            <w:vMerge w:val="continue"/>
          </w:tcPr>
          <w:p>
            <w:pPr>
              <w:spacing w:after="0"/>
              <w:rPr>
                <w:sz w:val="13"/>
                <w:szCs w:val="13"/>
                <w:color w:val="auto"/>
              </w:rPr>
            </w:pPr>
          </w:p>
        </w:tc>
        <w:tc>
          <w:tcPr>
            <w:tcW w:w="104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millions)</w:t>
            </w:r>
          </w:p>
        </w:tc>
        <w:tc>
          <w:tcPr>
            <w:tcW w:w="660" w:type="dxa"/>
            <w:vAlign w:val="bottom"/>
            <w:gridSpan w:val="2"/>
          </w:tcPr>
          <w:p>
            <w:pPr>
              <w:jc w:val="center"/>
              <w:ind w:right="130"/>
              <w:spacing w:after="0" w:line="158" w:lineRule="exact"/>
              <w:rPr>
                <w:sz w:val="20"/>
                <w:szCs w:val="20"/>
                <w:color w:val="auto"/>
              </w:rPr>
            </w:pPr>
            <w:r>
              <w:rPr>
                <w:rFonts w:ascii="Arial" w:cs="Arial" w:eastAsia="Arial" w:hAnsi="Arial"/>
                <w:sz w:val="14"/>
                <w:szCs w:val="14"/>
                <w:b w:val="1"/>
                <w:bCs w:val="1"/>
                <w:color w:val="auto"/>
                <w:w w:val="94"/>
              </w:rPr>
              <w:t>Payout</w:t>
            </w:r>
          </w:p>
        </w:tc>
        <w:tc>
          <w:tcPr>
            <w:tcW w:w="160" w:type="dxa"/>
            <w:vAlign w:val="bottom"/>
          </w:tcPr>
          <w:p>
            <w:pPr>
              <w:spacing w:after="0"/>
              <w:rPr>
                <w:sz w:val="13"/>
                <w:szCs w:val="13"/>
                <w:color w:val="auto"/>
              </w:rPr>
            </w:pPr>
          </w:p>
        </w:tc>
        <w:tc>
          <w:tcPr>
            <w:tcW w:w="9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DowDuPont Agriculture Division</w:t>
            </w:r>
          </w:p>
        </w:tc>
        <w:tc>
          <w:tcPr>
            <w:tcW w:w="1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DowDuPont Operating</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   8,086</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   9,513</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  10,940</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6"/>
              </w:rPr>
              <w:t>$   9,564</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103.6</w:t>
            </w: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COO (Collins)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51.8%</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Agriculture Division</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2,714</w:t>
            </w: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3,193</w:t>
            </w:r>
          </w:p>
        </w:tc>
        <w:tc>
          <w:tcPr>
            <w:tcW w:w="9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3,672</w:t>
            </w:r>
          </w:p>
        </w:tc>
        <w:tc>
          <w:tcPr>
            <w:tcW w:w="900" w:type="dxa"/>
            <w:vAlign w:val="bottom"/>
            <w:gridSpan w:val="3"/>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50%</w:t>
            </w:r>
          </w:p>
        </w:tc>
        <w:tc>
          <w:tcPr>
            <w:tcW w:w="8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2,705</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Operating EBITDA</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820" w:type="dxa"/>
            <w:vAlign w:val="bottom"/>
            <w:gridSpan w:val="3"/>
          </w:tcPr>
          <w:p>
            <w:pPr>
              <w:spacing w:after="0"/>
              <w:rPr>
                <w:sz w:val="20"/>
                <w:szCs w:val="20"/>
                <w:color w:val="auto"/>
              </w:rPr>
            </w:pPr>
            <w:r>
              <w:rPr>
                <w:rFonts w:ascii="Arial" w:cs="Arial" w:eastAsia="Arial" w:hAnsi="Arial"/>
                <w:sz w:val="18"/>
                <w:szCs w:val="18"/>
                <w:color w:val="auto"/>
              </w:rPr>
              <w:t>DowDuPont Agriculture Division</w:t>
            </w: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w w:val="92"/>
              </w:rPr>
              <w:t>DowDuPont Operating</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10,940</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9,564</w:t>
            </w:r>
          </w:p>
        </w:tc>
        <w:tc>
          <w:tcPr>
            <w:tcW w:w="2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4"/>
              </w:rPr>
              <w:t>103.6%</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Employees (all other Corteva</w:t>
            </w: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vMerge w:val="restart"/>
          </w:tcPr>
          <w:p>
            <w:pPr>
              <w:ind w:left="3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8"/>
                <w:szCs w:val="18"/>
                <w:color w:val="auto"/>
              </w:rPr>
              <w:t>NEOs)</w:t>
            </w:r>
          </w:p>
        </w:tc>
        <w:tc>
          <w:tcPr>
            <w:tcW w:w="1840" w:type="dxa"/>
            <w:vAlign w:val="bottom"/>
            <w:gridSpan w:val="2"/>
            <w:vMerge w:val="restart"/>
          </w:tcPr>
          <w:p>
            <w:pPr>
              <w:ind w:left="160"/>
              <w:spacing w:after="0"/>
              <w:rPr>
                <w:sz w:val="20"/>
                <w:szCs w:val="20"/>
                <w:color w:val="auto"/>
              </w:rPr>
            </w:pPr>
            <w:r>
              <w:rPr>
                <w:rFonts w:ascii="Arial" w:cs="Arial" w:eastAsia="Arial" w:hAnsi="Arial"/>
                <w:sz w:val="18"/>
                <w:szCs w:val="18"/>
                <w:color w:val="auto"/>
              </w:rPr>
              <w:t>Agriculture Division</w:t>
            </w:r>
          </w:p>
        </w:tc>
        <w:tc>
          <w:tcPr>
            <w:tcW w:w="880" w:type="dxa"/>
            <w:vAlign w:val="bottom"/>
            <w:gridSpan w:val="2"/>
            <w:vMerge w:val="restart"/>
          </w:tcPr>
          <w:p>
            <w:pPr>
              <w:jc w:val="right"/>
              <w:ind w:right="79"/>
              <w:spacing w:after="0"/>
              <w:rPr>
                <w:sz w:val="20"/>
                <w:szCs w:val="20"/>
                <w:color w:val="auto"/>
              </w:rPr>
            </w:pPr>
            <w:r>
              <w:rPr>
                <w:rFonts w:ascii="Arial" w:cs="Arial" w:eastAsia="Arial" w:hAnsi="Arial"/>
                <w:sz w:val="18"/>
                <w:szCs w:val="18"/>
                <w:color w:val="auto"/>
              </w:rPr>
              <w:t>2,714</w:t>
            </w: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8"/>
                <w:szCs w:val="18"/>
                <w:color w:val="auto"/>
              </w:rPr>
              <w:t>3,193</w:t>
            </w:r>
          </w:p>
        </w:tc>
        <w:tc>
          <w:tcPr>
            <w:tcW w:w="920" w:type="dxa"/>
            <w:vAlign w:val="bottom"/>
            <w:gridSpan w:val="2"/>
            <w:vMerge w:val="restart"/>
          </w:tcPr>
          <w:p>
            <w:pPr>
              <w:jc w:val="right"/>
              <w:ind w:right="79"/>
              <w:spacing w:after="0"/>
              <w:rPr>
                <w:sz w:val="20"/>
                <w:szCs w:val="20"/>
                <w:color w:val="auto"/>
              </w:rPr>
            </w:pPr>
            <w:r>
              <w:rPr>
                <w:rFonts w:ascii="Arial" w:cs="Arial" w:eastAsia="Arial" w:hAnsi="Arial"/>
                <w:sz w:val="18"/>
                <w:szCs w:val="18"/>
                <w:color w:val="auto"/>
              </w:rPr>
              <w:t>3,672</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0"/>
                <w:szCs w:val="10"/>
                <w:color w:val="auto"/>
              </w:rPr>
            </w:pPr>
          </w:p>
        </w:tc>
        <w:tc>
          <w:tcPr>
            <w:tcW w:w="820" w:type="dxa"/>
            <w:vAlign w:val="bottom"/>
            <w:gridSpan w:val="2"/>
            <w:vMerge w:val="restart"/>
          </w:tcPr>
          <w:p>
            <w:pPr>
              <w:jc w:val="right"/>
              <w:ind w:right="79"/>
              <w:spacing w:after="0"/>
              <w:rPr>
                <w:sz w:val="20"/>
                <w:szCs w:val="20"/>
                <w:color w:val="auto"/>
              </w:rPr>
            </w:pPr>
            <w:r>
              <w:rPr>
                <w:rFonts w:ascii="Arial" w:cs="Arial" w:eastAsia="Arial" w:hAnsi="Arial"/>
                <w:sz w:val="18"/>
                <w:szCs w:val="18"/>
                <w:color w:val="auto"/>
              </w:rPr>
              <w:t>2,705</w:t>
            </w:r>
          </w:p>
        </w:tc>
        <w:tc>
          <w:tcPr>
            <w:tcW w:w="22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180"/>
        <w:spacing w:after="0"/>
        <w:rPr>
          <w:sz w:val="20"/>
          <w:szCs w:val="20"/>
          <w:color w:val="auto"/>
        </w:rPr>
      </w:pPr>
      <w:r>
        <w:rPr>
          <w:rFonts w:ascii="Arial" w:cs="Arial" w:eastAsia="Arial" w:hAnsi="Arial"/>
          <w:sz w:val="18"/>
          <w:szCs w:val="18"/>
          <w:color w:val="auto"/>
        </w:rPr>
        <w:t>Operating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46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640" w:right="40" w:hanging="436"/>
        <w:spacing w:after="0" w:line="273" w:lineRule="auto"/>
        <w:tabs>
          <w:tab w:leader="none" w:pos="6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Under the annual incentive program, the DowDuPont Compensation Committee maintained the ability to exercise discretion in determining the actual payout of award for any of the DowDuPont executive officers. Due to the fact that the Operating EBITDA results for the Agriculture Division were below threshold, the greater weighting on overall DowDuPont Operating Net Income for Mr. Collins would have resulted in a higher overall payout in comparison to our other NEOs, whose payout was more heavily aligned with Agriculture Division Operating EBITDA results. Taking these factors into account, the DowDuPont Compensation Committee exercised negative discretion in bringing Mr. Collins’ overall payout factor to 31.1% in order to better link his actual award to the performance of the Agriculture Division.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metrics used in the 2018 annual incentive program are non-GAAP measures, and are defined as follows for purposes of the incentive program:</w:t>
      </w:r>
    </w:p>
    <w:p>
      <w:pPr>
        <w:spacing w:after="0" w:line="150" w:lineRule="exact"/>
        <w:rPr>
          <w:sz w:val="20"/>
          <w:szCs w:val="20"/>
          <w:color w:val="auto"/>
        </w:rPr>
      </w:pPr>
    </w:p>
    <w:p>
      <w:pPr>
        <w:ind w:left="1060" w:right="120" w:hanging="316"/>
        <w:spacing w:after="0" w:line="258" w:lineRule="auto"/>
        <w:tabs>
          <w:tab w:leader="none" w:pos="1060" w:val="left"/>
        </w:tabs>
        <w:numPr>
          <w:ilvl w:val="0"/>
          <w:numId w:val="247"/>
        </w:numPr>
        <w:rPr>
          <w:rFonts w:ascii="Arial" w:cs="Arial" w:eastAsia="Arial" w:hAnsi="Arial"/>
          <w:sz w:val="18"/>
          <w:szCs w:val="18"/>
          <w:color w:val="auto"/>
        </w:rPr>
      </w:pPr>
      <w:r>
        <w:rPr>
          <w:rFonts w:ascii="Arial" w:cs="Arial" w:eastAsia="Arial" w:hAnsi="Arial"/>
          <w:sz w:val="18"/>
          <w:szCs w:val="18"/>
          <w:b w:val="1"/>
          <w:bCs w:val="1"/>
          <w:color w:val="auto"/>
        </w:rPr>
        <w:t xml:space="preserve">DowDuPont Operating Net Income: </w:t>
      </w:r>
      <w:r>
        <w:rPr>
          <w:rFonts w:ascii="Arial" w:cs="Arial" w:eastAsia="Arial" w:hAnsi="Arial"/>
          <w:sz w:val="18"/>
          <w:szCs w:val="18"/>
          <w:color w:val="auto"/>
        </w:rPr>
        <w:t>Net income available for DowDuPont common stockholders, excluding the after-tax impact of</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items and the after-tax impact of amortization expense associated with Historical DuPont’s intangible assets. DowDuPont excludes the impact of significant items from both presentations to investors and from its executive compensation performance calculations because they are not reflective of underlying operations for the particular period in which they are recorded and, therefore, could mask underlying operating trends.</w:t>
      </w:r>
    </w:p>
    <w:p>
      <w:pPr>
        <w:spacing w:after="0" w:line="89" w:lineRule="exact"/>
        <w:rPr>
          <w:rFonts w:ascii="Arial" w:cs="Arial" w:eastAsia="Arial" w:hAnsi="Arial"/>
          <w:sz w:val="18"/>
          <w:szCs w:val="18"/>
          <w:color w:val="auto"/>
        </w:rPr>
      </w:pPr>
    </w:p>
    <w:p>
      <w:pPr>
        <w:ind w:left="1060" w:right="400" w:hanging="316"/>
        <w:spacing w:after="0" w:line="266" w:lineRule="auto"/>
        <w:tabs>
          <w:tab w:leader="none" w:pos="1060" w:val="left"/>
        </w:tabs>
        <w:numPr>
          <w:ilvl w:val="0"/>
          <w:numId w:val="247"/>
        </w:numPr>
        <w:rPr>
          <w:rFonts w:ascii="Arial" w:cs="Arial" w:eastAsia="Arial" w:hAnsi="Arial"/>
          <w:sz w:val="18"/>
          <w:szCs w:val="18"/>
          <w:color w:val="auto"/>
        </w:rPr>
      </w:pPr>
      <w:r>
        <w:rPr>
          <w:rFonts w:ascii="Arial" w:cs="Arial" w:eastAsia="Arial" w:hAnsi="Arial"/>
          <w:sz w:val="18"/>
          <w:szCs w:val="18"/>
          <w:b w:val="1"/>
          <w:bCs w:val="1"/>
          <w:color w:val="auto"/>
        </w:rPr>
        <w:t xml:space="preserve">Agriculture Division Operating EBITDA: </w:t>
      </w:r>
      <w:r>
        <w:rPr>
          <w:rFonts w:ascii="Arial" w:cs="Arial" w:eastAsia="Arial" w:hAnsi="Arial"/>
          <w:sz w:val="18"/>
          <w:szCs w:val="18"/>
          <w:color w:val="auto"/>
        </w:rPr>
        <w:t>Earnings (i.e., income from continuing operations before income taxes) before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amortization and foreign exchange gains (losses), excluding the impact of significant items, for DowDuPont’s Agriculture division.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240" w:top="460" w:right="41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reflects the calculation of the 2018 annual incentive payments for each of the Corteva NEOs: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Year End</w:t>
            </w:r>
          </w:p>
        </w:tc>
        <w:tc>
          <w:tcPr>
            <w:tcW w:w="3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Target</w:t>
            </w:r>
          </w:p>
        </w:tc>
        <w:tc>
          <w:tcPr>
            <w:tcW w:w="18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8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38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Individual</w:t>
            </w:r>
          </w:p>
        </w:tc>
        <w:tc>
          <w:tcPr>
            <w:tcW w:w="18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Base</w:t>
            </w: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Business</w:t>
            </w:r>
          </w:p>
        </w:tc>
        <w:tc>
          <w:tcPr>
            <w:tcW w:w="1040" w:type="dxa"/>
            <w:vAlign w:val="bottom"/>
            <w:gridSpan w:val="2"/>
          </w:tcPr>
          <w:p>
            <w:pPr>
              <w:jc w:val="center"/>
              <w:ind w:left="113"/>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Salary ($)</w:t>
            </w:r>
          </w:p>
        </w:tc>
        <w:tc>
          <w:tcPr>
            <w:tcW w:w="3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6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weighted</w:t>
            </w: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65"/>
        </w:trPr>
        <w:tc>
          <w:tcPr>
            <w:tcW w:w="2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380" w:type="dxa"/>
            <w:vAlign w:val="bottom"/>
          </w:tcPr>
          <w:p>
            <w:pPr>
              <w:spacing w:after="0"/>
              <w:rPr>
                <w:sz w:val="14"/>
                <w:szCs w:val="14"/>
                <w:color w:val="auto"/>
              </w:rPr>
            </w:pPr>
          </w:p>
        </w:tc>
        <w:tc>
          <w:tcPr>
            <w:tcW w:w="9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4"/>
                <w:szCs w:val="14"/>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w:t>
            </w:r>
          </w:p>
        </w:tc>
        <w:tc>
          <w:tcPr>
            <w:tcW w:w="380" w:type="dxa"/>
            <w:vAlign w:val="bottom"/>
          </w:tcPr>
          <w:p>
            <w:pPr>
              <w:spacing w:after="0"/>
              <w:rPr>
                <w:sz w:val="14"/>
                <w:szCs w:val="14"/>
                <w:color w:val="auto"/>
              </w:rPr>
            </w:pPr>
          </w:p>
        </w:tc>
        <w:tc>
          <w:tcPr>
            <w:tcW w:w="13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4"/>
                <w:szCs w:val="14"/>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Payout (e)</w:t>
            </w:r>
          </w:p>
        </w:tc>
        <w:tc>
          <w:tcPr>
            <w:tcW w:w="380" w:type="dxa"/>
            <w:vAlign w:val="bottom"/>
          </w:tcPr>
          <w:p>
            <w:pPr>
              <w:spacing w:after="0"/>
              <w:rPr>
                <w:sz w:val="14"/>
                <w:szCs w:val="14"/>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Factor (f)</w:t>
            </w:r>
          </w:p>
        </w:tc>
        <w:tc>
          <w:tcPr>
            <w:tcW w:w="180" w:type="dxa"/>
            <w:vAlign w:val="bottom"/>
          </w:tcPr>
          <w:p>
            <w:pPr>
              <w:spacing w:after="0"/>
              <w:rPr>
                <w:sz w:val="14"/>
                <w:szCs w:val="14"/>
                <w:color w:val="auto"/>
              </w:rPr>
            </w:pPr>
          </w:p>
        </w:tc>
        <w:tc>
          <w:tcPr>
            <w:tcW w:w="7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(a * b)</w:t>
            </w:r>
          </w:p>
        </w:tc>
        <w:tc>
          <w:tcPr>
            <w:tcW w:w="3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(c * d)</w:t>
            </w:r>
          </w:p>
        </w:tc>
        <w:tc>
          <w:tcPr>
            <w:tcW w:w="3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(e * 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Collins, Jr.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6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248,800</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Gregory R. Friedman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620,000</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372,000</w:t>
            </w:r>
          </w:p>
        </w:tc>
        <w:tc>
          <w:tcPr>
            <w:tcW w:w="1680" w:type="dxa"/>
            <w:vAlign w:val="bottom"/>
            <w:gridSpan w:val="3"/>
          </w:tcPr>
          <w:p>
            <w:pPr>
              <w:ind w:left="860"/>
              <w:spacing w:after="0"/>
              <w:rPr>
                <w:sz w:val="20"/>
                <w:szCs w:val="20"/>
                <w:color w:val="auto"/>
              </w:rPr>
            </w:pPr>
            <w:r>
              <w:rPr>
                <w:rFonts w:ascii="Arial" w:cs="Arial" w:eastAsia="Arial" w:hAnsi="Arial"/>
                <w:sz w:val="18"/>
                <w:szCs w:val="18"/>
                <w:color w:val="auto"/>
              </w:rPr>
              <w:t>31.1%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115,692</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115,692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Gajaria</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500,004</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350,003</w:t>
            </w:r>
          </w:p>
        </w:tc>
        <w:tc>
          <w:tcPr>
            <w:tcW w:w="16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108,851</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Timothy P. Glenn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525,000</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367,500</w:t>
            </w:r>
          </w:p>
        </w:tc>
        <w:tc>
          <w:tcPr>
            <w:tcW w:w="1680" w:type="dxa"/>
            <w:vAlign w:val="bottom"/>
            <w:gridSpan w:val="3"/>
          </w:tcPr>
          <w:p>
            <w:pPr>
              <w:ind w:left="860"/>
              <w:spacing w:after="0"/>
              <w:rPr>
                <w:sz w:val="20"/>
                <w:szCs w:val="20"/>
                <w:color w:val="auto"/>
              </w:rPr>
            </w:pPr>
            <w:r>
              <w:rPr>
                <w:rFonts w:ascii="Arial" w:cs="Arial" w:eastAsia="Arial" w:hAnsi="Arial"/>
                <w:sz w:val="18"/>
                <w:szCs w:val="18"/>
                <w:color w:val="auto"/>
              </w:rPr>
              <w:t>31.1%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114,293</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Neal Gutterson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332,500</w:t>
            </w:r>
          </w:p>
        </w:tc>
        <w:tc>
          <w:tcPr>
            <w:tcW w:w="16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103,408</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308" w:lineRule="auto"/>
        <w:tabs>
          <w:tab w:leader="none" w:pos="6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As noted previously, although the Total Business Performance for Mr. Collins was 51.8%, the DowDuPont Compensation Committee exercised discretion in reducing the payout factor to 31.1% to better align to the performance of the Agriculture Division.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Incentive (LTI) Compensation</w:t>
      </w:r>
    </w:p>
    <w:p>
      <w:pPr>
        <w:spacing w:after="0" w:line="117"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Prior to the Merger, both Historical Dow and Historical DuPont maintained LTI programs which utilized various equity types, including non-qualified stock options, RSUs and PSUs, the mix of which varied by employee level. In light of the anticipated timing of DowDuPont’s separation into three independent, publicly traded companies, as well as the fact that 2018 was expected to be the only full calendar year for the combined company, the DowDuPont Compensation Committee determined that PSUs (other than the 2017 Synergy Grants described below) were not an appropriate form of award given the three year measurement convention utilized previously at both Historical Dow and Historical DuPont. As a result, in February 2018 the DowDuPont Compensation Committee determined that the 2018 LTI grants for all DowDuPont executive officers would be made in the form of non-qualified stock options, and approved the LTI grant for Mr. Collins.</w:t>
      </w:r>
    </w:p>
    <w:p>
      <w:pPr>
        <w:spacing w:after="0" w:line="178"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The approval of LTI awards for employees of Historical Dow and Historical DuPont (other than the executive officers of DowDuPont), including the determination of the form of such awards, was left to the respective compensation subcommittees. The DuPont Subcommittee determined that the 2018 LTI grants for Messrs. Friedman, Glenn and Gutterson would be made in the form of non-qualified stock options. The Dow Subcommittee determined that the 2018 LTI grant for Mr. Gajaria would be split equally in value between non-qualified stock options and RSUs. See the Summary Compensation Table in the section entitled “Executive Compensation” for more information on the 2018 LTI grants for the Corteva NEOs.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Synergy and Speed to Spin Incentives</w:t>
      </w:r>
    </w:p>
    <w:p>
      <w:pPr>
        <w:spacing w:after="0" w:line="117" w:lineRule="exact"/>
        <w:rPr>
          <w:sz w:val="20"/>
          <w:szCs w:val="20"/>
          <w:color w:val="auto"/>
        </w:rPr>
      </w:pPr>
    </w:p>
    <w:p>
      <w:pPr>
        <w:ind w:left="200" w:right="520"/>
        <w:spacing w:after="0" w:line="312" w:lineRule="auto"/>
        <w:rPr>
          <w:sz w:val="20"/>
          <w:szCs w:val="20"/>
          <w:color w:val="auto"/>
        </w:rPr>
      </w:pPr>
      <w:r>
        <w:rPr>
          <w:rFonts w:ascii="Arial" w:cs="Arial" w:eastAsia="Arial" w:hAnsi="Arial"/>
          <w:sz w:val="16"/>
          <w:szCs w:val="16"/>
          <w:color w:val="auto"/>
        </w:rPr>
        <w:t>As noted above, following the Merger, DowDuPont in 2017 made grants of PSUs (the “Synergy Grants”) to certain executive officers, including Mr. Collins. Additionally, cash-based incentive awards were granted in 2018 to other executives across the organization (the “Incentive Awards”), including to each of Messrs. Friedman, Gajaria, Glenn and Gutterson. These awards were generally designed to incentivize:</w:t>
      </w:r>
    </w:p>
    <w:p>
      <w:pPr>
        <w:spacing w:after="0" w:line="52" w:lineRule="exact"/>
        <w:rPr>
          <w:sz w:val="20"/>
          <w:szCs w:val="20"/>
          <w:color w:val="auto"/>
        </w:rPr>
      </w:pPr>
    </w:p>
    <w:p>
      <w:pPr>
        <w:ind w:left="1060" w:right="440" w:hanging="316"/>
        <w:spacing w:after="0" w:line="277" w:lineRule="auto"/>
        <w:tabs>
          <w:tab w:leader="none" w:pos="10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Targeted cost synergies of $3 billion on a run-rate basis for either DowDuPont or for an executive’s applicable division (DowDuPont is performing above target and has committed to deliver run-rate cost synergies of $3.6 billion);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Timely realization of the distributions of Dow and Corteva</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240" w:top="459" w:right="41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general parameters of the Synergy Grants and Incentive Awards are outlined below:</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w w:val="94"/>
              </w:rPr>
              <w:t>Business Performance and Payout Ranges</w:t>
            </w:r>
            <w:r>
              <w:rPr>
                <w:rFonts w:ascii="Arial" w:cs="Arial" w:eastAsia="Arial" w:hAnsi="Arial"/>
                <w:sz w:val="12"/>
                <w:szCs w:val="12"/>
                <w:b w:val="1"/>
                <w:bCs w:val="1"/>
                <w:color w:val="auto"/>
                <w:w w:val="94"/>
              </w:rPr>
              <w:t>(1),(2)</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417"/>
              <w:spacing w:after="0" w:line="119" w:lineRule="exact"/>
              <w:rPr>
                <w:sz w:val="20"/>
                <w:szCs w:val="20"/>
                <w:color w:val="auto"/>
              </w:rPr>
            </w:pPr>
            <w:r>
              <w:rPr>
                <w:rFonts w:ascii="Arial" w:cs="Arial" w:eastAsia="Arial" w:hAnsi="Arial"/>
                <w:sz w:val="13"/>
                <w:szCs w:val="13"/>
                <w:b w:val="1"/>
                <w:bCs w:val="1"/>
                <w:color w:val="auto"/>
              </w:rPr>
              <w:t>Threshold ($)</w:t>
            </w:r>
          </w:p>
        </w:tc>
        <w:tc>
          <w:tcPr>
            <w:tcW w:w="740" w:type="dxa"/>
            <w:vAlign w:val="bottom"/>
          </w:tcPr>
          <w:p>
            <w:pPr>
              <w:spacing w:after="0"/>
              <w:rPr>
                <w:sz w:val="10"/>
                <w:szCs w:val="10"/>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Target ($)</w:t>
            </w:r>
          </w:p>
        </w:tc>
        <w:tc>
          <w:tcPr>
            <w:tcW w:w="10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Maximum ($)</w:t>
            </w:r>
          </w:p>
        </w:tc>
        <w:tc>
          <w:tcPr>
            <w:tcW w:w="0" w:type="dxa"/>
            <w:vAlign w:val="bottom"/>
          </w:tcPr>
          <w:p>
            <w:pPr>
              <w:spacing w:after="0"/>
              <w:rPr>
                <w:sz w:val="1"/>
                <w:szCs w:val="1"/>
                <w:color w:val="auto"/>
              </w:rPr>
            </w:pPr>
          </w:p>
        </w:tc>
      </w:tr>
      <w:tr>
        <w:trPr>
          <w:trHeight w:val="149"/>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Metric</w:t>
            </w:r>
          </w:p>
        </w:tc>
        <w:tc>
          <w:tcPr>
            <w:tcW w:w="1440" w:type="dxa"/>
            <w:vAlign w:val="bottom"/>
            <w:gridSpan w:val="2"/>
            <w:vMerge w:val="restart"/>
          </w:tcPr>
          <w:p>
            <w:pPr>
              <w:jc w:val="center"/>
              <w:ind w:left="554"/>
              <w:spacing w:after="0"/>
              <w:rPr>
                <w:sz w:val="20"/>
                <w:szCs w:val="20"/>
                <w:color w:val="auto"/>
              </w:rPr>
            </w:pPr>
            <w:r>
              <w:rPr>
                <w:rFonts w:ascii="Arial" w:cs="Arial" w:eastAsia="Arial" w:hAnsi="Arial"/>
                <w:sz w:val="14"/>
                <w:szCs w:val="14"/>
                <w:b w:val="1"/>
                <w:bCs w:val="1"/>
                <w:color w:val="auto"/>
                <w:w w:val="92"/>
              </w:rPr>
              <w:t>Weighting</w:t>
            </w:r>
            <w:r>
              <w:rPr>
                <w:rFonts w:ascii="Arial" w:cs="Arial" w:eastAsia="Arial" w:hAnsi="Arial"/>
                <w:sz w:val="12"/>
                <w:szCs w:val="12"/>
                <w:b w:val="1"/>
                <w:bCs w:val="1"/>
                <w:color w:val="auto"/>
                <w:w w:val="92"/>
              </w:rPr>
              <w:t>(3)</w:t>
            </w:r>
          </w:p>
        </w:tc>
        <w:tc>
          <w:tcPr>
            <w:tcW w:w="25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(Synergy Metric: 50% Payout</w:t>
            </w:r>
          </w:p>
        </w:tc>
        <w:tc>
          <w:tcPr>
            <w:tcW w:w="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20" w:type="dxa"/>
            <w:vAlign w:val="bottom"/>
            <w:gridSpan w:val="3"/>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9"/>
              </w:rPr>
              <w:t>Spin Metrics: 25% Payout)</w:t>
            </w:r>
          </w:p>
        </w:tc>
        <w:tc>
          <w:tcPr>
            <w:tcW w:w="2300" w:type="dxa"/>
            <w:vAlign w:val="bottom"/>
            <w:gridSpan w:val="3"/>
          </w:tcPr>
          <w:p>
            <w:pPr>
              <w:jc w:val="right"/>
              <w:ind w:right="640"/>
              <w:spacing w:after="0" w:line="158" w:lineRule="exact"/>
              <w:rPr>
                <w:sz w:val="20"/>
                <w:szCs w:val="20"/>
                <w:color w:val="auto"/>
              </w:rPr>
            </w:pPr>
            <w:r>
              <w:rPr>
                <w:rFonts w:ascii="Arial" w:cs="Arial" w:eastAsia="Arial" w:hAnsi="Arial"/>
                <w:sz w:val="14"/>
                <w:szCs w:val="14"/>
                <w:b w:val="1"/>
                <w:bCs w:val="1"/>
                <w:color w:val="auto"/>
              </w:rPr>
              <w:t>(100% Payout)</w:t>
            </w:r>
          </w:p>
        </w:tc>
        <w:tc>
          <w:tcPr>
            <w:tcW w:w="108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rPr>
              <w:t>(200% Payout)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Synergy Capture (overall</w:t>
            </w: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DowDuPont)</w:t>
            </w:r>
          </w:p>
        </w:tc>
        <w:tc>
          <w:tcPr>
            <w:tcW w:w="1440" w:type="dxa"/>
            <w:vAlign w:val="bottom"/>
            <w:gridSpan w:val="2"/>
            <w:shd w:val="clear" w:color="auto" w:fill="CCEEFF"/>
          </w:tcPr>
          <w:p>
            <w:pPr>
              <w:jc w:val="center"/>
              <w:ind w:left="554"/>
              <w:spacing w:after="0"/>
              <w:rPr>
                <w:sz w:val="20"/>
                <w:szCs w:val="20"/>
                <w:color w:val="auto"/>
              </w:rPr>
            </w:pPr>
            <w:r>
              <w:rPr>
                <w:rFonts w:ascii="Arial" w:cs="Arial" w:eastAsia="Arial" w:hAnsi="Arial"/>
                <w:sz w:val="18"/>
                <w:szCs w:val="18"/>
                <w:color w:val="auto"/>
                <w:w w:val="88"/>
              </w:rPr>
              <w:t>66%</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billion</w:t>
            </w:r>
          </w:p>
        </w:tc>
        <w:tc>
          <w:tcPr>
            <w:tcW w:w="23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$ 3.0 billion</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$3.45 billion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Synergy Capture (Agriculture</w:t>
            </w: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Division)</w:t>
            </w: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980 million</w:t>
            </w:r>
          </w:p>
        </w:tc>
        <w:tc>
          <w:tcPr>
            <w:tcW w:w="74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1.0 billion</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1.15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 Distribution</w:t>
            </w:r>
          </w:p>
        </w:tc>
        <w:tc>
          <w:tcPr>
            <w:tcW w:w="1440" w:type="dxa"/>
            <w:vAlign w:val="bottom"/>
            <w:gridSpan w:val="2"/>
            <w:shd w:val="clear" w:color="auto" w:fill="CCEEFF"/>
          </w:tcPr>
          <w:p>
            <w:pPr>
              <w:jc w:val="center"/>
              <w:ind w:left="554"/>
              <w:spacing w:after="0"/>
              <w:rPr>
                <w:sz w:val="20"/>
                <w:szCs w:val="20"/>
                <w:color w:val="auto"/>
              </w:rPr>
            </w:pPr>
            <w:r>
              <w:rPr>
                <w:rFonts w:ascii="Arial" w:cs="Arial" w:eastAsia="Arial" w:hAnsi="Arial"/>
                <w:sz w:val="18"/>
                <w:szCs w:val="18"/>
                <w:color w:val="auto"/>
                <w:w w:val="88"/>
              </w:rPr>
              <w:t>17%</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months</w:t>
            </w:r>
          </w:p>
        </w:tc>
        <w:tc>
          <w:tcPr>
            <w:tcW w:w="7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 months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Corteva Distribution</w:t>
            </w:r>
          </w:p>
        </w:tc>
        <w:tc>
          <w:tcPr>
            <w:tcW w:w="1440" w:type="dxa"/>
            <w:vAlign w:val="bottom"/>
            <w:gridSpan w:val="2"/>
          </w:tcPr>
          <w:p>
            <w:pPr>
              <w:jc w:val="center"/>
              <w:ind w:left="554"/>
              <w:spacing w:after="0"/>
              <w:rPr>
                <w:sz w:val="20"/>
                <w:szCs w:val="20"/>
                <w:color w:val="auto"/>
              </w:rPr>
            </w:pPr>
            <w:r>
              <w:rPr>
                <w:rFonts w:ascii="Arial" w:cs="Arial" w:eastAsia="Arial" w:hAnsi="Arial"/>
                <w:sz w:val="18"/>
                <w:szCs w:val="18"/>
                <w:color w:val="auto"/>
                <w:w w:val="88"/>
              </w:rPr>
              <w:t>17%</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 months</w:t>
            </w:r>
          </w:p>
        </w:tc>
        <w:tc>
          <w:tcPr>
            <w:tcW w:w="74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21 months</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 months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60" w:hanging="436"/>
        <w:spacing w:after="0" w:line="258" w:lineRule="auto"/>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Payouts will be interpolated on a linear basis for performance between, respectively, Threshold and Target performance and Target and Maximum performance.</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dates measured from the Merger closing.</w:t>
      </w:r>
    </w:p>
    <w:p>
      <w:pPr>
        <w:spacing w:after="0" w:line="9" w:lineRule="exact"/>
        <w:rPr>
          <w:rFonts w:ascii="Arial" w:cs="Arial" w:eastAsia="Arial" w:hAnsi="Arial"/>
          <w:sz w:val="18"/>
          <w:szCs w:val="18"/>
          <w:color w:val="auto"/>
        </w:rPr>
      </w:pPr>
    </w:p>
    <w:p>
      <w:pPr>
        <w:ind w:left="640" w:hanging="436"/>
        <w:spacing w:after="0" w:line="255" w:lineRule="auto"/>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Weightings represent the overall structure applicable to the Synergy Grants and Incentive Awards, and generally reflect alignment to overall DowDuPont Synergy and “speed to spin” targets. Individual alignment varies by individual, and the alignment relative to Corteva’s NEO’s awards are noted in the narrative below.</w:t>
      </w:r>
    </w:p>
    <w:p>
      <w:pPr>
        <w:spacing w:after="0" w:line="19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specific parameters of the Synergy Grants and Incentive Awards, including both the weighting of metrics and the synergy targets to which executives were aligned, were assessed on an individual basis in order to provide line of sight to executives toward achieving their respective portion of the overall synergies. For our NEOs, the specific parameters included:</w:t>
      </w:r>
    </w:p>
    <w:p>
      <w:pPr>
        <w:spacing w:after="0" w:line="87" w:lineRule="exact"/>
        <w:rPr>
          <w:sz w:val="20"/>
          <w:szCs w:val="20"/>
          <w:color w:val="auto"/>
        </w:rPr>
      </w:pPr>
    </w:p>
    <w:p>
      <w:pPr>
        <w:ind w:left="1060" w:right="320" w:hanging="316"/>
        <w:spacing w:after="0" w:line="342" w:lineRule="auto"/>
        <w:tabs>
          <w:tab w:leader="none" w:pos="10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For Mr. Collins, the Synergy Capture metric relative to his Synergy Grant was weighted 30% against the overall DowDuPont business performance range, and 70% against the DowDuPont Agriculture Division business performance range, each as noted in the table above</w:t>
      </w:r>
    </w:p>
    <w:p>
      <w:pPr>
        <w:spacing w:after="0" w:line="29" w:lineRule="exact"/>
        <w:rPr>
          <w:rFonts w:ascii="Arial" w:cs="Arial" w:eastAsia="Arial" w:hAnsi="Arial"/>
          <w:sz w:val="16"/>
          <w:szCs w:val="16"/>
          <w:color w:val="auto"/>
        </w:rPr>
      </w:pPr>
    </w:p>
    <w:p>
      <w:pPr>
        <w:ind w:left="1060" w:right="380" w:hanging="316"/>
        <w:spacing w:after="0" w:line="277" w:lineRule="auto"/>
        <w:tabs>
          <w:tab w:leader="none" w:pos="10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For Mr. Friedman, the Synergy Capture metric relative to his Incentive Award was weighted 100% against the DowDuPont Agriculture Division business performance range</w:t>
      </w:r>
    </w:p>
    <w:p>
      <w:pPr>
        <w:spacing w:after="0" w:line="75" w:lineRule="exact"/>
        <w:rPr>
          <w:rFonts w:ascii="Arial" w:cs="Arial" w:eastAsia="Arial" w:hAnsi="Arial"/>
          <w:sz w:val="18"/>
          <w:szCs w:val="18"/>
          <w:color w:val="auto"/>
        </w:rPr>
      </w:pPr>
    </w:p>
    <w:p>
      <w:pPr>
        <w:ind w:left="1060" w:right="20" w:hanging="316"/>
        <w:spacing w:after="0" w:line="308" w:lineRule="auto"/>
        <w:tabs>
          <w:tab w:leader="none" w:pos="10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For Messrs. Gajaria, Glenn and Gutterson, the entire Incentive Award was aligned to the DowDuPont Agriculture Division Synergy Capture business performance range, without any weighting relative to the timing of the Dow Distribution or Corteva Distribution</w:t>
      </w:r>
    </w:p>
    <w:p>
      <w:pPr>
        <w:spacing w:after="0" w:line="14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Given that DowDuPont intends to separate into three separate entities in the near-term, the DowDuPont Compensation Committee developed this post-Merger grant to further incentivize key DowDuPont executives to meet these Merger-related objectives. Regardless of when completion of the specified performance measures occurs, if at all, no payouts will be made until twenty-four months after the close of the Merger, to ensure continued alignment with the strategic objectives.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Outstanding Equity Awards Resulting from the Dow Distribution and the Corteva Distribution</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DowDuPont expects that all of its equity awards outstanding at the time of the distribution of Dow (which occurred on April 1, 2019) will be adjusted using the following principles:</w:t>
      </w:r>
    </w:p>
    <w:p>
      <w:pPr>
        <w:spacing w:after="0" w:line="76" w:lineRule="exact"/>
        <w:rPr>
          <w:sz w:val="20"/>
          <w:szCs w:val="20"/>
          <w:color w:val="auto"/>
        </w:rPr>
      </w:pPr>
    </w:p>
    <w:p>
      <w:pPr>
        <w:ind w:left="1060" w:hanging="316"/>
        <w:spacing w:after="0" w:line="277" w:lineRule="auto"/>
        <w:tabs>
          <w:tab w:leader="none" w:pos="10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For each award recipient, the intent is to maintain the economic/intrinsic value of those awards immediately before and after both the date of the distribution of Dow and the Corteva distribution date, respectively.</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material terms of the equity awards, such as vesting conditions and treatment upon termination of employment, will generally continue unchanged.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80" w:hanging="316"/>
        <w:spacing w:after="0" w:line="308" w:lineRule="auto"/>
        <w:tabs>
          <w:tab w:leader="none" w:pos="106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Depending on certain factors relating to the type, grant date and holder of the equity awards, the awards may be adjusted using either the “employer method” or the “shareholder method” as more fully described, and subject to certain exceptions noted, below.</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Employer Method</w:t>
      </w:r>
    </w:p>
    <w:p>
      <w:pPr>
        <w:spacing w:after="0" w:line="117"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DowDuPont stock options and restricted stock units, other than those granted to employees on February 15, 2018 (and other awards granted to certain executives designated by the DowDuPont Compensation Committee), will generally be adjusted using the “employer method” as follows:</w:t>
      </w:r>
    </w:p>
    <w:p>
      <w:pPr>
        <w:spacing w:after="0" w:line="29" w:lineRule="exact"/>
        <w:rPr>
          <w:sz w:val="20"/>
          <w:szCs w:val="20"/>
          <w:color w:val="auto"/>
        </w:rPr>
      </w:pPr>
    </w:p>
    <w:p>
      <w:pPr>
        <w:ind w:left="1060" w:right="140" w:hanging="316"/>
        <w:spacing w:after="0" w:line="259" w:lineRule="auto"/>
        <w:tabs>
          <w:tab w:leader="none" w:pos="10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At the time of the distribution of Dow, all DowDuPont equity awards held by individuals who are employees of Dow at such time will be converted into awards of Dow and all equity awards held by employees who remain with DowDuPont will remain awards of DowDuPont, in each case, with appropriate adjustments to the number of awards and, in the case of stock options, the exercise price, to account for the separation and distribution of Dow from DowDuPont.</w:t>
      </w:r>
    </w:p>
    <w:p>
      <w:pPr>
        <w:spacing w:after="0" w:line="92" w:lineRule="exact"/>
        <w:rPr>
          <w:rFonts w:ascii="Arial" w:cs="Arial" w:eastAsia="Arial" w:hAnsi="Arial"/>
          <w:sz w:val="18"/>
          <w:szCs w:val="18"/>
          <w:color w:val="auto"/>
        </w:rPr>
      </w:pPr>
    </w:p>
    <w:p>
      <w:pPr>
        <w:ind w:left="1060" w:right="40" w:hanging="316"/>
        <w:spacing w:after="0" w:line="257" w:lineRule="auto"/>
        <w:tabs>
          <w:tab w:leader="none" w:pos="10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At the time of the distribution, all DowDuPont equity awards held by individuals who are employees of Corteva at such time will be converted into awards of Corteva and all equity awards held by employees who remain with New DuPont will remain awards of New DuPont (except that awards held by certain employees with no defined future role will convert into awards covering both Corteva and New DuPont), in each case, with appropriate adjustments to the number of awards and, in the case of stock options, the exercise price, to account for the separation and distribution of Corteva from DowDuPont.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Method</w:t>
      </w:r>
    </w:p>
    <w:p>
      <w:pPr>
        <w:spacing w:after="0" w:line="117"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DowDuPont (i) stock options and RSUs granted on February 15, 2018, (ii) PSUs and restricted stock awards and (iii) awards held by non-employee directors of DowDuPont and certain executives designated by the DowDuPont Compensation Committee will generally be adjusted using the “shareholder method” as follows:</w:t>
      </w:r>
    </w:p>
    <w:p>
      <w:pPr>
        <w:spacing w:after="0" w:line="87" w:lineRule="exact"/>
        <w:rPr>
          <w:sz w:val="20"/>
          <w:szCs w:val="20"/>
          <w:color w:val="auto"/>
        </w:rPr>
      </w:pPr>
    </w:p>
    <w:p>
      <w:pPr>
        <w:jc w:val="both"/>
        <w:ind w:left="1060" w:right="120" w:hanging="316"/>
        <w:spacing w:after="0" w:line="286" w:lineRule="auto"/>
        <w:tabs>
          <w:tab w:leader="none" w:pos="10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At the time of the distribution of Dow, all such equity awards will be converted into awards of each of Dow and DowDuPont and adjusted based on the Dow distribution ratio and the relative closing share price of DowDuPont common stock immediately prior to the distribution of Dow and the opening price of Dow common stock immediately after the distribution of Dow.</w:t>
      </w:r>
    </w:p>
    <w:p>
      <w:pPr>
        <w:spacing w:after="0" w:line="70" w:lineRule="exact"/>
        <w:rPr>
          <w:rFonts w:ascii="Arial" w:cs="Arial" w:eastAsia="Arial" w:hAnsi="Arial"/>
          <w:sz w:val="17"/>
          <w:szCs w:val="17"/>
          <w:color w:val="auto"/>
        </w:rPr>
      </w:pPr>
    </w:p>
    <w:p>
      <w:pPr>
        <w:ind w:left="1060" w:right="60" w:hanging="316"/>
        <w:spacing w:after="0" w:line="312" w:lineRule="auto"/>
        <w:tabs>
          <w:tab w:leader="none" w:pos="10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At the time of the Corteva distribution, the DowDuPont awards will be further converted into awards of each of New DuPont and Corteva and adjusted based on the Corteva distribution ratio and the relative closing share price of DowDuPont common stock immediately prior to the Corteva distribution and the opening prices of both Corteva and New DuPont common stock immediately after the Corteva distribution.</w:t>
      </w:r>
    </w:p>
    <w:p>
      <w:pPr>
        <w:spacing w:after="0" w:line="39"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The intent of utilizing the “employer method” to convert all outstanding awards other than those granted on February 15, 2018 (as well as certain other awards identified above) is to ensure that the future employees of Corteva have the majority of their outstanding equity award holdings converted into awards denominated in Corteva common stock post-distribution (and likewise in the common stock of Dow and New DuPont for their respective future employees). The intent behind the use of the “shareholder method” to convert awards granted on February 15, 2018, on the other hand, is to ensure that employees of each of the three new companies have some equity awards denominated in the common stock of all three new companies (Corteva, Dow and New DuPont), in recognition of the mutual efforts of all employees post-Merger in creating the three new companies.</w:t>
      </w:r>
    </w:p>
    <w:p>
      <w:pPr>
        <w:spacing w:after="0" w:line="16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treatment of outstanding equity awards described above is generally applicable for all holders of outstanding equity awards. Certain exceptions may apply, however:</w:t>
      </w:r>
    </w:p>
    <w:p>
      <w:pPr>
        <w:spacing w:after="0" w:line="76" w:lineRule="exact"/>
        <w:rPr>
          <w:sz w:val="20"/>
          <w:szCs w:val="20"/>
          <w:color w:val="auto"/>
        </w:rPr>
      </w:pPr>
    </w:p>
    <w:p>
      <w:pPr>
        <w:ind w:left="1060" w:hanging="316"/>
        <w:spacing w:after="0"/>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treatment of outstanding equity awards may vary in certain non-U.S. jurisdictions to the extent required by applicable law.</w:t>
      </w:r>
    </w:p>
    <w:p>
      <w:pPr>
        <w:spacing w:after="0" w:line="1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170</w:t>
      </w:r>
    </w:p>
    <w:p>
      <w:pPr>
        <w:sectPr>
          <w:pgSz w:w="11900" w:h="16838" w:orient="portrait"/>
          <w:cols w:equalWidth="0" w:num="1">
            <w:col w:w="11180"/>
          </w:cols>
          <w:pgMar w:left="240" w:top="459" w:right="4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79" w:lineRule="auto"/>
        <w:tabs>
          <w:tab w:leader="none" w:pos="10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Outstanding equity awards which generally are to be adjusted under the “employer method” and which are held by current or former employees of Historical DuPont who will not be an employee of any of Corteva, Dow or New DuPont following the distributions will be, at the time of the Corteva distribution, adjusted such that they will convert into awards covering the common stock of both Corteva and New DuPont, with appropriate adjustments to maintain the economic/intrinsic value of the award.</w:t>
      </w:r>
    </w:p>
    <w:p>
      <w:pPr>
        <w:spacing w:after="0" w:line="171"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As a result of the adjustments to outstanding awards in connection with the distributions, the precise number of stock options, restricted stock awards, RSUs and PSUs which will be issued by Corteva, Dow and New DuPont, respectively, will not be known until each of the distribution dates or shortly thereafter, as applicable.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Corteva, Inc. 2019 Omnibus Incentive Plan</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Prior to the distribution, Corteva expects to adopt the Corteva, Inc. 2019 Omnibus Incentive Plan (the “OIP”). The OIP will become effective as of the distribution date, subject to the occurrence of the distribution, and will authorize Corteva to grant incentive awards, including stock options (both “incentive stock options” and nonqualified stock options), share appreciation rights, restricted shares, restricted stock units, other share-based awards and cash awards, to its and its subsidiaries’ eligible employees, non-employee directors, independent contractors and consultants following the distribution. The following summary of the material terms of the OIP is qualified in its entirety by reference to the full text of the OIP, the form of which is incorporated by reference herein and filed as Exhibit 10.5 to the Form 10 of which this information statement forms a part.</w:t>
      </w:r>
    </w:p>
    <w:p>
      <w:pPr>
        <w:spacing w:after="0" w:line="178" w:lineRule="exact"/>
        <w:rPr>
          <w:sz w:val="20"/>
          <w:szCs w:val="20"/>
          <w:color w:val="auto"/>
        </w:rPr>
      </w:pPr>
    </w:p>
    <w:p>
      <w:pPr>
        <w:ind w:left="200" w:right="320"/>
        <w:spacing w:after="0" w:line="257" w:lineRule="auto"/>
        <w:rPr>
          <w:sz w:val="20"/>
          <w:szCs w:val="20"/>
          <w:color w:val="auto"/>
        </w:rPr>
      </w:pPr>
      <w:r>
        <w:rPr>
          <w:rFonts w:ascii="Arial" w:cs="Arial" w:eastAsia="Arial" w:hAnsi="Arial"/>
          <w:sz w:val="18"/>
          <w:szCs w:val="18"/>
          <w:color w:val="auto"/>
        </w:rPr>
        <w:t>In addition, the OIP will be used to settle outstanding DowDuPont equity awards that will be converted into awards that are denominated in Corteva common stock following the distribution pursuant to the employee matters agreement, which are referred to in this section as “Conversion Awards.” These Conversion Awards will otherwise generally remain in effect pursuant to their existing terms and the terms of the plan under which they were originally granted. See the section entitled “Compensation Discussion and Analysis—Treatment of Equity Awards Outstanding at the Time of the Distribution.”</w:t>
      </w:r>
    </w:p>
    <w:p>
      <w:pPr>
        <w:spacing w:after="0" w:line="188"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Corteva expects that 20,000,000 shares of Corteva common stock will be available for awards granted under the OIP (excluding shares underlying certain exempt awards, such as Conversion Awards). The foregoing limit will be subject to adjustment in certain changes in Corteva’s capitalization (including a reorganization or other corporate transaction) to prevent a dilution or enlargement in rights. If an award expires or is forfeited (excluding, for this purpose, any Conversion Award), the shares underlying the expired or forfeited award will be added back to the share pool and will be available for future grants. However, shares that are tendered or withheld to cover the exercise price of any award (including shares underlying a share appreciation right that are retained by Corteva to account for the exercise price thereof) or to satisfy any tax withholding obligation, will not be added back to the share pool.</w:t>
      </w:r>
    </w:p>
    <w:p>
      <w:pPr>
        <w:spacing w:after="0" w:line="18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Our board of directors or any duly appointed committee thereof (including the People and Compensation Committee) will have broad authority to grant awards to eligible individuals and to otherwise administer the OIP, including establishing the vesting conditions applicable to awards and the performance goals applicable to performance awards, and determining the extent to which any performance goals have been achieved. However, awards granted under the OIP (excluding Conversion Awards, awards representing a maximum of 5% of shares reserved for issuance under the OIP, and outstanding awards in certain circumstances such as a change in control of Corteva) will generally be subject to a minimum 12-month vesting requirement.</w:t>
      </w:r>
    </w:p>
    <w:p>
      <w:pPr>
        <w:spacing w:after="0" w:line="193"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No new awards may be issued under the OIP on or after the tenth anniversary of the plan’s effective date, or the date our board of directors terminates the plan, if earlier. If there is a change in control of Corteva, awards generally will vest in full if either not assumed by the acquiror or, if assumed, the holder experiences a qualifying termination of employment within a specified period.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24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board of directors will have the authority to amend the OIP as it deems desirable, and the plan administrator will have similar authority to amend award agreements. However, no amendment that would require stockholder approval under applicable law or stock exchange rules (for example, an amendment to increase to the share reserve(s) under the plan) would become effective until such stockholder approval is received. In addition, except with respect to equitable adjustments under the terms of the plan, award agreements may not be amended in a way that would materially impair the rights of the award recipient without his or her consent.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As previously highlighted, one of Corteva’s core values is “Build Together.” At Corteva, we recognize that we grow by working together, embracing diversity and collaboration in order to build one company and reach out across the food system, creating shared value. In order to more explicitly promote the value we recognize in “Building Together” and to enable employees to more fully share in our growth, Corteva intends to adopt an employee stock purchase plan to provide employees with the opportunity to purchase shares of our common stock.</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960"/>
          </w:cols>
          <w:pgMar w:left="240" w:top="460" w:right="69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color w:val="auto"/>
        </w:rPr>
        <w:t>The following table summarizes the compensation for the fiscal year ended December 31, 2018 of the individuals we expect will be Corteva’s Chief Executive Officer and Chief Financial Officer, as well as Corteva’s three other most highly compensated executive officers for the fiscal year ended December 31, 2018, based in each case on compensation received from DowDuPont.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Change in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Pension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Value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3"/>
              </w:rPr>
              <w:t>Non-Equity</w:t>
            </w:r>
          </w:p>
        </w:tc>
        <w:tc>
          <w:tcPr>
            <w:tcW w:w="1140" w:type="dxa"/>
            <w:vAlign w:val="bottom"/>
            <w:gridSpan w:val="3"/>
          </w:tcPr>
          <w:p>
            <w:pPr>
              <w:jc w:val="center"/>
              <w:ind w:left="185"/>
              <w:spacing w:after="0" w:line="149" w:lineRule="exact"/>
              <w:rPr>
                <w:sz w:val="20"/>
                <w:szCs w:val="20"/>
                <w:color w:val="auto"/>
              </w:rPr>
            </w:pPr>
            <w:r>
              <w:rPr>
                <w:rFonts w:ascii="Arial" w:cs="Arial" w:eastAsia="Arial" w:hAnsi="Arial"/>
                <w:sz w:val="14"/>
                <w:szCs w:val="14"/>
                <w:b w:val="1"/>
                <w:bCs w:val="1"/>
                <w:color w:val="auto"/>
                <w:w w:val="95"/>
              </w:rPr>
              <w:t>Non-Qualified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Incentive Plan</w:t>
            </w:r>
          </w:p>
        </w:tc>
        <w:tc>
          <w:tcPr>
            <w:tcW w:w="1140" w:type="dxa"/>
            <w:vAlign w:val="bottom"/>
            <w:gridSpan w:val="3"/>
          </w:tcPr>
          <w:p>
            <w:pPr>
              <w:jc w:val="center"/>
              <w:ind w:left="165"/>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40" w:type="dxa"/>
            <w:vAlign w:val="bottom"/>
            <w:gridSpan w:val="3"/>
            <w:vMerge w:val="continue"/>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Year</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Awards</w:t>
            </w:r>
          </w:p>
        </w:tc>
        <w:tc>
          <w:tcPr>
            <w:tcW w:w="24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4"/>
              <w:spacing w:after="0" w:line="145"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jc w:val="center"/>
              <w:ind w:left="143"/>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2"/>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Position with Corteva</w:t>
            </w:r>
          </w:p>
        </w:tc>
        <w:tc>
          <w:tcPr>
            <w:tcW w:w="3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4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($)(b)</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02"/>
              <w:spacing w:after="0"/>
              <w:rPr>
                <w:sz w:val="20"/>
                <w:szCs w:val="20"/>
                <w:color w:val="auto"/>
              </w:rPr>
            </w:pPr>
            <w:r>
              <w:rPr>
                <w:rFonts w:ascii="Arial" w:cs="Arial" w:eastAsia="Arial" w:hAnsi="Arial"/>
                <w:sz w:val="14"/>
                <w:szCs w:val="14"/>
                <w:b w:val="1"/>
                <w:bCs w:val="1"/>
                <w:color w:val="auto"/>
              </w:rPr>
              <w:t>($)(c)</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2"/>
              <w:spacing w:after="0"/>
              <w:rPr>
                <w:sz w:val="20"/>
                <w:szCs w:val="20"/>
                <w:color w:val="auto"/>
              </w:rPr>
            </w:pPr>
            <w:r>
              <w:rPr>
                <w:rFonts w:ascii="Arial" w:cs="Arial" w:eastAsia="Arial" w:hAnsi="Arial"/>
                <w:sz w:val="14"/>
                <w:szCs w:val="14"/>
                <w:b w:val="1"/>
                <w:bCs w:val="1"/>
                <w:color w:val="auto"/>
                <w:w w:val="97"/>
              </w:rPr>
              <w:t>($)(d)</w:t>
            </w: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James C. Collins, Jr.,</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Chief Executive Officer</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$795,833</w:t>
            </w:r>
          </w:p>
        </w:tc>
        <w:tc>
          <w:tcPr>
            <w:tcW w:w="6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$3,500,005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6"/>
              </w:rPr>
              <w:t>263,772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$4,994,737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940" w:type="dxa"/>
            <w:vAlign w:val="bottom"/>
            <w:gridSpan w:val="3"/>
          </w:tcPr>
          <w:p>
            <w:pPr>
              <w:spacing w:after="0"/>
              <w:rPr>
                <w:sz w:val="20"/>
                <w:szCs w:val="20"/>
                <w:color w:val="auto"/>
              </w:rPr>
            </w:pPr>
            <w:r>
              <w:rPr>
                <w:rFonts w:ascii="Arial" w:cs="Arial" w:eastAsia="Arial" w:hAnsi="Arial"/>
                <w:sz w:val="16"/>
                <w:szCs w:val="16"/>
                <w:color w:val="auto"/>
              </w:rPr>
              <w:t>Gregory R. Friedman, Executive Vice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20" w:type="dxa"/>
            <w:vAlign w:val="bottom"/>
            <w:gridSpan w:val="2"/>
          </w:tcPr>
          <w:p>
            <w:pPr>
              <w:ind w:left="140"/>
              <w:spacing w:after="0"/>
              <w:rPr>
                <w:sz w:val="20"/>
                <w:szCs w:val="20"/>
                <w:color w:val="auto"/>
              </w:rPr>
            </w:pPr>
            <w:r>
              <w:rPr>
                <w:rFonts w:ascii="Arial" w:cs="Arial" w:eastAsia="Arial" w:hAnsi="Arial"/>
                <w:sz w:val="16"/>
                <w:szCs w:val="16"/>
                <w:color w:val="auto"/>
              </w:rPr>
              <w:t>President and Chief Financial Officer</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462,000</w:t>
            </w:r>
          </w:p>
        </w:tc>
        <w:tc>
          <w:tcPr>
            <w:tcW w:w="24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500,007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115,692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73,971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1,151,670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Rajan Gajaria, Executive Vice President,</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Business Platforms</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405,962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w w:val="89"/>
              </w:rPr>
              <w:t>250,038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250,143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6"/>
              </w:rPr>
              <w:t>446,403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1,491,282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940" w:type="dxa"/>
            <w:vAlign w:val="bottom"/>
            <w:gridSpan w:val="3"/>
          </w:tcPr>
          <w:p>
            <w:pPr>
              <w:spacing w:after="0"/>
              <w:rPr>
                <w:sz w:val="20"/>
                <w:szCs w:val="20"/>
                <w:color w:val="auto"/>
              </w:rPr>
            </w:pPr>
            <w:r>
              <w:rPr>
                <w:rFonts w:ascii="Arial" w:cs="Arial" w:eastAsia="Arial" w:hAnsi="Arial"/>
                <w:sz w:val="16"/>
                <w:szCs w:val="16"/>
                <w:color w:val="auto"/>
              </w:rPr>
              <w:t>Timothy P. Glenn, Executive Vice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gridSpan w:val="2"/>
          </w:tcPr>
          <w:p>
            <w:pPr>
              <w:ind w:left="140"/>
              <w:spacing w:after="0"/>
              <w:rPr>
                <w:sz w:val="20"/>
                <w:szCs w:val="20"/>
                <w:color w:val="auto"/>
              </w:rPr>
            </w:pPr>
            <w:r>
              <w:rPr>
                <w:rFonts w:ascii="Arial" w:cs="Arial" w:eastAsia="Arial" w:hAnsi="Arial"/>
                <w:sz w:val="16"/>
                <w:szCs w:val="16"/>
                <w:color w:val="auto"/>
              </w:rPr>
              <w:t>President and Chief Commercial</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20" w:type="dxa"/>
            <w:vAlign w:val="bottom"/>
            <w:gridSpan w:val="2"/>
          </w:tcPr>
          <w:p>
            <w:pPr>
              <w:ind w:left="140"/>
              <w:spacing w:after="0"/>
              <w:rPr>
                <w:sz w:val="20"/>
                <w:szCs w:val="20"/>
                <w:color w:val="auto"/>
              </w:rPr>
            </w:pPr>
            <w:r>
              <w:rPr>
                <w:rFonts w:ascii="Arial" w:cs="Arial" w:eastAsia="Arial" w:hAnsi="Arial"/>
                <w:sz w:val="16"/>
                <w:szCs w:val="16"/>
                <w:color w:val="auto"/>
              </w:rPr>
              <w:t>Officer</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457,583</w:t>
            </w:r>
          </w:p>
        </w:tc>
        <w:tc>
          <w:tcPr>
            <w:tcW w:w="24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700,013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114,293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Arial" w:cs="Arial" w:eastAsia="Arial" w:hAnsi="Arial"/>
                <w:sz w:val="16"/>
                <w:szCs w:val="16"/>
                <w:color w:val="auto"/>
                <w:w w:val="86"/>
              </w:rPr>
              <w:t>100,951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82,060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1,454,900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Neal Gutterson,</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Senior Vice President and Chief</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Technology Officer</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425,750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968,145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Totals in the above table may not equal the summation of the columns due to rounding amounts to the nearest dollar.</w:t>
      </w:r>
    </w:p>
    <w:p>
      <w:pPr>
        <w:spacing w:after="0" w:line="252" w:lineRule="exact"/>
        <w:rPr>
          <w:sz w:val="20"/>
          <w:szCs w:val="20"/>
          <w:color w:val="auto"/>
        </w:rPr>
      </w:pPr>
    </w:p>
    <w:p>
      <w:pPr>
        <w:ind w:left="640" w:right="220" w:hanging="436"/>
        <w:spacing w:after="0" w:line="254" w:lineRule="auto"/>
        <w:tabs>
          <w:tab w:leader="none" w:pos="640" w:val="left"/>
        </w:tabs>
        <w:numPr>
          <w:ilvl w:val="0"/>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Amounts represent the aggregate grant date fair value of awards in the year of grant in accordance with the same standard applied for financial accounting purposes, Financial Accounting Standards Board (FASB) Accounting Standards Codification (ASC) Topic 718. See Note 20 to the DowDuPont 2018 Financial Statements, which are incorporated by reference herein to the pertinent pages thereof filed as Exhibit 99.2 to the Form 10, for a discussion of the assumptions used in calculating this value.</w:t>
      </w:r>
    </w:p>
    <w:p>
      <w:pPr>
        <w:spacing w:after="0" w:line="2" w:lineRule="exact"/>
        <w:rPr>
          <w:rFonts w:ascii="Arial" w:cs="Arial" w:eastAsia="Arial" w:hAnsi="Arial"/>
          <w:sz w:val="18"/>
          <w:szCs w:val="18"/>
          <w:i w:val="1"/>
          <w:iCs w:val="1"/>
          <w:color w:val="auto"/>
        </w:rPr>
      </w:pPr>
    </w:p>
    <w:p>
      <w:pPr>
        <w:ind w:left="640" w:right="100" w:hanging="436"/>
        <w:spacing w:after="0" w:line="253" w:lineRule="auto"/>
        <w:tabs>
          <w:tab w:leader="none" w:pos="640" w:val="left"/>
        </w:tabs>
        <w:numPr>
          <w:ilvl w:val="0"/>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DowDuPont’s valuation for financial accounting purposes uses the widely accepted Black-Scholes option valuation model and is otherwise computed in accordance with FASB ASC Topic 718. The option value calculated for the Corteva NEOs’ grants was $15.46, with an exercise price of $71.85 based on the closing share price of DowDuPont stock on the grant date. See Note 20 to the DowDuPont 2018 Financial Statements, which are incorporated by reference herein to the pertinent pages thereof filed as Exhibit 99.2 to the Form 10, for a discussion of the assumptions used in calculating these values.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240" w:top="459" w:right="41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91" w:lineRule="auto"/>
        <w:tabs>
          <w:tab w:leader="none" w:pos="640" w:val="left"/>
        </w:tabs>
        <w:numPr>
          <w:ilvl w:val="0"/>
          <w:numId w:val="259"/>
        </w:numPr>
        <w:rPr>
          <w:rFonts w:ascii="Arial" w:cs="Arial" w:eastAsia="Arial" w:hAnsi="Arial"/>
          <w:sz w:val="16"/>
          <w:szCs w:val="16"/>
          <w:i w:val="1"/>
          <w:iCs w:val="1"/>
          <w:color w:val="auto"/>
        </w:rPr>
      </w:pPr>
      <w:r>
        <w:rPr>
          <w:rFonts w:ascii="Arial" w:cs="Arial" w:eastAsia="Arial" w:hAnsi="Arial"/>
          <w:sz w:val="16"/>
          <w:szCs w:val="16"/>
          <w:i w:val="1"/>
          <w:iCs w:val="1"/>
          <w:color w:val="auto"/>
        </w:rPr>
        <w:t>Individual results for Non-Equity Incentive Plan Compensation are detailed in the section above entitled “Compensation Discussion and Analysis —2018 Compensation Decisions—Annual Incentive Compensation” and reflect income paid in 2019 for performance achieved in 2018.</w:t>
      </w:r>
    </w:p>
    <w:p>
      <w:pPr>
        <w:ind w:left="640" w:hanging="436"/>
        <w:spacing w:after="0"/>
        <w:tabs>
          <w:tab w:leader="none" w:pos="640" w:val="left"/>
        </w:tabs>
        <w:numPr>
          <w:ilvl w:val="0"/>
          <w:numId w:val="259"/>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Compensation” includes:</w:t>
      </w:r>
    </w:p>
    <w:p>
      <w:pPr>
        <w:spacing w:after="0" w:line="116" w:lineRule="exact"/>
        <w:rPr>
          <w:sz w:val="20"/>
          <w:szCs w:val="20"/>
          <w:color w:val="auto"/>
        </w:rPr>
      </w:pPr>
    </w:p>
    <w:p>
      <w:pPr>
        <w:ind w:left="1060" w:right="160" w:hanging="424"/>
        <w:spacing w:after="0" w:line="277" w:lineRule="auto"/>
        <w:tabs>
          <w:tab w:leader="none" w:pos="1060" w:val="left"/>
        </w:tabs>
        <w:numPr>
          <w:ilvl w:val="0"/>
          <w:numId w:val="260"/>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contributions to savings plans for Mr. Collins ($176,250); Mr. Friedman ($73,971); Mr. Gajaria ($28,879); Mr. Glenn ($82,060) and Mr. Gutterson ($38,975).</w:t>
      </w:r>
    </w:p>
    <w:p>
      <w:pPr>
        <w:spacing w:after="0" w:line="76" w:lineRule="exact"/>
        <w:rPr>
          <w:sz w:val="20"/>
          <w:szCs w:val="20"/>
          <w:color w:val="auto"/>
        </w:rPr>
      </w:pPr>
    </w:p>
    <w:p>
      <w:pPr>
        <w:ind w:left="1060" w:hanging="424"/>
        <w:spacing w:after="0"/>
        <w:tabs>
          <w:tab w:leader="none" w:pos="1060" w:val="left"/>
        </w:tabs>
        <w:numPr>
          <w:ilvl w:val="0"/>
          <w:numId w:val="261"/>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counseling for Mr. Collins ($10,077).</w:t>
      </w:r>
    </w:p>
    <w:p>
      <w:pPr>
        <w:spacing w:after="0" w:line="131" w:lineRule="exact"/>
        <w:rPr>
          <w:sz w:val="20"/>
          <w:szCs w:val="20"/>
          <w:color w:val="auto"/>
        </w:rPr>
      </w:pPr>
    </w:p>
    <w:p>
      <w:pPr>
        <w:ind w:left="1060" w:hanging="424"/>
        <w:spacing w:after="0"/>
        <w:tabs>
          <w:tab w:leader="none" w:pos="1060" w:val="left"/>
        </w:tabs>
        <w:numPr>
          <w:ilvl w:val="0"/>
          <w:numId w:val="262"/>
        </w:numPr>
        <w:rPr>
          <w:rFonts w:ascii="Arial" w:cs="Arial" w:eastAsia="Arial" w:hAnsi="Arial"/>
          <w:sz w:val="18"/>
          <w:szCs w:val="18"/>
          <w:i w:val="1"/>
          <w:iCs w:val="1"/>
          <w:color w:val="auto"/>
        </w:rPr>
      </w:pPr>
      <w:r>
        <w:rPr>
          <w:rFonts w:ascii="Arial" w:cs="Arial" w:eastAsia="Arial" w:hAnsi="Arial"/>
          <w:sz w:val="18"/>
          <w:szCs w:val="18"/>
          <w:i w:val="1"/>
          <w:iCs w:val="1"/>
          <w:color w:val="auto"/>
        </w:rPr>
        <w:t>Personal excess liability insurance premiums for Mr. Gajaria ($1,006).</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Grants of Plan-Based Awards</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following table provides additional information about plan-based compensation disclosed in the Summary Compensation Table for 2018. This table includes both equity and non-equity awards.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5"/>
              </w:rPr>
              <w:t>Estimated Possible</w:t>
            </w:r>
          </w:p>
        </w:tc>
        <w:tc>
          <w:tcPr>
            <w:tcW w:w="200" w:type="dxa"/>
            <w:vAlign w:val="bottom"/>
          </w:tcPr>
          <w:p>
            <w:pPr>
              <w:spacing w:after="0"/>
              <w:rPr>
                <w:sz w:val="13"/>
                <w:szCs w:val="13"/>
                <w:color w:val="auto"/>
              </w:rPr>
            </w:pPr>
          </w:p>
        </w:tc>
        <w:tc>
          <w:tcPr>
            <w:tcW w:w="186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0"/>
              </w:rPr>
              <w:t>Estimated Future</w:t>
            </w:r>
          </w:p>
        </w:tc>
        <w:tc>
          <w:tcPr>
            <w:tcW w:w="1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2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3"/>
          </w:tcPr>
          <w:p>
            <w:pPr>
              <w:jc w:val="center"/>
              <w:ind w:left="50"/>
              <w:spacing w:after="0"/>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Payouts Under</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5"/>
          </w:tcPr>
          <w:p>
            <w:pPr>
              <w:jc w:val="center"/>
              <w:ind w:right="20"/>
              <w:spacing w:after="0" w:line="135" w:lineRule="exact"/>
              <w:rPr>
                <w:sz w:val="20"/>
                <w:szCs w:val="20"/>
                <w:color w:val="auto"/>
              </w:rPr>
            </w:pPr>
            <w:r>
              <w:rPr>
                <w:rFonts w:ascii="Arial" w:cs="Arial" w:eastAsia="Arial" w:hAnsi="Arial"/>
                <w:sz w:val="13"/>
                <w:szCs w:val="13"/>
                <w:b w:val="1"/>
                <w:bCs w:val="1"/>
                <w:color w:val="auto"/>
                <w:w w:val="87"/>
              </w:rPr>
              <w:t>Payouts Under</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Exercise</w:t>
            </w:r>
          </w:p>
        </w:tc>
        <w:tc>
          <w:tcPr>
            <w:tcW w:w="180" w:type="dxa"/>
            <w:vAlign w:val="bottom"/>
          </w:tcPr>
          <w:p>
            <w:pPr>
              <w:spacing w:after="0"/>
              <w:rPr>
                <w:sz w:val="11"/>
                <w:szCs w:val="11"/>
                <w:color w:val="auto"/>
              </w:rPr>
            </w:pPr>
          </w:p>
        </w:tc>
        <w:tc>
          <w:tcPr>
            <w:tcW w:w="6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9"/>
              </w:rPr>
              <w:t>Non-Equity Incentive</w:t>
            </w:r>
          </w:p>
        </w:tc>
        <w:tc>
          <w:tcPr>
            <w:tcW w:w="200" w:type="dxa"/>
            <w:vAlign w:val="bottom"/>
          </w:tcPr>
          <w:p>
            <w:pPr>
              <w:spacing w:after="0"/>
              <w:rPr>
                <w:sz w:val="11"/>
                <w:szCs w:val="11"/>
                <w:color w:val="auto"/>
              </w:rPr>
            </w:pPr>
          </w:p>
        </w:tc>
        <w:tc>
          <w:tcPr>
            <w:tcW w:w="1860" w:type="dxa"/>
            <w:vAlign w:val="bottom"/>
            <w:gridSpan w:val="5"/>
          </w:tcPr>
          <w:p>
            <w:pPr>
              <w:jc w:val="center"/>
              <w:ind w:right="20"/>
              <w:spacing w:after="0" w:line="135" w:lineRule="exact"/>
              <w:rPr>
                <w:sz w:val="20"/>
                <w:szCs w:val="20"/>
                <w:color w:val="auto"/>
              </w:rPr>
            </w:pPr>
            <w:r>
              <w:rPr>
                <w:rFonts w:ascii="Arial" w:cs="Arial" w:eastAsia="Arial" w:hAnsi="Arial"/>
                <w:sz w:val="13"/>
                <w:szCs w:val="13"/>
                <w:b w:val="1"/>
                <w:bCs w:val="1"/>
                <w:color w:val="auto"/>
                <w:w w:val="88"/>
              </w:rPr>
              <w:t>Equity Incentive</w:t>
            </w:r>
          </w:p>
        </w:tc>
        <w:tc>
          <w:tcPr>
            <w:tcW w:w="780" w:type="dxa"/>
            <w:vAlign w:val="bottom"/>
            <w:gridSpan w:val="2"/>
          </w:tcPr>
          <w:p>
            <w:pPr>
              <w:jc w:val="center"/>
              <w:ind w:left="93"/>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8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or Base</w:t>
            </w:r>
          </w:p>
        </w:tc>
        <w:tc>
          <w:tcPr>
            <w:tcW w:w="180" w:type="dxa"/>
            <w:vAlign w:val="bottom"/>
          </w:tcPr>
          <w:p>
            <w:pPr>
              <w:spacing w:after="0"/>
              <w:rPr>
                <w:sz w:val="11"/>
                <w:szCs w:val="11"/>
                <w:color w:val="auto"/>
              </w:rPr>
            </w:pPr>
          </w:p>
        </w:tc>
        <w:tc>
          <w:tcPr>
            <w:tcW w:w="6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Plan Awards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5"/>
          </w:tcPr>
          <w:p>
            <w:pPr>
              <w:jc w:val="center"/>
              <w:ind w:right="20"/>
              <w:spacing w:after="0" w:line="135" w:lineRule="exact"/>
              <w:rPr>
                <w:sz w:val="20"/>
                <w:szCs w:val="20"/>
                <w:color w:val="auto"/>
              </w:rPr>
            </w:pPr>
            <w:r>
              <w:rPr>
                <w:rFonts w:ascii="Arial" w:cs="Arial" w:eastAsia="Arial" w:hAnsi="Arial"/>
                <w:sz w:val="13"/>
                <w:szCs w:val="13"/>
                <w:b w:val="1"/>
                <w:bCs w:val="1"/>
                <w:color w:val="auto"/>
                <w:w w:val="90"/>
              </w:rPr>
              <w:t>Plan Awards (a)</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of</w:t>
            </w: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18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 of</w:t>
            </w:r>
          </w:p>
        </w:tc>
        <w:tc>
          <w:tcPr>
            <w:tcW w:w="180" w:type="dxa"/>
            <w:vAlign w:val="bottom"/>
          </w:tcPr>
          <w:p>
            <w:pPr>
              <w:spacing w:after="0"/>
              <w:rPr>
                <w:sz w:val="11"/>
                <w:szCs w:val="11"/>
                <w:color w:val="auto"/>
              </w:rPr>
            </w:pPr>
          </w:p>
        </w:tc>
        <w:tc>
          <w:tcPr>
            <w:tcW w:w="6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4"/>
              </w:rPr>
              <w:t>Stock or</w:t>
            </w:r>
          </w:p>
        </w:tc>
        <w:tc>
          <w:tcPr>
            <w:tcW w:w="820" w:type="dxa"/>
            <w:vAlign w:val="bottom"/>
            <w:gridSpan w:val="2"/>
            <w:vMerge w:val="restart"/>
          </w:tcPr>
          <w:p>
            <w:pPr>
              <w:jc w:val="center"/>
              <w:ind w:left="110"/>
              <w:spacing w:after="0" w:line="117" w:lineRule="exact"/>
              <w:rPr>
                <w:sz w:val="20"/>
                <w:szCs w:val="20"/>
                <w:color w:val="auto"/>
              </w:rPr>
            </w:pPr>
            <w:r>
              <w:rPr>
                <w:rFonts w:ascii="Arial" w:cs="Arial" w:eastAsia="Arial" w:hAnsi="Arial"/>
                <w:sz w:val="13"/>
                <w:szCs w:val="13"/>
                <w:b w:val="1"/>
                <w:bCs w:val="1"/>
                <w:color w:val="auto"/>
                <w:w w:val="88"/>
              </w:rPr>
              <w:t>Underlying</w:t>
            </w:r>
          </w:p>
        </w:tc>
        <w:tc>
          <w:tcPr>
            <w:tcW w:w="180" w:type="dxa"/>
            <w:vAlign w:val="bottom"/>
          </w:tcPr>
          <w:p>
            <w:pPr>
              <w:spacing w:after="0"/>
              <w:rPr>
                <w:sz w:val="2"/>
                <w:szCs w:val="2"/>
                <w:color w:val="auto"/>
              </w:rPr>
            </w:pPr>
          </w:p>
        </w:tc>
        <w:tc>
          <w:tcPr>
            <w:tcW w:w="4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90"/>
              </w:rPr>
              <w:t>Option</w:t>
            </w:r>
          </w:p>
        </w:tc>
        <w:tc>
          <w:tcPr>
            <w:tcW w:w="180" w:type="dxa"/>
            <w:vAlign w:val="bottom"/>
          </w:tcPr>
          <w:p>
            <w:pPr>
              <w:spacing w:after="0"/>
              <w:rPr>
                <w:sz w:val="2"/>
                <w:szCs w:val="2"/>
                <w:color w:val="auto"/>
              </w:rPr>
            </w:pPr>
          </w:p>
        </w:tc>
        <w:tc>
          <w:tcPr>
            <w:tcW w:w="680" w:type="dxa"/>
            <w:vAlign w:val="bottom"/>
            <w:gridSpan w:val="2"/>
            <w:vMerge w:val="restart"/>
          </w:tcPr>
          <w:p>
            <w:pPr>
              <w:jc w:val="center"/>
              <w:ind w:right="60"/>
              <w:spacing w:after="0" w:line="117"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9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72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Grant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Threshold</w:t>
            </w:r>
          </w:p>
        </w:tc>
        <w:tc>
          <w:tcPr>
            <w:tcW w:w="1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Target</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Maximum</w:t>
            </w:r>
          </w:p>
        </w:tc>
        <w:tc>
          <w:tcPr>
            <w:tcW w:w="74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9"/>
              </w:rPr>
              <w:t>Threshold</w:t>
            </w:r>
          </w:p>
        </w:tc>
        <w:tc>
          <w:tcPr>
            <w:tcW w:w="56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5"/>
              </w:rPr>
              <w:t>Target</w:t>
            </w:r>
          </w:p>
        </w:tc>
        <w:tc>
          <w:tcPr>
            <w:tcW w:w="76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w:t>
            </w: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18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18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40"/>
        </w:trPr>
        <w:tc>
          <w:tcPr>
            <w:tcW w:w="2920" w:type="dxa"/>
            <w:vAlign w:val="bottom"/>
            <w:gridSpan w:val="3"/>
            <w:vMerge w:val="continue"/>
          </w:tcPr>
          <w:p>
            <w:pPr>
              <w:spacing w:after="0"/>
              <w:rPr>
                <w:sz w:val="12"/>
                <w:szCs w:val="12"/>
                <w:color w:val="auto"/>
              </w:rPr>
            </w:pPr>
          </w:p>
        </w:tc>
        <w:tc>
          <w:tcPr>
            <w:tcW w:w="720" w:type="dxa"/>
            <w:vAlign w:val="bottom"/>
          </w:tcPr>
          <w:p>
            <w:pPr>
              <w:jc w:val="right"/>
              <w:ind w:right="170"/>
              <w:spacing w:after="0" w:line="140" w:lineRule="exact"/>
              <w:rPr>
                <w:sz w:val="20"/>
                <w:szCs w:val="20"/>
                <w:color w:val="auto"/>
              </w:rPr>
            </w:pPr>
            <w:r>
              <w:rPr>
                <w:rFonts w:ascii="Arial" w:cs="Arial" w:eastAsia="Arial" w:hAnsi="Arial"/>
                <w:sz w:val="13"/>
                <w:szCs w:val="13"/>
                <w:b w:val="1"/>
                <w:bCs w:val="1"/>
                <w:color w:val="auto"/>
              </w:rPr>
              <w:t>Date</w:t>
            </w:r>
          </w:p>
        </w:tc>
        <w:tc>
          <w:tcPr>
            <w:tcW w:w="740" w:type="dxa"/>
            <w:vAlign w:val="bottom"/>
            <w:gridSpan w:val="2"/>
          </w:tcPr>
          <w:p>
            <w:pPr>
              <w:jc w:val="right"/>
              <w:ind w:right="156"/>
              <w:spacing w:after="0" w:line="140"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35"/>
              <w:spacing w:after="0" w:line="140"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620" w:type="dxa"/>
            <w:vAlign w:val="bottom"/>
          </w:tcPr>
          <w:p>
            <w:pPr>
              <w:jc w:val="right"/>
              <w:ind w:right="171"/>
              <w:spacing w:after="0" w:line="140"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37"/>
              <w:spacing w:after="0" w:line="140" w:lineRule="exact"/>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jc w:val="center"/>
              <w:ind w:left="117"/>
              <w:spacing w:after="0" w:line="140" w:lineRule="exact"/>
              <w:rPr>
                <w:sz w:val="20"/>
                <w:szCs w:val="20"/>
                <w:color w:val="auto"/>
              </w:rPr>
            </w:pPr>
            <w:r>
              <w:rPr>
                <w:rFonts w:ascii="Arial" w:cs="Arial" w:eastAsia="Arial" w:hAnsi="Arial"/>
                <w:sz w:val="13"/>
                <w:szCs w:val="13"/>
                <w:b w:val="1"/>
                <w:bCs w:val="1"/>
                <w:color w:val="auto"/>
                <w:w w:val="87"/>
              </w:rPr>
              <w:t>(#)</w:t>
            </w:r>
          </w:p>
        </w:tc>
        <w:tc>
          <w:tcPr>
            <w:tcW w:w="760" w:type="dxa"/>
            <w:vAlign w:val="bottom"/>
            <w:gridSpan w:val="2"/>
          </w:tcPr>
          <w:p>
            <w:pPr>
              <w:jc w:val="right"/>
              <w:ind w:right="220"/>
              <w:spacing w:after="0" w:line="140"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6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2"/>
              </w:rPr>
              <w:t>(#)(b)</w:t>
            </w:r>
          </w:p>
        </w:tc>
        <w:tc>
          <w:tcPr>
            <w:tcW w:w="20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(#)(c)</w:t>
            </w:r>
          </w:p>
        </w:tc>
        <w:tc>
          <w:tcPr>
            <w:tcW w:w="180" w:type="dxa"/>
            <w:vAlign w:val="bottom"/>
          </w:tcPr>
          <w:p>
            <w:pPr>
              <w:spacing w:after="0"/>
              <w:rPr>
                <w:sz w:val="12"/>
                <w:szCs w:val="12"/>
                <w:color w:val="auto"/>
              </w:rPr>
            </w:pPr>
          </w:p>
        </w:tc>
        <w:tc>
          <w:tcPr>
            <w:tcW w:w="4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8"/>
              </w:rPr>
              <w:t>($/Sh)</w:t>
            </w: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0" w:lineRule="exact"/>
              <w:rPr>
                <w:sz w:val="20"/>
                <w:szCs w:val="20"/>
                <w:color w:val="auto"/>
              </w:rPr>
            </w:pPr>
            <w:r>
              <w:rPr>
                <w:rFonts w:ascii="Arial" w:cs="Arial" w:eastAsia="Arial" w:hAnsi="Arial"/>
                <w:sz w:val="13"/>
                <w:szCs w:val="13"/>
                <w:b w:val="1"/>
                <w:bCs w:val="1"/>
                <w:color w:val="auto"/>
                <w:w w:val="92"/>
              </w:rPr>
              <w:t>($)(d)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James C. Collins, Jr.</w:t>
            </w:r>
          </w:p>
        </w:tc>
        <w:tc>
          <w:tcPr>
            <w:tcW w:w="7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02/15/2018</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400,000</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7"/>
              </w:rPr>
              <w:t>800,000</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1,600,000</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ind w:left="380"/>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226,391</w:t>
            </w: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71.85</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3,500,005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02/15/2018</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20" w:type="dxa"/>
            <w:vAlign w:val="bottom"/>
            <w:gridSpan w:val="3"/>
          </w:tcPr>
          <w:p>
            <w:pPr>
              <w:spacing w:after="0"/>
              <w:rPr>
                <w:sz w:val="20"/>
                <w:szCs w:val="20"/>
                <w:color w:val="auto"/>
              </w:rPr>
            </w:pPr>
            <w:r>
              <w:rPr>
                <w:rFonts w:ascii="Arial" w:cs="Arial" w:eastAsia="Arial" w:hAnsi="Arial"/>
                <w:sz w:val="14"/>
                <w:szCs w:val="14"/>
                <w:color w:val="auto"/>
              </w:rPr>
              <w:t>Gregory R. Friedman</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02/15/2018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186,000</w:t>
            </w:r>
          </w:p>
        </w:tc>
        <w:tc>
          <w:tcPr>
            <w:tcW w:w="700" w:type="dxa"/>
            <w:vAlign w:val="bottom"/>
            <w:gridSpan w:val="2"/>
          </w:tcPr>
          <w:p>
            <w:pPr>
              <w:jc w:val="center"/>
              <w:ind w:left="132"/>
              <w:spacing w:after="0"/>
              <w:rPr>
                <w:sz w:val="20"/>
                <w:szCs w:val="20"/>
                <w:color w:val="auto"/>
              </w:rPr>
            </w:pPr>
            <w:r>
              <w:rPr>
                <w:rFonts w:ascii="Arial" w:cs="Arial" w:eastAsia="Arial" w:hAnsi="Arial"/>
                <w:sz w:val="14"/>
                <w:szCs w:val="14"/>
                <w:color w:val="auto"/>
                <w:w w:val="90"/>
              </w:rPr>
              <w:t>372,000</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744,000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32,342</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71.85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500,007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02/15/2018</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Rajan Gajaria</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02/15/2018</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175,002</w:t>
            </w:r>
          </w:p>
        </w:tc>
        <w:tc>
          <w:tcPr>
            <w:tcW w:w="700" w:type="dxa"/>
            <w:vAlign w:val="bottom"/>
            <w:gridSpan w:val="2"/>
            <w:shd w:val="clear" w:color="auto" w:fill="CCEEFF"/>
          </w:tcPr>
          <w:p>
            <w:pPr>
              <w:jc w:val="center"/>
              <w:ind w:left="132"/>
              <w:spacing w:after="0" w:line="130" w:lineRule="exact"/>
              <w:rPr>
                <w:sz w:val="20"/>
                <w:szCs w:val="20"/>
                <w:color w:val="auto"/>
              </w:rPr>
            </w:pPr>
            <w:r>
              <w:rPr>
                <w:rFonts w:ascii="Arial" w:cs="Arial" w:eastAsia="Arial" w:hAnsi="Arial"/>
                <w:sz w:val="14"/>
                <w:szCs w:val="14"/>
                <w:color w:val="auto"/>
                <w:w w:val="90"/>
              </w:rPr>
              <w:t>350,003</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700,006</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3,480</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16,180</w:t>
            </w:r>
          </w:p>
        </w:tc>
        <w:tc>
          <w:tcPr>
            <w:tcW w:w="6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71.85</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250,038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02/15/2018</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250,143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02/15/2018</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20" w:type="dxa"/>
            <w:vAlign w:val="bottom"/>
            <w:gridSpan w:val="3"/>
          </w:tcPr>
          <w:p>
            <w:pPr>
              <w:spacing w:after="0"/>
              <w:rPr>
                <w:sz w:val="20"/>
                <w:szCs w:val="20"/>
                <w:color w:val="auto"/>
              </w:rPr>
            </w:pPr>
            <w:r>
              <w:rPr>
                <w:rFonts w:ascii="Arial" w:cs="Arial" w:eastAsia="Arial" w:hAnsi="Arial"/>
                <w:sz w:val="14"/>
                <w:szCs w:val="14"/>
                <w:color w:val="auto"/>
              </w:rPr>
              <w:t>Timothy P. Glenn</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02/15/2018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183,750</w:t>
            </w:r>
          </w:p>
        </w:tc>
        <w:tc>
          <w:tcPr>
            <w:tcW w:w="700" w:type="dxa"/>
            <w:vAlign w:val="bottom"/>
            <w:gridSpan w:val="2"/>
          </w:tcPr>
          <w:p>
            <w:pPr>
              <w:jc w:val="center"/>
              <w:ind w:left="132"/>
              <w:spacing w:after="0"/>
              <w:rPr>
                <w:sz w:val="20"/>
                <w:szCs w:val="20"/>
                <w:color w:val="auto"/>
              </w:rPr>
            </w:pPr>
            <w:r>
              <w:rPr>
                <w:rFonts w:ascii="Arial" w:cs="Arial" w:eastAsia="Arial" w:hAnsi="Arial"/>
                <w:sz w:val="14"/>
                <w:szCs w:val="14"/>
                <w:color w:val="auto"/>
                <w:w w:val="90"/>
              </w:rPr>
              <w:t>367,500</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735,000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45,279</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71.85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700,013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02/15/2018</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Neal Gutterson</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02/15/2018</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166,250</w:t>
            </w:r>
          </w:p>
        </w:tc>
        <w:tc>
          <w:tcPr>
            <w:tcW w:w="700" w:type="dxa"/>
            <w:vAlign w:val="bottom"/>
            <w:gridSpan w:val="2"/>
            <w:shd w:val="clear" w:color="auto" w:fill="CCEEFF"/>
          </w:tcPr>
          <w:p>
            <w:pPr>
              <w:jc w:val="center"/>
              <w:ind w:left="132"/>
              <w:spacing w:after="0" w:line="130" w:lineRule="exact"/>
              <w:rPr>
                <w:sz w:val="20"/>
                <w:szCs w:val="20"/>
                <w:color w:val="auto"/>
              </w:rPr>
            </w:pPr>
            <w:r>
              <w:rPr>
                <w:rFonts w:ascii="Arial" w:cs="Arial" w:eastAsia="Arial" w:hAnsi="Arial"/>
                <w:sz w:val="14"/>
                <w:szCs w:val="14"/>
                <w:color w:val="auto"/>
                <w:w w:val="90"/>
              </w:rPr>
              <w:t>332,500</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665,000</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25,874</w:t>
            </w:r>
          </w:p>
        </w:tc>
        <w:tc>
          <w:tcPr>
            <w:tcW w:w="6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71.85</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400,012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02/15/2018</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263"/>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share awards were not granted in 2018.</w:t>
      </w:r>
    </w:p>
    <w:p>
      <w:pPr>
        <w:spacing w:after="0" w:line="23" w:lineRule="exact"/>
        <w:rPr>
          <w:rFonts w:ascii="Arial" w:cs="Arial" w:eastAsia="Arial" w:hAnsi="Arial"/>
          <w:sz w:val="18"/>
          <w:szCs w:val="18"/>
          <w:i w:val="1"/>
          <w:iCs w:val="1"/>
          <w:color w:val="auto"/>
        </w:rPr>
      </w:pPr>
    </w:p>
    <w:p>
      <w:pPr>
        <w:ind w:left="640" w:right="120" w:hanging="436"/>
        <w:spacing w:after="0" w:line="250" w:lineRule="auto"/>
        <w:tabs>
          <w:tab w:leader="none" w:pos="640" w:val="left"/>
        </w:tabs>
        <w:numPr>
          <w:ilvl w:val="0"/>
          <w:numId w:val="263"/>
        </w:numPr>
        <w:rPr>
          <w:rFonts w:ascii="Arial" w:cs="Arial" w:eastAsia="Arial" w:hAnsi="Arial"/>
          <w:sz w:val="18"/>
          <w:szCs w:val="18"/>
          <w:i w:val="1"/>
          <w:iCs w:val="1"/>
          <w:color w:val="auto"/>
        </w:rPr>
      </w:pPr>
      <w:r>
        <w:rPr>
          <w:rFonts w:ascii="Arial" w:cs="Arial" w:eastAsia="Arial" w:hAnsi="Arial"/>
          <w:sz w:val="18"/>
          <w:szCs w:val="18"/>
          <w:i w:val="1"/>
          <w:iCs w:val="1"/>
          <w:color w:val="auto"/>
        </w:rPr>
        <w:t>RSUs were not granted to Corteva NEOs who are Historical DuPont employees. Mr. Gajaria received a grant of RSUs as part of his annual LTI award as described in the section above entitled “Compensation Discussion and Analysis—2018 Compensation Decisions—Long-Term Incentive (LTI) Compensation.”</w:t>
      </w:r>
    </w:p>
    <w:p>
      <w:pPr>
        <w:spacing w:after="0" w:line="1" w:lineRule="exact"/>
        <w:rPr>
          <w:rFonts w:ascii="Arial" w:cs="Arial" w:eastAsia="Arial" w:hAnsi="Arial"/>
          <w:sz w:val="18"/>
          <w:szCs w:val="18"/>
          <w:i w:val="1"/>
          <w:iCs w:val="1"/>
          <w:color w:val="auto"/>
        </w:rPr>
      </w:pPr>
    </w:p>
    <w:p>
      <w:pPr>
        <w:ind w:left="640" w:right="180" w:hanging="436"/>
        <w:spacing w:after="0" w:line="250" w:lineRule="auto"/>
        <w:tabs>
          <w:tab w:leader="none" w:pos="640" w:val="left"/>
        </w:tabs>
        <w:numPr>
          <w:ilvl w:val="0"/>
          <w:numId w:val="263"/>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 awards as described in the section above entitled “Compensation Discussion and Analysis—2018 Compensation Decisions—Long-Term Incentive (LTI) Compensation.”</w:t>
      </w:r>
    </w:p>
    <w:p>
      <w:pPr>
        <w:ind w:left="640" w:right="220" w:hanging="436"/>
        <w:spacing w:after="0" w:line="261" w:lineRule="auto"/>
        <w:tabs>
          <w:tab w:leader="none" w:pos="640" w:val="left"/>
        </w:tabs>
        <w:numPr>
          <w:ilvl w:val="0"/>
          <w:numId w:val="263"/>
        </w:numPr>
        <w:rPr>
          <w:rFonts w:ascii="Arial" w:cs="Arial" w:eastAsia="Arial" w:hAnsi="Arial"/>
          <w:sz w:val="18"/>
          <w:szCs w:val="18"/>
          <w:i w:val="1"/>
          <w:iCs w:val="1"/>
          <w:color w:val="auto"/>
        </w:rPr>
      </w:pPr>
      <w:r>
        <w:rPr>
          <w:rFonts w:ascii="Arial" w:cs="Arial" w:eastAsia="Arial" w:hAnsi="Arial"/>
          <w:sz w:val="18"/>
          <w:szCs w:val="18"/>
          <w:i w:val="1"/>
          <w:iCs w:val="1"/>
          <w:color w:val="auto"/>
        </w:rPr>
        <w:t>Amounts represent the aggregate grant date fair value of awards in the year of grant in accordance with the same standard applied for financial accounting purposes consistent with the values shown in the Summary Compensation Table.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240" w:top="459" w:right="41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w:t>
      </w:r>
    </w:p>
    <w:p>
      <w:pPr>
        <w:spacing w:after="0" w:line="121"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The following table lists outstanding equity grants for each Corteva NEO as of December 31, 2018, including outstanding equity grants made in previous years. See the section entitled “Compensation Discussion and Analysis—Treatment of Outstanding Equity Awards Resulting from the Dow Distribution and the Corteva Distribution” for a description of the treatment of these awards in connection with the distributions.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4"/>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Market</w:t>
            </w:r>
          </w:p>
        </w:tc>
        <w:tc>
          <w:tcPr>
            <w:tcW w:w="88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vMerge w:val="restart"/>
          </w:tcPr>
          <w:p>
            <w:pPr>
              <w:jc w:val="center"/>
              <w:ind w:left="128"/>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880" w:type="dxa"/>
            <w:vAlign w:val="bottom"/>
            <w:gridSpan w:val="4"/>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Value of</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2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98"/>
              </w:rPr>
              <w:t>Securities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of Stock</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That</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44"/>
        </w:trPr>
        <w:tc>
          <w:tcPr>
            <w:tcW w:w="2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Exercisable</w:t>
            </w:r>
          </w:p>
        </w:tc>
        <w:tc>
          <w:tcPr>
            <w:tcW w:w="1080" w:type="dxa"/>
            <w:vAlign w:val="bottom"/>
            <w:gridSpan w:val="2"/>
          </w:tcPr>
          <w:p>
            <w:pPr>
              <w:jc w:val="center"/>
              <w:ind w:left="148"/>
              <w:spacing w:after="0" w:line="145" w:lineRule="exact"/>
              <w:rPr>
                <w:sz w:val="20"/>
                <w:szCs w:val="20"/>
                <w:color w:val="auto"/>
              </w:rPr>
            </w:pPr>
            <w:r>
              <w:rPr>
                <w:rFonts w:ascii="Arial" w:cs="Arial" w:eastAsia="Arial" w:hAnsi="Arial"/>
                <w:sz w:val="14"/>
                <w:szCs w:val="14"/>
                <w:b w:val="1"/>
                <w:bCs w:val="1"/>
                <w:color w:val="auto"/>
                <w:w w:val="90"/>
              </w:rPr>
              <w:t>Unexercisable</w:t>
            </w: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Price</w:t>
            </w: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Vested (#)</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87"/>
              </w:rPr>
              <w:t>Vested</w:t>
            </w:r>
          </w:p>
        </w:tc>
        <w:tc>
          <w:tcPr>
            <w:tcW w:w="22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Vested (#)</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62"/>
        </w:trPr>
        <w:tc>
          <w:tcPr>
            <w:tcW w:w="2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74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 (b) (c)</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(c) (d)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James C. Collins, Jr.</w:t>
            </w:r>
          </w:p>
        </w:tc>
        <w:tc>
          <w:tcPr>
            <w:tcW w:w="160" w:type="dxa"/>
            <w:vAlign w:val="bottom"/>
            <w:shd w:val="clear" w:color="auto" w:fill="CCEEFF"/>
          </w:tcPr>
          <w:p>
            <w:pPr>
              <w:spacing w:after="0"/>
              <w:rPr>
                <w:sz w:val="10"/>
                <w:szCs w:val="10"/>
                <w:color w:val="auto"/>
              </w:rPr>
            </w:pPr>
          </w:p>
        </w:tc>
        <w:tc>
          <w:tcPr>
            <w:tcW w:w="720" w:type="dxa"/>
            <w:vAlign w:val="bottom"/>
            <w:gridSpan w:val="4"/>
            <w:shd w:val="clear" w:color="auto" w:fill="CCEEFF"/>
          </w:tcPr>
          <w:p>
            <w:pPr>
              <w:jc w:val="right"/>
              <w:ind w:right="20"/>
              <w:spacing w:after="0" w:line="117" w:lineRule="exact"/>
              <w:rPr>
                <w:sz w:val="20"/>
                <w:szCs w:val="20"/>
                <w:color w:val="auto"/>
              </w:rPr>
            </w:pPr>
            <w:r>
              <w:rPr>
                <w:rFonts w:ascii="Arial" w:cs="Arial" w:eastAsia="Arial" w:hAnsi="Arial"/>
                <w:sz w:val="13"/>
                <w:szCs w:val="13"/>
                <w:color w:val="auto"/>
              </w:rPr>
              <w:t>02/04/2015</w:t>
            </w: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16,245</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  55.44</w:t>
            </w: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02/03/2022</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ind w:left="460"/>
              <w:spacing w:after="0" w:line="117"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ind w:left="440"/>
              <w:spacing w:after="0" w:line="117"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07/29/2015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75,019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4,012,014</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02/03/2016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22,612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25,512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45.84</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02/02/2026</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02/02/2017</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25,666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51,332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59.42</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02/01/2027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25,207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1,348,053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11/26/2017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17,497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935,740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8"/>
              </w:rPr>
              <w:t>02/15/2018</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226,391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71.85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02/14/2028</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2920" w:type="dxa"/>
            <w:vAlign w:val="bottom"/>
            <w:gridSpan w:val="3"/>
          </w:tcPr>
          <w:p>
            <w:pPr>
              <w:spacing w:after="0"/>
              <w:rPr>
                <w:sz w:val="20"/>
                <w:szCs w:val="20"/>
                <w:color w:val="auto"/>
              </w:rPr>
            </w:pPr>
            <w:r>
              <w:rPr>
                <w:rFonts w:ascii="Arial" w:cs="Arial" w:eastAsia="Arial" w:hAnsi="Arial"/>
                <w:sz w:val="14"/>
                <w:szCs w:val="14"/>
                <w:color w:val="auto"/>
              </w:rPr>
              <w:t>Gregory R. Friedman</w:t>
            </w:r>
          </w:p>
        </w:tc>
        <w:tc>
          <w:tcPr>
            <w:tcW w:w="880" w:type="dxa"/>
            <w:vAlign w:val="bottom"/>
            <w:gridSpan w:val="5"/>
          </w:tcPr>
          <w:p>
            <w:pPr>
              <w:jc w:val="right"/>
              <w:ind w:right="20"/>
              <w:spacing w:after="0"/>
              <w:rPr>
                <w:sz w:val="20"/>
                <w:szCs w:val="20"/>
                <w:color w:val="auto"/>
              </w:rPr>
            </w:pPr>
            <w:r>
              <w:rPr>
                <w:rFonts w:ascii="Arial" w:cs="Arial" w:eastAsia="Arial" w:hAnsi="Arial"/>
                <w:sz w:val="14"/>
                <w:szCs w:val="14"/>
                <w:color w:val="auto"/>
              </w:rPr>
              <w:t>02/05/2014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10,695</w:t>
            </w:r>
          </w:p>
        </w:tc>
        <w:tc>
          <w:tcPr>
            <w:tcW w:w="220" w:type="dxa"/>
            <w:vAlign w:val="bottom"/>
          </w:tcPr>
          <w:p>
            <w:pPr>
              <w:spacing w:after="0"/>
              <w:rPr>
                <w:sz w:val="20"/>
                <w:szCs w:val="20"/>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46.54</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02/04/2021</w:t>
            </w:r>
          </w:p>
        </w:tc>
        <w:tc>
          <w:tcPr>
            <w:tcW w:w="22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02/04/2015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7,095</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55.44</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02/03/2022</w:t>
            </w:r>
          </w:p>
        </w:tc>
        <w:tc>
          <w:tcPr>
            <w:tcW w:w="22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02/03/2016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8,419</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45.84</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02/02/2026</w:t>
            </w:r>
          </w:p>
        </w:tc>
        <w:tc>
          <w:tcPr>
            <w:tcW w:w="22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02/02/2017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4,107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8,213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59.42</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02/01/2027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4,217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225,535</w:t>
            </w:r>
          </w:p>
        </w:tc>
        <w:tc>
          <w:tcPr>
            <w:tcW w:w="22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4"/>
                <w:szCs w:val="14"/>
                <w:color w:val="auto"/>
              </w:rPr>
              <w:t>02/15/2018</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32,342</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71.85</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02/14/2028</w:t>
            </w:r>
          </w:p>
        </w:tc>
        <w:tc>
          <w:tcPr>
            <w:tcW w:w="220" w:type="dxa"/>
            <w:vAlign w:val="bottom"/>
          </w:tcPr>
          <w:p>
            <w:pPr>
              <w:spacing w:after="0"/>
              <w:rPr>
                <w:sz w:val="15"/>
                <w:szCs w:val="15"/>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Rajan Gajaria</w:t>
            </w:r>
          </w:p>
        </w:tc>
        <w:tc>
          <w:tcPr>
            <w:tcW w:w="880" w:type="dxa"/>
            <w:vAlign w:val="bottom"/>
            <w:gridSpan w:val="5"/>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02/14/2014</w:t>
            </w:r>
          </w:p>
        </w:tc>
        <w:tc>
          <w:tcPr>
            <w:tcW w:w="9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4,161</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46.71</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02/14/2024</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02/13/2015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49.44</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02/13/2025</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02/12/2016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7,126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46.01</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02/12/2026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6,704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358,530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02/10/2017</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5,407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61.19</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02/10/2027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5,532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295,851</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02/15/2018</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71.85</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02/15/2028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3,480</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186,110</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2920" w:type="dxa"/>
            <w:vAlign w:val="bottom"/>
            <w:gridSpan w:val="3"/>
          </w:tcPr>
          <w:p>
            <w:pPr>
              <w:spacing w:after="0"/>
              <w:rPr>
                <w:sz w:val="20"/>
                <w:szCs w:val="20"/>
                <w:color w:val="auto"/>
              </w:rPr>
            </w:pPr>
            <w:r>
              <w:rPr>
                <w:rFonts w:ascii="Arial" w:cs="Arial" w:eastAsia="Arial" w:hAnsi="Arial"/>
                <w:sz w:val="14"/>
                <w:szCs w:val="14"/>
                <w:color w:val="auto"/>
              </w:rPr>
              <w:t>Timothy P. Glenn</w:t>
            </w:r>
          </w:p>
        </w:tc>
        <w:tc>
          <w:tcPr>
            <w:tcW w:w="880" w:type="dxa"/>
            <w:vAlign w:val="bottom"/>
            <w:gridSpan w:val="5"/>
          </w:tcPr>
          <w:p>
            <w:pPr>
              <w:jc w:val="right"/>
              <w:ind w:right="20"/>
              <w:spacing w:after="0"/>
              <w:rPr>
                <w:sz w:val="20"/>
                <w:szCs w:val="20"/>
                <w:color w:val="auto"/>
              </w:rPr>
            </w:pPr>
            <w:r>
              <w:rPr>
                <w:rFonts w:ascii="Arial" w:cs="Arial" w:eastAsia="Arial" w:hAnsi="Arial"/>
                <w:sz w:val="14"/>
                <w:szCs w:val="14"/>
                <w:color w:val="auto"/>
              </w:rPr>
              <w:t>02/05/2014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5,028</w:t>
            </w:r>
          </w:p>
        </w:tc>
        <w:tc>
          <w:tcPr>
            <w:tcW w:w="220" w:type="dxa"/>
            <w:vAlign w:val="bottom"/>
          </w:tcPr>
          <w:p>
            <w:pPr>
              <w:spacing w:after="0"/>
              <w:rPr>
                <w:sz w:val="20"/>
                <w:szCs w:val="20"/>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46.54</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02/04/2021</w:t>
            </w:r>
          </w:p>
        </w:tc>
        <w:tc>
          <w:tcPr>
            <w:tcW w:w="22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02/04/2015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10,407</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55.44</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02/03/2022</w:t>
            </w:r>
          </w:p>
        </w:tc>
        <w:tc>
          <w:tcPr>
            <w:tcW w:w="22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01/02/2016</w:t>
            </w:r>
          </w:p>
        </w:tc>
        <w:tc>
          <w:tcPr>
            <w:tcW w:w="2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30,820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1,648,265</w:t>
            </w:r>
          </w:p>
        </w:tc>
        <w:tc>
          <w:tcPr>
            <w:tcW w:w="22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02/03/2016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12,757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6,378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45.84</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02/02/2026</w:t>
            </w:r>
          </w:p>
        </w:tc>
        <w:tc>
          <w:tcPr>
            <w:tcW w:w="22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02/02/2017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7,187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14,372</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59.42</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02/01/2027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7,380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394,659</w:t>
            </w:r>
          </w:p>
        </w:tc>
        <w:tc>
          <w:tcPr>
            <w:tcW w:w="22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4"/>
                <w:szCs w:val="14"/>
                <w:color w:val="auto"/>
              </w:rPr>
              <w:t>02/15/2018</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45,279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71.85</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02/14/2028</w:t>
            </w:r>
          </w:p>
        </w:tc>
        <w:tc>
          <w:tcPr>
            <w:tcW w:w="220" w:type="dxa"/>
            <w:vAlign w:val="bottom"/>
          </w:tcPr>
          <w:p>
            <w:pPr>
              <w:spacing w:after="0"/>
              <w:rPr>
                <w:sz w:val="15"/>
                <w:szCs w:val="15"/>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Neal Gutterson</w:t>
            </w:r>
          </w:p>
        </w:tc>
        <w:tc>
          <w:tcPr>
            <w:tcW w:w="160" w:type="dxa"/>
            <w:vAlign w:val="bottom"/>
            <w:shd w:val="clear" w:color="auto" w:fill="CCEEFF"/>
          </w:tcPr>
          <w:p>
            <w:pPr>
              <w:spacing w:after="0"/>
              <w:rPr>
                <w:sz w:val="11"/>
                <w:szCs w:val="11"/>
                <w:color w:val="auto"/>
              </w:rPr>
            </w:pPr>
          </w:p>
        </w:tc>
        <w:tc>
          <w:tcPr>
            <w:tcW w:w="720" w:type="dxa"/>
            <w:vAlign w:val="bottom"/>
            <w:gridSpan w:val="4"/>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w w:val="96"/>
              </w:rPr>
              <w:t>02/04/2015</w:t>
            </w:r>
          </w:p>
        </w:tc>
        <w:tc>
          <w:tcPr>
            <w:tcW w:w="9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3,746</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55.44</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02/03/2022</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02/03/2016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45.84</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02/02/2026</w:t>
            </w:r>
          </w:p>
        </w:tc>
        <w:tc>
          <w:tcPr>
            <w:tcW w:w="9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w w:val="85"/>
              </w:rPr>
              <w:t>933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49,897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02/02/2017</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59.42</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02/01/2027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93,989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8"/>
              </w:rPr>
              <w:t>02/15/2018</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25,874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71.85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02/14/2028</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64"/>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 awards vest in three equal installments on the first, second and third anniversaries of the grant date shown in the table.</w:t>
      </w:r>
    </w:p>
    <w:p>
      <w:pPr>
        <w:spacing w:after="0" w:line="23" w:lineRule="exact"/>
        <w:rPr>
          <w:rFonts w:ascii="Arial" w:cs="Arial" w:eastAsia="Arial" w:hAnsi="Arial"/>
          <w:sz w:val="18"/>
          <w:szCs w:val="18"/>
          <w:i w:val="1"/>
          <w:iCs w:val="1"/>
          <w:color w:val="auto"/>
        </w:rPr>
      </w:pPr>
    </w:p>
    <w:p>
      <w:pPr>
        <w:ind w:left="640" w:right="60" w:hanging="436"/>
        <w:spacing w:after="0" w:line="250" w:lineRule="auto"/>
        <w:tabs>
          <w:tab w:leader="none" w:pos="640" w:val="left"/>
        </w:tabs>
        <w:numPr>
          <w:ilvl w:val="0"/>
          <w:numId w:val="264"/>
        </w:numPr>
        <w:rPr>
          <w:rFonts w:ascii="Arial" w:cs="Arial" w:eastAsia="Arial" w:hAnsi="Arial"/>
          <w:sz w:val="18"/>
          <w:szCs w:val="18"/>
          <w:i w:val="1"/>
          <w:iCs w:val="1"/>
          <w:color w:val="auto"/>
        </w:rPr>
      </w:pPr>
      <w:r>
        <w:rPr>
          <w:rFonts w:ascii="Arial" w:cs="Arial" w:eastAsia="Arial" w:hAnsi="Arial"/>
          <w:sz w:val="18"/>
          <w:szCs w:val="18"/>
          <w:i w:val="1"/>
          <w:iCs w:val="1"/>
          <w:color w:val="auto"/>
        </w:rPr>
        <w:t>RSUs granted by Historical DuPont generally vest in three equal installments on the first, second and third anniversaries of the grant date shown in the table. RSUs associated with the conversion of PSUs in connection with the Merger (stock awards granted on 02/02/2017 to Messrs. Collins, Friedman and Glenn) vest fully on 12/31/2019, which is the date on which the original performance period ends). RSUs granted by Historical Dow vest and are delivered on the third anniversary of the grant date.</w:t>
      </w:r>
    </w:p>
    <w:p>
      <w:pPr>
        <w:spacing w:after="0" w:line="1" w:lineRule="exact"/>
        <w:rPr>
          <w:rFonts w:ascii="Arial" w:cs="Arial" w:eastAsia="Arial" w:hAnsi="Arial"/>
          <w:sz w:val="18"/>
          <w:szCs w:val="18"/>
          <w:i w:val="1"/>
          <w:iCs w:val="1"/>
          <w:color w:val="auto"/>
        </w:rPr>
      </w:pPr>
    </w:p>
    <w:p>
      <w:pPr>
        <w:ind w:left="640" w:hanging="436"/>
        <w:spacing w:after="0"/>
        <w:tabs>
          <w:tab w:leader="none" w:pos="640" w:val="left"/>
        </w:tabs>
        <w:numPr>
          <w:ilvl w:val="0"/>
          <w:numId w:val="264"/>
        </w:numPr>
        <w:rPr>
          <w:rFonts w:ascii="Arial" w:cs="Arial" w:eastAsia="Arial" w:hAnsi="Arial"/>
          <w:sz w:val="18"/>
          <w:szCs w:val="18"/>
          <w:i w:val="1"/>
          <w:iCs w:val="1"/>
          <w:color w:val="auto"/>
        </w:rPr>
      </w:pPr>
      <w:r>
        <w:rPr>
          <w:rFonts w:ascii="Arial" w:cs="Arial" w:eastAsia="Arial" w:hAnsi="Arial"/>
          <w:sz w:val="18"/>
          <w:szCs w:val="18"/>
          <w:i w:val="1"/>
          <w:iCs w:val="1"/>
          <w:color w:val="auto"/>
        </w:rPr>
        <w:t>Market values based on the December 31, 2018 closing stock price of $53.48 per share of DowDuPont common stock.</w:t>
      </w:r>
    </w:p>
    <w:p>
      <w:pPr>
        <w:spacing w:after="0" w:line="9" w:lineRule="exact"/>
        <w:rPr>
          <w:rFonts w:ascii="Arial" w:cs="Arial" w:eastAsia="Arial" w:hAnsi="Arial"/>
          <w:sz w:val="18"/>
          <w:szCs w:val="18"/>
          <w:i w:val="1"/>
          <w:iCs w:val="1"/>
          <w:color w:val="auto"/>
        </w:rPr>
      </w:pPr>
    </w:p>
    <w:p>
      <w:pPr>
        <w:ind w:left="640" w:right="360" w:hanging="436"/>
        <w:spacing w:after="0" w:line="261" w:lineRule="auto"/>
        <w:tabs>
          <w:tab w:leader="none" w:pos="640" w:val="left"/>
        </w:tabs>
        <w:numPr>
          <w:ilvl w:val="0"/>
          <w:numId w:val="264"/>
        </w:numPr>
        <w:rPr>
          <w:rFonts w:ascii="Arial" w:cs="Arial" w:eastAsia="Arial" w:hAnsi="Arial"/>
          <w:sz w:val="18"/>
          <w:szCs w:val="18"/>
          <w:i w:val="1"/>
          <w:iCs w:val="1"/>
          <w:color w:val="auto"/>
        </w:rPr>
      </w:pPr>
      <w:r>
        <w:rPr>
          <w:rFonts w:ascii="Arial" w:cs="Arial" w:eastAsia="Arial" w:hAnsi="Arial"/>
          <w:sz w:val="18"/>
          <w:szCs w:val="18"/>
          <w:i w:val="1"/>
          <w:iCs w:val="1"/>
          <w:color w:val="auto"/>
        </w:rPr>
        <w:t>These PSUs are associated with Synergy Grants, and reflect the number of shares deliverable at threshold performance. The actual number of shares to be delivered will be determined at the end of the two-year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240" w:top="459" w:right="41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i w:val="1"/>
          <w:iCs w:val="1"/>
          <w:color w:val="auto"/>
        </w:rPr>
        <w:t>performance period. See the section entitled “Compensation Discussion and Analysis—2018 Compensation Decisions—Synergy and Speed to Spin Incentives.”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Exercises and Stock Vested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value received from stock option exercises and stock grants vested during 2018.</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gridSpan w:val="3"/>
          </w:tcPr>
          <w:p>
            <w:pPr>
              <w:ind w:left="52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5"/>
          </w:tcPr>
          <w:p>
            <w:pPr>
              <w:ind w:left="1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Value</w:t>
            </w:r>
          </w:p>
        </w:tc>
        <w:tc>
          <w:tcPr>
            <w:tcW w:w="54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208"/>
              <w:spacing w:after="0" w:line="119" w:lineRule="exact"/>
              <w:rPr>
                <w:sz w:val="20"/>
                <w:szCs w:val="20"/>
                <w:color w:val="auto"/>
              </w:rPr>
            </w:pPr>
            <w:r>
              <w:rPr>
                <w:rFonts w:ascii="Arial" w:cs="Arial" w:eastAsia="Arial" w:hAnsi="Arial"/>
                <w:sz w:val="13"/>
                <w:szCs w:val="13"/>
                <w:b w:val="1"/>
                <w:bCs w:val="1"/>
                <w:color w:val="auto"/>
              </w:rPr>
              <w:t>Number</w:t>
            </w: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0"/>
              </w:rPr>
              <w:t>of Shares</w:t>
            </w:r>
          </w:p>
        </w:tc>
        <w:tc>
          <w:tcPr>
            <w:tcW w:w="320" w:type="dxa"/>
            <w:vAlign w:val="bottom"/>
          </w:tcPr>
          <w:p>
            <w:pPr>
              <w:spacing w:after="0"/>
              <w:rPr>
                <w:sz w:val="12"/>
                <w:szCs w:val="12"/>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w:t>
            </w:r>
          </w:p>
        </w:tc>
        <w:tc>
          <w:tcPr>
            <w:tcW w:w="1240" w:type="dxa"/>
            <w:vAlign w:val="bottom"/>
            <w:gridSpan w:val="2"/>
          </w:tcPr>
          <w:p>
            <w:pPr>
              <w:jc w:val="center"/>
              <w:ind w:left="442"/>
              <w:spacing w:after="0" w:line="149" w:lineRule="exact"/>
              <w:rPr>
                <w:sz w:val="20"/>
                <w:szCs w:val="20"/>
                <w:color w:val="auto"/>
              </w:rPr>
            </w:pPr>
            <w:r>
              <w:rPr>
                <w:rFonts w:ascii="Arial" w:cs="Arial" w:eastAsia="Arial" w:hAnsi="Arial"/>
                <w:sz w:val="14"/>
                <w:szCs w:val="14"/>
                <w:b w:val="1"/>
                <w:bCs w:val="1"/>
                <w:color w:val="auto"/>
                <w:w w:val="92"/>
              </w:rPr>
              <w:t>Realized on</w:t>
            </w:r>
          </w:p>
        </w:tc>
        <w:tc>
          <w:tcPr>
            <w:tcW w:w="540" w:type="dxa"/>
            <w:vAlign w:val="bottom"/>
          </w:tcPr>
          <w:p>
            <w:pPr>
              <w:spacing w:after="0"/>
              <w:rPr>
                <w:sz w:val="12"/>
                <w:szCs w:val="12"/>
                <w:color w:val="auto"/>
              </w:rPr>
            </w:pPr>
          </w:p>
        </w:tc>
        <w:tc>
          <w:tcPr>
            <w:tcW w:w="90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5"/>
              </w:rPr>
              <w:t>Acquired</w:t>
            </w:r>
          </w:p>
        </w:tc>
        <w:tc>
          <w:tcPr>
            <w:tcW w:w="3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gridSpan w:val="2"/>
          </w:tcPr>
          <w:p>
            <w:pPr>
              <w:jc w:val="center"/>
              <w:ind w:left="1942"/>
              <w:spacing w:after="0" w:line="149" w:lineRule="exact"/>
              <w:rPr>
                <w:sz w:val="20"/>
                <w:szCs w:val="20"/>
                <w:color w:val="auto"/>
              </w:rPr>
            </w:pPr>
            <w:r>
              <w:rPr>
                <w:rFonts w:ascii="Arial" w:cs="Arial" w:eastAsia="Arial" w:hAnsi="Arial"/>
                <w:sz w:val="14"/>
                <w:szCs w:val="14"/>
                <w:b w:val="1"/>
                <w:bCs w:val="1"/>
                <w:color w:val="auto"/>
                <w:w w:val="91"/>
              </w:rPr>
              <w:t>on Exercise</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4"/>
          </w:tcPr>
          <w:p>
            <w:pPr>
              <w:jc w:val="center"/>
              <w:ind w:left="175"/>
              <w:spacing w:after="0" w:line="149" w:lineRule="exact"/>
              <w:rPr>
                <w:sz w:val="20"/>
                <w:szCs w:val="20"/>
                <w:color w:val="auto"/>
              </w:rPr>
            </w:pPr>
            <w:r>
              <w:rPr>
                <w:rFonts w:ascii="Arial" w:cs="Arial" w:eastAsia="Arial" w:hAnsi="Arial"/>
                <w:sz w:val="14"/>
                <w:szCs w:val="14"/>
                <w:b w:val="1"/>
                <w:bCs w:val="1"/>
                <w:color w:val="auto"/>
                <w:w w:val="86"/>
              </w:rPr>
              <w:t>on Vesting</w:t>
            </w:r>
          </w:p>
        </w:tc>
        <w:tc>
          <w:tcPr>
            <w:tcW w:w="1140" w:type="dxa"/>
            <w:vAlign w:val="bottom"/>
            <w:gridSpan w:val="4"/>
          </w:tcPr>
          <w:p>
            <w:pPr>
              <w:jc w:val="center"/>
              <w:ind w:left="133"/>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71"/>
        </w:trPr>
        <w:tc>
          <w:tcPr>
            <w:tcW w:w="3580" w:type="dxa"/>
            <w:vAlign w:val="bottom"/>
            <w:gridSpan w:val="3"/>
            <w:vMerge w:val="continue"/>
          </w:tcPr>
          <w:p>
            <w:pPr>
              <w:spacing w:after="0"/>
              <w:rPr>
                <w:sz w:val="14"/>
                <w:szCs w:val="14"/>
                <w:color w:val="auto"/>
              </w:rPr>
            </w:pPr>
          </w:p>
        </w:tc>
        <w:tc>
          <w:tcPr>
            <w:tcW w:w="2740" w:type="dxa"/>
            <w:vAlign w:val="bottom"/>
            <w:gridSpan w:val="2"/>
          </w:tcPr>
          <w:p>
            <w:pPr>
              <w:jc w:val="center"/>
              <w:ind w:left="1942"/>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3"/>
          </w:tcPr>
          <w:p>
            <w:pPr>
              <w:jc w:val="center"/>
              <w:ind w:left="675"/>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 xml:space="preserve">Vesting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Collins, Jr.</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66,642</w:t>
            </w:r>
          </w:p>
        </w:tc>
        <w:tc>
          <w:tcPr>
            <w:tcW w:w="144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29,468</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$1,623,572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Gregory R. Friedman</w:t>
            </w:r>
          </w:p>
        </w:tc>
        <w:tc>
          <w:tcPr>
            <w:tcW w:w="20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188"/>
              <w:spacing w:after="0"/>
              <w:rPr>
                <w:sz w:val="20"/>
                <w:szCs w:val="20"/>
                <w:color w:val="auto"/>
              </w:rPr>
            </w:pPr>
            <w:r>
              <w:rPr>
                <w:rFonts w:ascii="Arial" w:cs="Arial" w:eastAsia="Arial" w:hAnsi="Arial"/>
                <w:sz w:val="18"/>
                <w:szCs w:val="18"/>
                <w:color w:val="auto"/>
              </w:rPr>
              <w:t>26,087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1,410,618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Gajaria</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7,270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518,955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Timothy P. Glenn</w:t>
            </w:r>
          </w:p>
        </w:tc>
        <w:tc>
          <w:tcPr>
            <w:tcW w:w="20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188"/>
              <w:spacing w:after="0"/>
              <w:rPr>
                <w:sz w:val="20"/>
                <w:szCs w:val="20"/>
                <w:color w:val="auto"/>
              </w:rPr>
            </w:pPr>
            <w:r>
              <w:rPr>
                <w:rFonts w:ascii="Arial" w:cs="Arial" w:eastAsia="Arial" w:hAnsi="Arial"/>
                <w:sz w:val="18"/>
                <w:szCs w:val="18"/>
                <w:color w:val="auto"/>
              </w:rPr>
              <w:t>7,573</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415,075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Neal Gutterson</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2,401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172,822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The following table lists the pension program participation and actuarial present value of the defined benefit pension as of December 31, 2018 for each of the NEOs that participates. Messrs. Friedman and Gutterson are not eligible to, and do not, participate in defined benefit pension plans.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Present</w:t>
            </w:r>
          </w:p>
        </w:tc>
        <w:tc>
          <w:tcPr>
            <w:tcW w:w="8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of Years</w:t>
            </w: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Credited</w:t>
            </w:r>
          </w:p>
        </w:tc>
        <w:tc>
          <w:tcPr>
            <w:tcW w:w="2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1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Last</w:t>
            </w:r>
          </w:p>
        </w:tc>
        <w:tc>
          <w:tcPr>
            <w:tcW w:w="0" w:type="dxa"/>
            <w:vAlign w:val="bottom"/>
          </w:tcPr>
          <w:p>
            <w:pPr>
              <w:spacing w:after="0"/>
              <w:rPr>
                <w:sz w:val="1"/>
                <w:szCs w:val="1"/>
                <w:color w:val="auto"/>
              </w:rPr>
            </w:pPr>
          </w:p>
        </w:tc>
      </w:tr>
      <w:tr>
        <w:trPr>
          <w:trHeight w:val="149"/>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452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Plan Name</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Service</w:t>
            </w:r>
          </w:p>
        </w:tc>
        <w:tc>
          <w:tcPr>
            <w:tcW w:w="1120" w:type="dxa"/>
            <w:vAlign w:val="bottom"/>
            <w:gridSpan w:val="3"/>
          </w:tcPr>
          <w:p>
            <w:pPr>
              <w:jc w:val="center"/>
              <w:ind w:left="75"/>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58"/>
        </w:trPr>
        <w:tc>
          <w:tcPr>
            <w:tcW w:w="27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740" w:type="dxa"/>
            <w:vAlign w:val="bottom"/>
            <w:gridSpan w:val="2"/>
          </w:tcPr>
          <w:p>
            <w:pPr>
              <w:jc w:val="right"/>
              <w:ind w:right="124"/>
              <w:spacing w:after="0" w:line="158" w:lineRule="exact"/>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jc w:val="center"/>
              <w:ind w:left="75"/>
              <w:spacing w:after="0" w:line="158" w:lineRule="exact"/>
              <w:rPr>
                <w:sz w:val="20"/>
                <w:szCs w:val="20"/>
                <w:color w:val="auto"/>
              </w:rPr>
            </w:pPr>
            <w:r>
              <w:rPr>
                <w:rFonts w:ascii="Arial" w:cs="Arial" w:eastAsia="Arial" w:hAnsi="Arial"/>
                <w:sz w:val="14"/>
                <w:szCs w:val="14"/>
                <w:b w:val="1"/>
                <w:bCs w:val="1"/>
                <w:color w:val="auto"/>
                <w:w w:val="93"/>
              </w:rPr>
              <w:t xml:space="preserve">Benefit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)(a)</w:t>
            </w:r>
          </w:p>
        </w:tc>
        <w:tc>
          <w:tcPr>
            <w:tcW w:w="180" w:type="dxa"/>
            <w:vAlign w:val="bottom"/>
          </w:tcPr>
          <w:p>
            <w:pPr>
              <w:spacing w:after="0"/>
              <w:rPr>
                <w:sz w:val="13"/>
                <w:szCs w:val="13"/>
                <w:color w:val="auto"/>
              </w:rPr>
            </w:pPr>
          </w:p>
        </w:tc>
        <w:tc>
          <w:tcPr>
            <w:tcW w:w="6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C. Collins, Jr.</w:t>
            </w:r>
          </w:p>
        </w:tc>
        <w:tc>
          <w:tcPr>
            <w:tcW w:w="180" w:type="dxa"/>
            <w:vAlign w:val="bottom"/>
            <w:shd w:val="clear" w:color="auto" w:fill="CCEEFF"/>
          </w:tcPr>
          <w:p>
            <w:pPr>
              <w:spacing w:after="0"/>
              <w:rPr>
                <w:sz w:val="17"/>
                <w:szCs w:val="17"/>
                <w:color w:val="auto"/>
              </w:rPr>
            </w:pPr>
          </w:p>
        </w:tc>
        <w:tc>
          <w:tcPr>
            <w:tcW w:w="4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DuPont Pension and Retirement Plan</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$1,420,143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DuPont Pension Restoration Plan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6,375,720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740" w:type="dxa"/>
            <w:vAlign w:val="bottom"/>
            <w:gridSpan w:val="3"/>
          </w:tcPr>
          <w:p>
            <w:pPr>
              <w:spacing w:after="0"/>
              <w:rPr>
                <w:sz w:val="20"/>
                <w:szCs w:val="20"/>
                <w:color w:val="auto"/>
              </w:rPr>
            </w:pPr>
            <w:r>
              <w:rPr>
                <w:rFonts w:ascii="Arial" w:cs="Arial" w:eastAsia="Arial" w:hAnsi="Arial"/>
                <w:sz w:val="18"/>
                <w:szCs w:val="18"/>
                <w:color w:val="auto"/>
              </w:rPr>
              <w:t>Rajan Gajaria</w:t>
            </w: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Dow Employees’ Pension Plan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845,365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Dow Executives’ Supplemental Retirement Plan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618,942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47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Glenn</w:t>
            </w:r>
          </w:p>
        </w:tc>
        <w:tc>
          <w:tcPr>
            <w:tcW w:w="1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DuPont Pension and Retirement Plan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Pioneer Hi-Bred International, Inc. GAP Retirement Plan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40" w:hanging="436"/>
        <w:spacing w:after="0" w:line="264" w:lineRule="auto"/>
        <w:tabs>
          <w:tab w:leader="none" w:pos="640" w:val="left"/>
        </w:tabs>
        <w:numPr>
          <w:ilvl w:val="0"/>
          <w:numId w:val="265"/>
        </w:numPr>
        <w:rPr>
          <w:rFonts w:ascii="Arial" w:cs="Arial" w:eastAsia="Arial" w:hAnsi="Arial"/>
          <w:sz w:val="18"/>
          <w:szCs w:val="18"/>
          <w:i w:val="1"/>
          <w:iCs w:val="1"/>
          <w:color w:val="auto"/>
        </w:rPr>
      </w:pPr>
      <w:r>
        <w:rPr>
          <w:rFonts w:ascii="Arial" w:cs="Arial" w:eastAsia="Arial" w:hAnsi="Arial"/>
          <w:sz w:val="18"/>
          <w:szCs w:val="18"/>
          <w:i w:val="1"/>
          <w:iCs w:val="1"/>
          <w:color w:val="auto"/>
        </w:rPr>
        <w:t>Unless otherwise noted, all present values reflect accrued age 65 benefits. The form of payment, discount rate 4.36% and mortality (RP-2014) are based on assumptions used to determine pension plan obligations as reflected in the Consolidated Financial Statements in DowDuPont’s Annual Report on Form 10-K for the year ended 12/31/2018.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 – Additional Information</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executive officers of Corteva continue to be participants in the defined benefit pension programs of Dow and DuPont, respectively, to the extent they were participants prior to the Merger. Mr. Collins participates in the DuPont Pension and Retirement Plan and DuPont Pension Restoration Plan, Mr. Gajaria participates in the Dow Employees’ Pension Plan and the Dow Executives’ Supplemental Retirement Plan, and Mr. Glenn participates in the DuPont Pension and Retirement Plan and the Pioneer Hi-Bred International, Inc. GAP Retirement Plan.</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DuPont Pension and Retirement Plan</w:t>
      </w:r>
    </w:p>
    <w:p>
      <w:pPr>
        <w:spacing w:after="0" w:line="11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DuPont provides the DuPont Pension and Retirement Plan, a tax-qualified defined benefit pension plan that covers a majority of U.S. employees, except those hired or rehired after December 31, 2006. The DuPont Pension and Retirement Plan currently provides employees with a lifetime retirement income based on years of service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and the employees’ final average pay near retirement. In November 2016, DuPont announced that the company would freeze the pay and service amounts used to calculate pension benefits for active employees who participate in the U.S. pension plans on November 30, 2018 (the “Benefit Freeze Date”). Therefore, as of the Benefit Freeze Date, employees participating in the U.S. pension plans no longer accrue additional benefits for future service and eligible compensation received.</w:t>
      </w:r>
    </w:p>
    <w:p>
      <w:pPr>
        <w:spacing w:after="0" w:line="18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The normal form of benefit for married individuals is a 50% qualified joint and survivor annuity. The normal form of benefit for unmarried individuals is a single life annuity, which is actuarially equivalent to the normal form for married individuals. Normal retirement age under the DuPont Pension and Retirement Plan is generally age 65, and benefits are vested after five years of service.</w:t>
      </w:r>
    </w:p>
    <w:p>
      <w:pPr>
        <w:spacing w:after="0" w:line="18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Mr. Collins participates in Title I of the DuPont Pension and Retirement Plan. Under the provisions of Title I of the DuPont Pension and Retirement Plan, employees are eligible for unreduced pensions when they meet one of the following conditions:</w:t>
      </w:r>
    </w:p>
    <w:p>
      <w:pPr>
        <w:spacing w:after="0" w:line="76" w:lineRule="exact"/>
        <w:rPr>
          <w:sz w:val="20"/>
          <w:szCs w:val="20"/>
          <w:color w:val="auto"/>
        </w:rPr>
      </w:pPr>
    </w:p>
    <w:p>
      <w:pPr>
        <w:ind w:left="1060" w:hanging="316"/>
        <w:spacing w:after="0"/>
        <w:tabs>
          <w:tab w:leader="none" w:pos="10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Age 65 or older with at least five years of service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Age 58 with age plus service equal to or greater than 85</w:t>
      </w:r>
    </w:p>
    <w:p>
      <w:pPr>
        <w:spacing w:after="0" w:line="22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An employee who is not eligible for retirement with an unreduced pension is eligible for retirement with a reduced pension if he is at least age 50 with at least 15 years of service. His pension is reduced by the greater of 5% for every year that his age plus service is less than 85 or 5% for every year that his age is less than 58. In no event will the reduction exceed 50%.</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primary pension formula under Title I of the DuPont Pension and Retirement Plan provides a monthly retirement benefit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16554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518858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Average monthly compensation is based on the employee’s three highest-paid years or, if greater, the 36 consecutive highest-paid months. Compensation for a given month includes regular compensation plus one-twelfth of an individual’s STIP award for the relevant year. Other bonuses are not included in the calculation of average monthly compensation. Compensation for service after the Benefit Freeze Date is disregarded in determining the average monthly compensation.</w:t>
      </w:r>
    </w:p>
    <w:p>
      <w:pPr>
        <w:spacing w:after="0" w:line="187"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Mr. Glenn participates in Title IV of the DuPont Pension and Retirement Plan. Under the provisions of Title IV of the DuPont Pension and Retirement Plan, employees are eligible for unreduced pensions when they reach normal retirement age of age 65 or older with at least five years of service. An employee who is not eligible for retirement with an unreduced pension is eligible for retirement with a reduced pension if he is at least age 55 with at least 5 years of service. For participants with less than 30 years of service at retirement, the pension is reduced by 1/180 for each of the first 60 months prior to normal retirement age and reduced by 1/360 for each of the next 60 months that precede normal retirement age. For participants with 30 or more years of service at retirement, the pension is reduced by 1/400 for each month prior to normal retirement age.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60"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primary pension formula under Title IV of the DuPont Pension and Retirement Plan provides a monthly retirement benefit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168910</wp:posOffset>
            </wp:positionV>
            <wp:extent cx="5213985" cy="26587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521398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Final Average Earnings are based on the employee’s 60 highest consecutive months of earnings out of the last 120 months prior to the earlier of termination of employment or the Benefit Freeze Date. Compensation includes regular compensation plus bonuses. Integration Level is in accordance with Code guidance but in no event will it increase after the Benefit Freeze Date.</w:t>
      </w:r>
    </w:p>
    <w:p>
      <w:pPr>
        <w:spacing w:after="0" w:line="181" w:lineRule="exact"/>
        <w:rPr>
          <w:sz w:val="20"/>
          <w:szCs w:val="20"/>
          <w:color w:val="auto"/>
        </w:rPr>
      </w:pPr>
    </w:p>
    <w:p>
      <w:pPr>
        <w:ind w:left="200" w:right="600"/>
        <w:spacing w:after="0" w:line="308" w:lineRule="auto"/>
        <w:rPr>
          <w:sz w:val="20"/>
          <w:szCs w:val="20"/>
          <w:color w:val="auto"/>
        </w:rPr>
      </w:pPr>
      <w:r>
        <w:rPr>
          <w:rFonts w:ascii="Arial" w:cs="Arial" w:eastAsia="Arial" w:hAnsi="Arial"/>
          <w:sz w:val="17"/>
          <w:szCs w:val="17"/>
          <w:color w:val="auto"/>
        </w:rPr>
        <w:t>For the purpose of unreduced pension, Employees’ age and service post Benefit Freeze Date until termination of employment will be counted in determining pension eligibility. As of December 31, 2018, Messrs. Collins and Glenn were eligible for a reduced pension.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DuPont Pension Restoration Plan and the Pioneer Hi-Bred International Inc. GAP Retirement Plan</w:t>
      </w:r>
    </w:p>
    <w:p>
      <w:pPr>
        <w:spacing w:after="0" w:line="117"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If benefits provided under the DuPont Pension and Retirement Plan exceed the applicable Code compensation or benefit limits, the excess benefit for Title I of the DuPont Pension and Retirement Plan is paid under the DuPont Pension Restoration Plan and the excess benefit for Title IV of the DuPont Pension and Retirement Plan is paid under the Pioneer Hi-Bred International Inc. GAP Retirement Plan, both unfunded non-qualified plans. Effective January 1, 2007, the form of benefit under the DuPont Pension Restoration Plan for participants not already in pay status is a lump sum. Effective for post 12/31/2004 terminations, the form of benefit under the Pioneer Hi-Bred International Inc. GAP Retirement Plan for participants not already in pay status is a single life annuity unless the present value of the benefit is less than the applicable dollar amount under Section 402(g)(1)(B) of the Code, in which case the form of benefit is a lump sum. The mortality tables and interest rates used to determine lump sum payments are the Applicable Mortality Table and the Applicable Interest Rate prescribed by the Secretary of the Treasury in Section 417(e)(3) of the Code.</w:t>
      </w:r>
    </w:p>
    <w:p>
      <w:pPr>
        <w:spacing w:after="0" w:line="166"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Historical DuPont does not grant any extra years of credited service for pension benefit purposes. Key actuarial assumptions for the present value of accumulated benefit calculation can be found in Note 19 (“Pension Plans and Other Post-Employment Benefits”) to the Consolidated Financial Statements in DowDuPont’s Annual Report on Form 10-K for the year ended December 31, 2018 (“Note 19”). All other assumptions are consistent with those used in Note 19, except that the present value of accumulated benefit uses a retirement age at which the NEO may retire with an unreduced benefit under the DuPont Pension and Retirement Plan. The valuation method used for determining the present value of the accumulated benefit is the traditional unit credit cost method.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Dow Employees’ Pension Plan</w:t>
      </w:r>
    </w:p>
    <w:p>
      <w:pPr>
        <w:spacing w:after="0" w:line="117"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For employees hired prior to January 1, 2008, Historical Dow provides the Dow Employees’ Pension Plan (the “DEPP”) for its U.S. employees and for employees of some of its wholly owned U.S. subsidiaries. Upon retirement, employees receive an annual pension under the DEPP formula subject to statutory limitations. The benefit is paid in the form of a monthly annuity and is calculated based on the sum of the employee’s yearly basic and supplemental accruals up to a maximum of 425% for basic accruals and 120% for supplemental accruals:</w:t>
      </w:r>
    </w:p>
    <w:p>
      <w:pPr>
        <w:spacing w:after="0" w:line="77" w:lineRule="exact"/>
        <w:rPr>
          <w:sz w:val="20"/>
          <w:szCs w:val="20"/>
          <w:color w:val="auto"/>
        </w:rPr>
      </w:pPr>
    </w:p>
    <w:p>
      <w:pPr>
        <w:ind w:left="1060" w:right="260" w:hanging="316"/>
        <w:spacing w:after="0" w:line="277" w:lineRule="auto"/>
        <w:tabs>
          <w:tab w:leader="none" w:pos="10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Basic accruals equal the employee’s highest consecutive three-year average compensation multiplied by a percentage ranging from 4% to 18% based on the age of the employee in the years earned.</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Supplemental accruals are for compensation in excess of a rolling 36-month average of the Social Security wage base. Supplemental accruals range from 1% to 4%, based on the age of the employee in the years earned.</w:t>
      </w:r>
    </w:p>
    <w:p>
      <w:pPr>
        <w:spacing w:after="0" w:line="170"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The sum of the basic and supplemental accruals is divided by a conversion factor to calculate an immediate monthly benefit. If the employee terminates employment before age 65 and defers payment of the benefit, the account balance calculated under this formula will be credited with interest.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Dow Executives’ Supplemental Retirement Plan</w:t>
      </w:r>
    </w:p>
    <w:p>
      <w:pPr>
        <w:spacing w:after="0" w:line="11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Because the Code limits the benefits otherwise provided by the DEPP, the board of directors of Historical Dow adopted the Executives’ Supplemental Retirement Plan (the “ESRP”) to provide Historical Dow employees who participate in the DEPP with non-qualified benefits calculated under the same formulas described above. Some parts of the supplemental benefit may be taken in the form of a lump sum depending upon date of hire and plan participation.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Corteva will not assume obligations under either the DEPP or the ESRP.</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Severance Benefits</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To ensure that its executives remained focused on company business during a period of uncertainty, in 2013 DuPont adopted its Senior Executive Severance Plan (the “SESP”), in which Mr. Collins presently participates, and its Key Employee Severance Plan (the “KESP”), in which Messrs. Friedman, Glenn and Gutterson presently participate. As required by both the SESP and KESP for a period of 24 months following the change in control event, Corteva will administer severance benefits in the same manner and to the same extent following the distribution as Historical DuPont would have as if no succession had taken place. As such, the period under which Corteva is required to administer severance benefits under the SESP and KESP ceases for terminations occurring after August 31, 2019. For any benefits to be earned under the SESP or KESP, in addition to the consummation of a change in control of the company, the participant’s employment must be terminated within two years following the change in control, either by the employer without cause or by the executive for good reason (a “double trigger”).</w:t>
      </w:r>
    </w:p>
    <w:p>
      <w:pPr>
        <w:spacing w:after="0" w:line="17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Merger constituted a change in control for purposes of the SESP and KESP. Accordingly, if any of our NEOs participating in the SESP or KESP after the distribution is terminated on or before August 31, 2019 either by the employer without cause or by the executive for good reason, the executive will be entitled to the benefits provided under the SESP or KESP, as the case may be, which include:</w:t>
      </w:r>
    </w:p>
    <w:p>
      <w:pPr>
        <w:spacing w:after="0" w:line="87" w:lineRule="exact"/>
        <w:rPr>
          <w:sz w:val="20"/>
          <w:szCs w:val="20"/>
          <w:color w:val="auto"/>
        </w:rPr>
      </w:pPr>
    </w:p>
    <w:p>
      <w:pPr>
        <w:ind w:left="1060" w:right="80" w:hanging="316"/>
        <w:spacing w:after="0" w:line="277" w:lineRule="auto"/>
        <w:tabs>
          <w:tab w:leader="none" w:pos="10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lump sum cash payment equal to a multiple of the sum of the executive’s base salary and target annual bonus, 2 in the case of Mr. Collins and 1.5 in the case of Messrs. Friedman, Glenn and Gutterson.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lump sum cash payment equal to the pro-rated portion of the executive’s target annual bonus for the year of termination.</w:t>
      </w:r>
    </w:p>
    <w:p>
      <w:pPr>
        <w:spacing w:after="0" w:line="130" w:lineRule="exact"/>
        <w:rPr>
          <w:rFonts w:ascii="Arial" w:cs="Arial" w:eastAsia="Arial" w:hAnsi="Arial"/>
          <w:sz w:val="18"/>
          <w:szCs w:val="18"/>
          <w:color w:val="auto"/>
        </w:rPr>
      </w:pPr>
    </w:p>
    <w:p>
      <w:pPr>
        <w:ind w:left="1060" w:right="640" w:hanging="316"/>
        <w:spacing w:after="0" w:line="264" w:lineRule="auto"/>
        <w:tabs>
          <w:tab w:leader="none" w:pos="10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Continued health and dental benefits, financial counseling, tax preparation services and outplacement services for a specified period following the date of termination, 24 months in the case of Mr. Collins and 18 months in the case of Messrs. Friedman, Glenn and Gutterson.</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Stock options remaining exercisable for their full term to the extent not already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59"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Covered executives are also entitled to reimbursement of any expenses incurred in enforcing their rights under the SESP or KESP, as the case may be. As provided by EID effective in December 2015, if any payments or benefits payable to an executive under the SESP (whether under the plan or otherwise) are subject to the excise tax imposed under Section 4999 of the Code, an additional reimbursement payment will be made such that, on a net after-tax basis, the executive would be in the same position as if no such excise tax had been imposed. Under the KESP, any payments subject to the excise tax will be reduced to a level that does not trigger the excise tax if doing so will result in a greater net after-tax benefit to the executive. Going forward Corteva has no intention of providing any tax gross-up payments related to a change in control, other than those that may be required under the SESP through August 31, 2019 should Mr. Collins’ employment terminate and severance payments give rise to excise tax payable.</w:t>
      </w:r>
    </w:p>
    <w:p>
      <w:pPr>
        <w:spacing w:after="0" w:line="167"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The SESP and KESP require a release of claims as a condition to the payment of benefits and include twelve- month non-solicitation provisions and additional non-disparagement and confidentiality provisions, and, in the case of Mr. Collins under the SESP, a twelve-month non-competition obligation.</w:t>
      </w:r>
    </w:p>
    <w:p>
      <w:pPr>
        <w:spacing w:after="0" w:line="181" w:lineRule="exact"/>
        <w:rPr>
          <w:sz w:val="20"/>
          <w:szCs w:val="20"/>
          <w:color w:val="auto"/>
        </w:rPr>
      </w:pPr>
    </w:p>
    <w:p>
      <w:pPr>
        <w:ind w:left="200" w:right="480"/>
        <w:spacing w:after="0" w:line="264" w:lineRule="auto"/>
        <w:rPr>
          <w:sz w:val="20"/>
          <w:szCs w:val="20"/>
          <w:color w:val="auto"/>
        </w:rPr>
      </w:pPr>
      <w:r>
        <w:rPr>
          <w:rFonts w:ascii="Arial" w:cs="Arial" w:eastAsia="Arial" w:hAnsi="Arial"/>
          <w:sz w:val="18"/>
          <w:szCs w:val="18"/>
          <w:color w:val="auto"/>
        </w:rPr>
        <w:t>Equity awards granted pursuant to EID’s equity plans that were outstanding as of the date of the Merger have a double trigger change in control provision whereby the awards will become fully vested upon the holder’s involuntary termination of employment without cause within 24 months following a change in control (i.e., on or before August 31, 2019).</w:t>
      </w:r>
    </w:p>
    <w:p>
      <w:pPr>
        <w:spacing w:after="0" w:line="18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Historical Dow did not maintain a change in control severance plan for its executives, including Mr. Gajaria. With regard to a change in control, the only impact to Mr. Gajaria is related to his outstanding equity awards issued under Historical Dow’s long-term incentive plan, which provided that equity awards would become fully vested upon the holder’s involuntary termination of employment within 24 months following a change in control (which included the Merger with respect to then-outstanding awards).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401(k)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Dow Employees’ Savings Plan</w:t>
      </w:r>
    </w:p>
    <w:p>
      <w:pPr>
        <w:spacing w:after="0" w:line="117"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Historical Dow provides all U.S. salaried employees the opportunity to participate in a 401(k) plan (The Dow Chemical Company Employees’ Savings Plan). In 2018, for salaried employees who contributed 2% of annual salary, Historical Dow provided a matching contribution of 100% of the employee’s contribution. For salaried employees who contributed up to an additional 4%, Historical Dow provided a 50% match. Mr. Gajaria, as the only Corteva NEO who is an employee of Historical Dow, participates in the 401(k) plan on the same terms as other eligible employees.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DuPont Retirement Savings Plan</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Historical DuPont provides all U.S. full-service employees the opportunity to participate in a 401(k) plan, the DuPont Retirement Savings Plan (“RSP”). Historical DuPont contributes 100% of the first 6% of the employee’s contribution election and also contributes 3% of each employee’s eligible compensation regardless of the employee’s contribution. Each of Corteva’s NEOs who is an employee of Historical DuPont participates in the 401(k) plan on the same terms as other eligible employees.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59" w:right="4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information on nonqualified deferred compensation of the NEOs during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4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4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620" w:type="dxa"/>
            <w:vAlign w:val="bottom"/>
            <w:gridSpan w:val="2"/>
          </w:tcPr>
          <w:p>
            <w:pPr>
              <w:jc w:val="center"/>
              <w:ind w:left="1676"/>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320" w:type="dxa"/>
            <w:vAlign w:val="bottom"/>
            <w:gridSpan w:val="2"/>
          </w:tcPr>
          <w:p>
            <w:pPr>
              <w:jc w:val="center"/>
              <w:ind w:left="334"/>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4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 Last</w:t>
            </w:r>
          </w:p>
        </w:tc>
        <w:tc>
          <w:tcPr>
            <w:tcW w:w="13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2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Last Fiscal</w:t>
            </w: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44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2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Year-End</w:t>
            </w:r>
          </w:p>
        </w:tc>
        <w:tc>
          <w:tcPr>
            <w:tcW w:w="0" w:type="dxa"/>
            <w:vAlign w:val="bottom"/>
          </w:tcPr>
          <w:p>
            <w:pPr>
              <w:spacing w:after="0"/>
              <w:rPr>
                <w:sz w:val="1"/>
                <w:szCs w:val="1"/>
                <w:color w:val="auto"/>
              </w:rPr>
            </w:pPr>
          </w:p>
        </w:tc>
      </w:tr>
      <w:tr>
        <w:trPr>
          <w:trHeight w:val="158"/>
        </w:trPr>
        <w:tc>
          <w:tcPr>
            <w:tcW w:w="3300" w:type="dxa"/>
            <w:vAlign w:val="bottom"/>
            <w:gridSpan w:val="3"/>
            <w:vMerge w:val="continue"/>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Year ($) (a)</w:t>
            </w:r>
          </w:p>
        </w:tc>
        <w:tc>
          <w:tcPr>
            <w:tcW w:w="46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Year ($) (b)</w:t>
            </w:r>
          </w:p>
        </w:tc>
        <w:tc>
          <w:tcPr>
            <w:tcW w:w="440" w:type="dxa"/>
            <w:vAlign w:val="bottom"/>
          </w:tcPr>
          <w:p>
            <w:pPr>
              <w:spacing w:after="0"/>
              <w:rPr>
                <w:sz w:val="13"/>
                <w:szCs w:val="13"/>
                <w:color w:val="auto"/>
              </w:rPr>
            </w:pPr>
          </w:p>
        </w:tc>
        <w:tc>
          <w:tcPr>
            <w:tcW w:w="9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Year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15"/>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C. Collins, Jr.</w:t>
            </w:r>
          </w:p>
        </w:tc>
        <w:tc>
          <w:tcPr>
            <w:tcW w:w="17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101,000</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151,500</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$ 28,612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$1,207,155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Gregory R. Friedman</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32,814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49,221</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(8,952)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151,718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Gajaria</w:t>
            </w:r>
          </w:p>
        </w:tc>
        <w:tc>
          <w:tcPr>
            <w:tcW w:w="17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(8,044)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Timothy P. Glenn</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92,913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57,310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(37,778)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549,481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Neal Gutterson</w:t>
            </w:r>
          </w:p>
        </w:tc>
        <w:tc>
          <w:tcPr>
            <w:tcW w:w="17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69"/>
        </w:numPr>
        <w:rPr>
          <w:rFonts w:ascii="Arial" w:cs="Arial" w:eastAsia="Arial" w:hAnsi="Arial"/>
          <w:sz w:val="18"/>
          <w:szCs w:val="18"/>
          <w:i w:val="1"/>
          <w:iCs w:val="1"/>
          <w:color w:val="auto"/>
        </w:rPr>
      </w:pPr>
      <w:r>
        <w:rPr>
          <w:rFonts w:ascii="Arial" w:cs="Arial" w:eastAsia="Arial" w:hAnsi="Arial"/>
          <w:sz w:val="18"/>
          <w:szCs w:val="18"/>
          <w:i w:val="1"/>
          <w:iCs w:val="1"/>
          <w:color w:val="auto"/>
        </w:rPr>
        <w:t>Executive contributions are included in salary for 2018 in the Summary Compensation Table.</w:t>
      </w:r>
    </w:p>
    <w:p>
      <w:pPr>
        <w:spacing w:after="0" w:line="130" w:lineRule="exact"/>
        <w:rPr>
          <w:rFonts w:ascii="Arial" w:cs="Arial" w:eastAsia="Arial" w:hAnsi="Arial"/>
          <w:sz w:val="18"/>
          <w:szCs w:val="18"/>
          <w:i w:val="1"/>
          <w:iCs w:val="1"/>
          <w:color w:val="auto"/>
        </w:rPr>
      </w:pPr>
    </w:p>
    <w:p>
      <w:pPr>
        <w:ind w:left="640" w:hanging="436"/>
        <w:spacing w:after="0"/>
        <w:tabs>
          <w:tab w:leader="none" w:pos="640" w:val="left"/>
        </w:tabs>
        <w:numPr>
          <w:ilvl w:val="0"/>
          <w:numId w:val="269"/>
        </w:numPr>
        <w:rPr>
          <w:rFonts w:ascii="Arial" w:cs="Arial" w:eastAsia="Arial" w:hAnsi="Arial"/>
          <w:sz w:val="18"/>
          <w:szCs w:val="18"/>
          <w:i w:val="1"/>
          <w:iCs w:val="1"/>
          <w:color w:val="auto"/>
        </w:rPr>
      </w:pPr>
      <w:r>
        <w:rPr>
          <w:rFonts w:ascii="Arial" w:cs="Arial" w:eastAsia="Arial" w:hAnsi="Arial"/>
          <w:sz w:val="18"/>
          <w:szCs w:val="18"/>
          <w:i w:val="1"/>
          <w:iCs w:val="1"/>
          <w:color w:val="auto"/>
        </w:rPr>
        <w:t>Registrant contributions are included in All Other Compensation for 2018 in the Summary Compensation Table</w:t>
      </w:r>
      <w:r>
        <w:rPr>
          <w:rFonts w:ascii="Arial" w:cs="Arial" w:eastAsia="Arial" w:hAnsi="Arial"/>
          <w:sz w:val="18"/>
          <w:szCs w:val="18"/>
          <w:color w:val="auto"/>
        </w:rPr>
        <w:t>.</w:t>
      </w:r>
    </w:p>
    <w:p>
      <w:pPr>
        <w:spacing w:after="0" w:line="130" w:lineRule="exact"/>
        <w:rPr>
          <w:rFonts w:ascii="Arial" w:cs="Arial" w:eastAsia="Arial" w:hAnsi="Arial"/>
          <w:sz w:val="18"/>
          <w:szCs w:val="18"/>
          <w:i w:val="1"/>
          <w:iCs w:val="1"/>
          <w:color w:val="auto"/>
        </w:rPr>
      </w:pPr>
    </w:p>
    <w:p>
      <w:pPr>
        <w:ind w:left="640" w:hanging="436"/>
        <w:spacing w:after="0"/>
        <w:tabs>
          <w:tab w:leader="none" w:pos="640" w:val="left"/>
        </w:tabs>
        <w:numPr>
          <w:ilvl w:val="0"/>
          <w:numId w:val="269"/>
        </w:numPr>
        <w:rPr>
          <w:rFonts w:ascii="Arial" w:cs="Arial" w:eastAsia="Arial" w:hAnsi="Arial"/>
          <w:sz w:val="18"/>
          <w:szCs w:val="18"/>
          <w:i w:val="1"/>
          <w:iCs w:val="1"/>
          <w:color w:val="auto"/>
        </w:rPr>
      </w:pPr>
      <w:r>
        <w:rPr>
          <w:rFonts w:ascii="Arial" w:cs="Arial" w:eastAsia="Arial" w:hAnsi="Arial"/>
          <w:sz w:val="18"/>
          <w:szCs w:val="18"/>
          <w:i w:val="1"/>
          <w:iCs w:val="1"/>
          <w:color w:val="auto"/>
        </w:rPr>
        <w:t>Corteva has not previously reported any company or executive contributions in the Summary Compensation Table.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DuPont Non-Qualified Deferred Compensation Programs</w:t>
      </w:r>
    </w:p>
    <w:p>
      <w:pPr>
        <w:spacing w:after="0" w:line="117"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DuPont offers non-qualified deferred compensation programs under which eligible participants may voluntarily elect to defer some portion of base salary, annual incentive award, or LTI awards until a future date. Deferrals are credited to an account and earnings are calculated thereon in accordance with the applicable investment option or interest rate. With the exception of the Retirement Savings Restoration Plan (“RSRP”), there are no company contributions or matches. The RSRP was adopted to restore company contributions that would be lost due to Code limits on compensation that can be contributed under DuPont’s tax-qualified savings plan.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provides an overview of the various deferral options as of December 31, 2018.</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RSRP</w:t>
      </w:r>
      <w:r>
        <w:rPr>
          <w:rFonts w:ascii="Arial" w:cs="Arial" w:eastAsia="Arial" w:hAnsi="Arial"/>
          <w:sz w:val="18"/>
          <w:szCs w:val="18"/>
          <w:color w:val="auto"/>
        </w:rPr>
        <w:t>:</w:t>
      </w:r>
    </w:p>
    <w:p>
      <w:pPr>
        <w:spacing w:after="0" w:line="117" w:lineRule="exact"/>
        <w:rPr>
          <w:sz w:val="20"/>
          <w:szCs w:val="20"/>
          <w:color w:val="auto"/>
        </w:rPr>
      </w:pPr>
    </w:p>
    <w:p>
      <w:pPr>
        <w:ind w:left="200" w:right="260"/>
        <w:spacing w:after="0" w:line="257" w:lineRule="auto"/>
        <w:rPr>
          <w:sz w:val="20"/>
          <w:szCs w:val="20"/>
          <w:color w:val="auto"/>
        </w:rPr>
      </w:pPr>
      <w:r>
        <w:rPr>
          <w:rFonts w:ascii="Arial" w:cs="Arial" w:eastAsia="Arial" w:hAnsi="Arial"/>
          <w:sz w:val="18"/>
          <w:szCs w:val="18"/>
          <w:color w:val="auto"/>
        </w:rPr>
        <w:t>Under the RSRP, an NEO can elect to defer his/her eligible compensation (generally, base salary plus annual incentive award) that exceeds the regulatory limits ($275,000 in 2018) in increments of 1% up to 6%. DuPont matches participant contributions on a dollar-for-dollar basis up to 6% of eligible pay. DuPont also makes an additional contribution of 3% of eligible compensation. Participant investment options under the RSRP mirror the options available under the tax-qualified retirement savings plan. Distributions may be made in the form of a lump sum or annual installments after separation from service.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Management Deferred Compensation Plan (“MDCP”)</w:t>
      </w:r>
      <w:r>
        <w:rPr>
          <w:rFonts w:ascii="Arial" w:cs="Arial" w:eastAsia="Arial" w:hAnsi="Arial"/>
          <w:sz w:val="18"/>
          <w:szCs w:val="18"/>
          <w:color w:val="auto"/>
        </w:rPr>
        <w:t>:</w:t>
      </w:r>
    </w:p>
    <w:p>
      <w:pPr>
        <w:spacing w:after="0" w:line="117" w:lineRule="exact"/>
        <w:rPr>
          <w:sz w:val="20"/>
          <w:szCs w:val="20"/>
          <w:color w:val="auto"/>
        </w:rPr>
      </w:pPr>
    </w:p>
    <w:p>
      <w:pPr>
        <w:ind w:left="200" w:right="280"/>
        <w:spacing w:after="0" w:line="302" w:lineRule="auto"/>
        <w:rPr>
          <w:sz w:val="20"/>
          <w:szCs w:val="20"/>
          <w:color w:val="auto"/>
        </w:rPr>
      </w:pPr>
      <w:r>
        <w:rPr>
          <w:rFonts w:ascii="Arial" w:cs="Arial" w:eastAsia="Arial" w:hAnsi="Arial"/>
          <w:sz w:val="16"/>
          <w:szCs w:val="16"/>
          <w:color w:val="auto"/>
        </w:rPr>
        <w:t>Under the MDCP, an NEO can elect to defer the receipt of up to 60% of his/her base salary and/or annual incentive award. DuPont does not match deferrals under the MDCP. Participants may select from among seven core investment options under the MDCP for amounts deferred, including DowDuPont Common Stock units with dividend equivalents credited as additional stock units. In general, distributions may be made in the form of a lump sum at a specified future date if prior to separation from service, or a lump sum or annual installments after separation from service.</w:t>
      </w:r>
    </w:p>
    <w:p>
      <w:pPr>
        <w:spacing w:after="0" w:line="154"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color w:val="auto"/>
        </w:rPr>
        <w:t>In addition, under the MDCP, an NEO can elect to defer the receipt of 100% of his/her LTI awards (RSUs and/or PSUs). DuPont does not match LTI deferrals under the MDCP. LTI deferrals under the MDCP are in the form of DowDuPont Common Stock units with dividend equivalents credited as additional stock units.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240" w:top="459" w:right="41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Dow Elective Deferral Plan</w:t>
      </w:r>
    </w:p>
    <w:p>
      <w:pPr>
        <w:spacing w:after="0" w:line="63"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Historical Dow’s Elective Deferral Plan (“EDP”) allows participants to voluntarily defer the receipt of base salary (maximum deferral of 75%) and annual incentive award (maximum deferral of 100%).</w:t>
      </w:r>
    </w:p>
    <w:p>
      <w:pPr>
        <w:spacing w:after="0" w:line="62"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Each participant enrolled in the EDP receives a matching contribution using the same formula authorized for salaried participants under the Savings Plan for employer matching contributions. The current formula provides for a matching contribution on the first 6% of base salary deferred. For purposes of calculating the match under the EDP, Historical Dow assumes each participant is contributing the maximum allowable amount to the 401(k) savings plan and receiving a match thereon. The assumed match from the 401(k) savings plan is offset from the matching contribution calculated under the EDP.</w:t>
      </w:r>
    </w:p>
    <w:p>
      <w:pPr>
        <w:spacing w:after="0" w:line="80" w:lineRule="exact"/>
        <w:rPr>
          <w:sz w:val="20"/>
          <w:szCs w:val="20"/>
          <w:color w:val="auto"/>
        </w:rPr>
      </w:pPr>
    </w:p>
    <w:p>
      <w:pPr>
        <w:ind w:left="200" w:right="260"/>
        <w:spacing w:after="0" w:line="308" w:lineRule="auto"/>
        <w:rPr>
          <w:sz w:val="20"/>
          <w:szCs w:val="20"/>
          <w:color w:val="auto"/>
        </w:rPr>
      </w:pPr>
      <w:r>
        <w:rPr>
          <w:rFonts w:ascii="Arial" w:cs="Arial" w:eastAsia="Arial" w:hAnsi="Arial"/>
          <w:sz w:val="17"/>
          <w:szCs w:val="17"/>
          <w:color w:val="auto"/>
        </w:rPr>
        <w:t>Investment choices include a fund with an interest rate equal to the sum of the 60-month rolling average of ten-year U.S. Treasury Note yield plus the current five-year Historical Dow credit spread, as well as the line-up of funds available under Historical Dow’s 401(k) savings plan.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6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For a description of severance benefits presently maintained by Historical Dow and Historical DuPont in respect of the NEOs, which we will assume upon our distribution, see “Severance Benefits” above. We expect that we will maintain additional severance programs for our employees, including the NEOs, but we have not yet determined what those will be.</w:t>
      </w:r>
    </w:p>
    <w:p>
      <w:pPr>
        <w:spacing w:after="0" w:line="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Involuntary</w:t>
            </w:r>
          </w:p>
        </w:tc>
        <w:tc>
          <w:tcPr>
            <w:tcW w:w="18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Change-in-Control</w:t>
            </w:r>
          </w:p>
        </w:tc>
        <w:tc>
          <w:tcPr>
            <w:tcW w:w="0" w:type="dxa"/>
            <w:vAlign w:val="bottom"/>
          </w:tcPr>
          <w:p>
            <w:pPr>
              <w:spacing w:after="0"/>
              <w:rPr>
                <w:sz w:val="1"/>
                <w:szCs w:val="1"/>
                <w:color w:val="auto"/>
              </w:rPr>
            </w:pPr>
          </w:p>
        </w:tc>
      </w:tr>
      <w:tr>
        <w:trPr>
          <w:trHeight w:val="149"/>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2"/>
                <w:szCs w:val="12"/>
                <w:color w:val="auto"/>
              </w:rPr>
            </w:pPr>
          </w:p>
        </w:tc>
        <w:tc>
          <w:tcPr>
            <w:tcW w:w="406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Type of Benefit</w:t>
            </w: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Termination Without</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4060" w:type="dxa"/>
            <w:vAlign w:val="bottom"/>
            <w:gridSpan w:val="2"/>
            <w:vMerge w:val="continue"/>
          </w:tcPr>
          <w:p>
            <w:pPr>
              <w:spacing w:after="0"/>
              <w:rPr>
                <w:sz w:val="14"/>
                <w:szCs w:val="14"/>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Cause ($)(a)</w:t>
            </w:r>
          </w:p>
        </w:tc>
        <w:tc>
          <w:tcPr>
            <w:tcW w:w="1880" w:type="dxa"/>
            <w:vAlign w:val="bottom"/>
          </w:tcPr>
          <w:p>
            <w:pPr>
              <w:jc w:val="right"/>
              <w:ind w:right="691"/>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C. Collins, Jr.</w:t>
            </w:r>
          </w:p>
        </w:tc>
        <w:tc>
          <w:tcPr>
            <w:tcW w:w="7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Severance</w:t>
            </w: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1,962,500</w:t>
            </w: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LTI Acceleration</w:t>
            </w:r>
          </w:p>
        </w:tc>
        <w:tc>
          <w:tcPr>
            <w:tcW w:w="2080" w:type="dxa"/>
            <w:vAlign w:val="bottom"/>
            <w:gridSpan w:val="2"/>
          </w:tcPr>
          <w:p>
            <w:pPr>
              <w:ind w:left="1640"/>
              <w:spacing w:after="0"/>
              <w:rPr>
                <w:sz w:val="20"/>
                <w:szCs w:val="20"/>
                <w:color w:val="auto"/>
              </w:rPr>
            </w:pPr>
            <w:r>
              <w:rPr>
                <w:rFonts w:ascii="Arial" w:cs="Arial" w:eastAsia="Arial" w:hAnsi="Arial"/>
                <w:sz w:val="18"/>
                <w:szCs w:val="18"/>
                <w:color w:val="auto"/>
              </w:rPr>
              <w:t>n/a</w:t>
            </w:r>
          </w:p>
        </w:tc>
        <w:tc>
          <w:tcPr>
            <w:tcW w:w="1880" w:type="dxa"/>
            <w:vAlign w:val="bottom"/>
          </w:tcPr>
          <w:p>
            <w:pPr>
              <w:jc w:val="right"/>
              <w:spacing w:after="0"/>
              <w:rPr>
                <w:sz w:val="20"/>
                <w:szCs w:val="20"/>
                <w:color w:val="auto"/>
              </w:rPr>
            </w:pPr>
            <w:r>
              <w:rPr>
                <w:rFonts w:ascii="Arial" w:cs="Arial" w:eastAsia="Arial" w:hAnsi="Arial"/>
                <w:sz w:val="18"/>
                <w:szCs w:val="18"/>
                <w:color w:val="auto"/>
              </w:rPr>
              <w:t>5,554,979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Increase in Present Value of Pension</w:t>
            </w:r>
          </w:p>
        </w:tc>
        <w:tc>
          <w:tcPr>
            <w:tcW w:w="20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n/a</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Health &amp; Welfare Benefits</w:t>
            </w:r>
          </w:p>
        </w:tc>
        <w:tc>
          <w:tcPr>
            <w:tcW w:w="1860" w:type="dxa"/>
            <w:vAlign w:val="bottom"/>
          </w:tcPr>
          <w:p>
            <w:pPr>
              <w:jc w:val="right"/>
              <w:spacing w:after="0"/>
              <w:rPr>
                <w:sz w:val="20"/>
                <w:szCs w:val="20"/>
                <w:color w:val="auto"/>
              </w:rPr>
            </w:pPr>
            <w:r>
              <w:rPr>
                <w:rFonts w:ascii="Arial" w:cs="Arial" w:eastAsia="Arial" w:hAnsi="Arial"/>
                <w:sz w:val="18"/>
                <w:szCs w:val="18"/>
                <w:color w:val="auto"/>
              </w:rPr>
              <w:t>3,324</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Outplacement &amp; Financial Planning</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Tax Reimbursement</w:t>
            </w:r>
          </w:p>
        </w:tc>
        <w:tc>
          <w:tcPr>
            <w:tcW w:w="2080" w:type="dxa"/>
            <w:vAlign w:val="bottom"/>
            <w:gridSpan w:val="2"/>
          </w:tcPr>
          <w:p>
            <w:pPr>
              <w:ind w:left="1640"/>
              <w:spacing w:after="0"/>
              <w:rPr>
                <w:sz w:val="20"/>
                <w:szCs w:val="20"/>
                <w:color w:val="auto"/>
              </w:rPr>
            </w:pPr>
            <w:r>
              <w:rPr>
                <w:rFonts w:ascii="Arial" w:cs="Arial" w:eastAsia="Arial" w:hAnsi="Arial"/>
                <w:sz w:val="18"/>
                <w:szCs w:val="18"/>
                <w:color w:val="auto"/>
              </w:rPr>
              <w:t>n/a</w:t>
            </w:r>
          </w:p>
        </w:tc>
        <w:tc>
          <w:tcPr>
            <w:tcW w:w="1880" w:type="dxa"/>
            <w:vAlign w:val="bottom"/>
          </w:tcPr>
          <w:p>
            <w:pPr>
              <w:jc w:val="right"/>
              <w:spacing w:after="0"/>
              <w:rPr>
                <w:sz w:val="20"/>
                <w:szCs w:val="20"/>
                <w:color w:val="auto"/>
              </w:rPr>
            </w:pPr>
            <w:r>
              <w:rPr>
                <w:rFonts w:ascii="Arial" w:cs="Arial" w:eastAsia="Arial" w:hAnsi="Arial"/>
                <w:sz w:val="18"/>
                <w:szCs w:val="18"/>
                <w:color w:val="auto"/>
              </w:rPr>
              <w:t>3,654,077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R. Friedman</w:t>
            </w: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Severance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772,352</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LTI Acceleration</w:t>
            </w:r>
          </w:p>
        </w:tc>
        <w:tc>
          <w:tcPr>
            <w:tcW w:w="1860" w:type="dxa"/>
            <w:vAlign w:val="bottom"/>
          </w:tcPr>
          <w:p>
            <w:pPr>
              <w:jc w:val="right"/>
              <w:spacing w:after="0"/>
              <w:rPr>
                <w:sz w:val="20"/>
                <w:szCs w:val="20"/>
                <w:color w:val="auto"/>
              </w:rPr>
            </w:pPr>
            <w:r>
              <w:rPr>
                <w:rFonts w:ascii="Arial" w:cs="Arial" w:eastAsia="Arial" w:hAnsi="Arial"/>
                <w:sz w:val="18"/>
                <w:szCs w:val="18"/>
                <w:color w:val="auto"/>
              </w:rPr>
              <w:t>257,692</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257,692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Increase in Present Value of Pension</w:t>
            </w:r>
          </w:p>
        </w:tc>
        <w:tc>
          <w:tcPr>
            <w:tcW w:w="20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n/a</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Health &amp; Welfare Benefits</w:t>
            </w:r>
          </w:p>
        </w:tc>
        <w:tc>
          <w:tcPr>
            <w:tcW w:w="1860" w:type="dxa"/>
            <w:vAlign w:val="bottom"/>
          </w:tcPr>
          <w:p>
            <w:pPr>
              <w:jc w:val="right"/>
              <w:spacing w:after="0"/>
              <w:rPr>
                <w:sz w:val="20"/>
                <w:szCs w:val="20"/>
                <w:color w:val="auto"/>
              </w:rPr>
            </w:pPr>
            <w:r>
              <w:rPr>
                <w:rFonts w:ascii="Arial" w:cs="Arial" w:eastAsia="Arial" w:hAnsi="Arial"/>
                <w:sz w:val="18"/>
                <w:szCs w:val="18"/>
                <w:color w:val="auto"/>
              </w:rPr>
              <w:t>14,369</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Outplacement &amp; Financial Planning</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324"/>
        </w:trPr>
        <w:tc>
          <w:tcPr>
            <w:tcW w:w="2280" w:type="dxa"/>
            <w:vAlign w:val="bottom"/>
            <w:gridSpan w:val="3"/>
          </w:tcPr>
          <w:p>
            <w:pPr>
              <w:spacing w:after="0"/>
              <w:rPr>
                <w:sz w:val="20"/>
                <w:szCs w:val="20"/>
                <w:color w:val="auto"/>
              </w:rPr>
            </w:pPr>
            <w:r>
              <w:rPr>
                <w:rFonts w:ascii="Arial" w:cs="Arial" w:eastAsia="Arial" w:hAnsi="Arial"/>
                <w:sz w:val="18"/>
                <w:szCs w:val="18"/>
                <w:color w:val="auto"/>
              </w:rPr>
              <w:t>Rajan Gajaria</w:t>
            </w: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Severance</w:t>
            </w:r>
          </w:p>
        </w:tc>
        <w:tc>
          <w:tcPr>
            <w:tcW w:w="1860" w:type="dxa"/>
            <w:vAlign w:val="bottom"/>
          </w:tcPr>
          <w:p>
            <w:pPr>
              <w:jc w:val="right"/>
              <w:spacing w:after="0"/>
              <w:rPr>
                <w:sz w:val="20"/>
                <w:szCs w:val="20"/>
                <w:color w:val="auto"/>
              </w:rPr>
            </w:pPr>
            <w:r>
              <w:rPr>
                <w:rFonts w:ascii="Arial" w:cs="Arial" w:eastAsia="Arial" w:hAnsi="Arial"/>
                <w:sz w:val="18"/>
                <w:szCs w:val="18"/>
                <w:color w:val="auto"/>
              </w:rPr>
              <w:t>742,314</w:t>
            </w: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742,314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LTI Acceleration</w:t>
            </w:r>
          </w:p>
        </w:tc>
        <w:tc>
          <w:tcPr>
            <w:tcW w:w="20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n/a</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Increase in Present Value of Pension</w:t>
            </w:r>
          </w:p>
        </w:tc>
        <w:tc>
          <w:tcPr>
            <w:tcW w:w="2080" w:type="dxa"/>
            <w:vAlign w:val="bottom"/>
            <w:gridSpan w:val="2"/>
          </w:tcPr>
          <w:p>
            <w:pPr>
              <w:ind w:left="1640"/>
              <w:spacing w:after="0"/>
              <w:rPr>
                <w:sz w:val="20"/>
                <w:szCs w:val="20"/>
                <w:color w:val="auto"/>
              </w:rPr>
            </w:pPr>
            <w:r>
              <w:rPr>
                <w:rFonts w:ascii="Arial" w:cs="Arial" w:eastAsia="Arial" w:hAnsi="Arial"/>
                <w:sz w:val="18"/>
                <w:szCs w:val="18"/>
                <w:color w:val="auto"/>
              </w:rPr>
              <w:t>n/a</w:t>
            </w:r>
          </w:p>
        </w:tc>
        <w:tc>
          <w:tcPr>
            <w:tcW w:w="1880" w:type="dxa"/>
            <w:vAlign w:val="bottom"/>
          </w:tcPr>
          <w:p>
            <w:pPr>
              <w:jc w:val="right"/>
              <w:spacing w:after="0"/>
              <w:rPr>
                <w:sz w:val="20"/>
                <w:szCs w:val="20"/>
                <w:color w:val="auto"/>
              </w:rPr>
            </w:pPr>
            <w:r>
              <w:rPr>
                <w:rFonts w:ascii="Arial" w:cs="Arial" w:eastAsia="Arial" w:hAnsi="Arial"/>
                <w:sz w:val="18"/>
                <w:szCs w:val="18"/>
                <w:color w:val="auto"/>
              </w:rPr>
              <w:t>93,024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Health &amp; Welfare Benefits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Outplacement &amp; Financial Planning</w:t>
            </w:r>
          </w:p>
        </w:tc>
        <w:tc>
          <w:tcPr>
            <w:tcW w:w="186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P. Glenn</w:t>
            </w: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Severance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720,792</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LTI Acceleration</w:t>
            </w:r>
          </w:p>
        </w:tc>
        <w:tc>
          <w:tcPr>
            <w:tcW w:w="1860" w:type="dxa"/>
            <w:vAlign w:val="bottom"/>
          </w:tcPr>
          <w:p>
            <w:pPr>
              <w:jc w:val="right"/>
              <w:spacing w:after="0"/>
              <w:rPr>
                <w:sz w:val="20"/>
                <w:szCs w:val="20"/>
                <w:color w:val="auto"/>
              </w:rPr>
            </w:pPr>
            <w:r>
              <w:rPr>
                <w:rFonts w:ascii="Arial" w:cs="Arial" w:eastAsia="Arial" w:hAnsi="Arial"/>
                <w:sz w:val="18"/>
                <w:szCs w:val="18"/>
                <w:color w:val="auto"/>
              </w:rPr>
              <w:t>2,091,651</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2,091,651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Increase in Present Value of Pension</w:t>
            </w:r>
          </w:p>
        </w:tc>
        <w:tc>
          <w:tcPr>
            <w:tcW w:w="20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n/a</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Health &amp; Welfare Benefits</w:t>
            </w:r>
          </w:p>
        </w:tc>
        <w:tc>
          <w:tcPr>
            <w:tcW w:w="1860" w:type="dxa"/>
            <w:vAlign w:val="bottom"/>
          </w:tcPr>
          <w:p>
            <w:pPr>
              <w:jc w:val="right"/>
              <w:spacing w:after="0"/>
              <w:rPr>
                <w:sz w:val="20"/>
                <w:szCs w:val="20"/>
                <w:color w:val="auto"/>
              </w:rPr>
            </w:pPr>
            <w:r>
              <w:rPr>
                <w:rFonts w:ascii="Arial" w:cs="Arial" w:eastAsia="Arial" w:hAnsi="Arial"/>
                <w:sz w:val="18"/>
                <w:szCs w:val="18"/>
                <w:color w:val="auto"/>
              </w:rPr>
              <w:t>9,146</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Outplacement &amp; Financial Planning</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324"/>
        </w:trPr>
        <w:tc>
          <w:tcPr>
            <w:tcW w:w="2280" w:type="dxa"/>
            <w:vAlign w:val="bottom"/>
            <w:gridSpan w:val="3"/>
          </w:tcPr>
          <w:p>
            <w:pPr>
              <w:spacing w:after="0"/>
              <w:rPr>
                <w:sz w:val="20"/>
                <w:szCs w:val="20"/>
                <w:color w:val="auto"/>
              </w:rPr>
            </w:pPr>
            <w:r>
              <w:rPr>
                <w:rFonts w:ascii="Arial" w:cs="Arial" w:eastAsia="Arial" w:hAnsi="Arial"/>
                <w:sz w:val="18"/>
                <w:szCs w:val="18"/>
                <w:color w:val="auto"/>
              </w:rPr>
              <w:t>Neal Gutterson</w:t>
            </w: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Severance</w:t>
            </w:r>
          </w:p>
        </w:tc>
        <w:tc>
          <w:tcPr>
            <w:tcW w:w="1860" w:type="dxa"/>
            <w:vAlign w:val="bottom"/>
          </w:tcPr>
          <w:p>
            <w:pPr>
              <w:jc w:val="right"/>
              <w:spacing w:after="0"/>
              <w:rPr>
                <w:sz w:val="20"/>
                <w:szCs w:val="20"/>
                <w:color w:val="auto"/>
              </w:rPr>
            </w:pPr>
            <w:r>
              <w:rPr>
                <w:rFonts w:ascii="Arial" w:cs="Arial" w:eastAsia="Arial" w:hAnsi="Arial"/>
                <w:sz w:val="18"/>
                <w:szCs w:val="18"/>
                <w:color w:val="auto"/>
              </w:rPr>
              <w:t>150,243</w:t>
            </w: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1,543,750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LTI Acceleration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173,125</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Increase in Present Value of Pension</w:t>
            </w:r>
          </w:p>
        </w:tc>
        <w:tc>
          <w:tcPr>
            <w:tcW w:w="2080" w:type="dxa"/>
            <w:vAlign w:val="bottom"/>
            <w:gridSpan w:val="2"/>
          </w:tcPr>
          <w:p>
            <w:pPr>
              <w:ind w:left="1640"/>
              <w:spacing w:after="0"/>
              <w:rPr>
                <w:sz w:val="20"/>
                <w:szCs w:val="20"/>
                <w:color w:val="auto"/>
              </w:rPr>
            </w:pPr>
            <w:r>
              <w:rPr>
                <w:rFonts w:ascii="Arial" w:cs="Arial" w:eastAsia="Arial" w:hAnsi="Arial"/>
                <w:sz w:val="18"/>
                <w:szCs w:val="18"/>
                <w:color w:val="auto"/>
              </w:rPr>
              <w:t>n/a</w:t>
            </w:r>
          </w:p>
        </w:tc>
        <w:tc>
          <w:tcPr>
            <w:tcW w:w="18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Health &amp; Welfare Benefits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00" w:type="dxa"/>
            <w:vAlign w:val="bottom"/>
            <w:gridSpan w:val="3"/>
          </w:tcPr>
          <w:p>
            <w:pPr>
              <w:ind w:left="740"/>
              <w:spacing w:after="0"/>
              <w:rPr>
                <w:sz w:val="20"/>
                <w:szCs w:val="20"/>
                <w:color w:val="auto"/>
              </w:rPr>
            </w:pPr>
            <w:r>
              <w:rPr>
                <w:rFonts w:ascii="Arial" w:cs="Arial" w:eastAsia="Arial" w:hAnsi="Arial"/>
                <w:sz w:val="18"/>
                <w:szCs w:val="18"/>
                <w:color w:val="auto"/>
              </w:rPr>
              <w:t>Outplacement &amp; Financial Planning</w:t>
            </w:r>
          </w:p>
        </w:tc>
        <w:tc>
          <w:tcPr>
            <w:tcW w:w="1860" w:type="dxa"/>
            <w:vAlign w:val="bottom"/>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20" w:hanging="436"/>
        <w:spacing w:after="0" w:line="256" w:lineRule="auto"/>
        <w:tabs>
          <w:tab w:leader="none" w:pos="640" w:val="left"/>
        </w:tabs>
        <w:numPr>
          <w:ilvl w:val="0"/>
          <w:numId w:val="270"/>
        </w:numPr>
        <w:rPr>
          <w:rFonts w:ascii="Arial" w:cs="Arial" w:eastAsia="Arial" w:hAnsi="Arial"/>
          <w:sz w:val="18"/>
          <w:szCs w:val="18"/>
          <w:i w:val="1"/>
          <w:iCs w:val="1"/>
          <w:color w:val="auto"/>
        </w:rPr>
      </w:pPr>
      <w:r>
        <w:rPr>
          <w:rFonts w:ascii="Arial" w:cs="Arial" w:eastAsia="Arial" w:hAnsi="Arial"/>
          <w:sz w:val="18"/>
          <w:szCs w:val="18"/>
          <w:i w:val="1"/>
          <w:iCs w:val="1"/>
          <w:color w:val="auto"/>
        </w:rPr>
        <w:t>While as of December 31, 2018 each of the NEOs would have qualified for separation payments applicable under a change in control had they been terminated by the company on an involuntary basis without cause, figures in this column are presented as if no underlying change in control triggering event existed.</w:t>
      </w:r>
    </w:p>
    <w:p>
      <w:pPr>
        <w:ind w:left="640" w:right="560" w:hanging="436"/>
        <w:spacing w:after="0" w:line="261" w:lineRule="auto"/>
        <w:tabs>
          <w:tab w:leader="none" w:pos="640" w:val="left"/>
        </w:tabs>
        <w:numPr>
          <w:ilvl w:val="0"/>
          <w:numId w:val="270"/>
        </w:numPr>
        <w:rPr>
          <w:rFonts w:ascii="Arial" w:cs="Arial" w:eastAsia="Arial" w:hAnsi="Arial"/>
          <w:sz w:val="18"/>
          <w:szCs w:val="18"/>
          <w:i w:val="1"/>
          <w:iCs w:val="1"/>
          <w:color w:val="auto"/>
        </w:rPr>
      </w:pPr>
      <w:r>
        <w:rPr>
          <w:rFonts w:ascii="Arial" w:cs="Arial" w:eastAsia="Arial" w:hAnsi="Arial"/>
          <w:sz w:val="18"/>
          <w:szCs w:val="18"/>
          <w:i w:val="1"/>
          <w:iCs w:val="1"/>
          <w:color w:val="auto"/>
        </w:rPr>
        <w:t>An executive must meet the double trigger requirement of being involuntarily terminated within two years of a change in control in order to receive benefits.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240" w:top="460" w:right="41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Agreements with DowDuPont and Dow</w:t>
      </w:r>
    </w:p>
    <w:p>
      <w:pPr>
        <w:spacing w:after="0" w:line="117"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In connection with the separation, we have entered and will enter into certain agreements that will effect the separation, provide for the allocation of DowDuPont’s assets, employees, liabilities and obligations (including its investments, property and employee benefits and tax-related assets and liabilities) among us, New DuPont and Dow, and provide a framework for our relationship with New DuPont and Dow following the separation and distribution. For a summary of the terms of certain of the agreements that we will enter into with DowDuPont and Dow prior to the separation, see the section entitled “Our Relationship with New DuPont and Dow Following the Distribution.”</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Review and Approval of Transactions with Related Persons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board of directors will adopt written policies and procedures relating to the approval or ratification of “Related Person Transactions.”</w:t>
      </w:r>
    </w:p>
    <w:p>
      <w:pPr>
        <w:spacing w:after="0" w:line="225"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Under such policies and procedures, the Nomination and Governance Committee, or any other committee comprised of independent directors designated by the board of directors, will review the relevant facts of all reported transactions involving Corteva that may qualify as a Related Person Transactions to determine whether the transaction is a Related Person Transaction. If such committee determines that the transaction is a Related Party Transaction, it will either approve, disapprove or ratify the Related Person Transaction, by taking into account, among other factors it deems appropriate: (i) the commercial reasonableness of the transaction; (ii) the materiality of the Related Person’s direct or indirect interest in the transaction; (iii) whether the transaction may involve an actual conflict of interest or the appearance thereof; (iv) whether the transaction was in the ordinary course of business; and (v) the impact of the transaction on the Related Person’s independence under the Corporate Governance Guidelines and applicable rules of the NYSE.</w:t>
      </w:r>
    </w:p>
    <w:p>
      <w:pPr>
        <w:spacing w:after="0" w:line="16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No director will participate in any discussion or approval of a Related Person Transaction for which such director or any of such director’s immediate family members is a Related Person, except that the director will provide material information concerning the Related Person Transaction to the committee reviewing the Related Party Transaction. Related Person Transactions will be approved or ratified only if they are determined in good faith to be in the best interests of us and our stockholders.</w:t>
      </w:r>
    </w:p>
    <w:p>
      <w:pPr>
        <w:spacing w:after="0" w:line="187"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If a Related Person Transaction that has not been previously approved or previously ratified is discovered, then the Related Person Transaction will be presented for review to either the Nomination and Governance Committee or any other committee comprised of independent directors designated by the board of directors. If such Related Person Transaction is not ratified by the reviewing committee, then we will either ensure all appropriate disclosures regarding the transaction are made or, if appropriate, take all reasonable actions to attempt to terminate our participation in such transaction.</w:t>
      </w:r>
    </w:p>
    <w:p>
      <w:pPr>
        <w:spacing w:after="0" w:line="154"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Under such policies and procedures, a “Related Person Transaction” will be any financial transaction, arrangement or relationship (including any indebtedness or guarantee of indebtedness), or any series of similar transactions, arrangements or relationships, in which (i) the aggregate amount involved will or may be expected to exceed $120,000 in any calendar year, (ii) Corteva is a participant and (iii) any Related Person has or will have a direct or indirect material interest (other than solely as a result of being a director or trustee or a less than 10% beneficial owner of another entity). This also includes any material amendment or modification to an existing Related Party Transaction.</w:t>
      </w:r>
    </w:p>
    <w:p>
      <w:pPr>
        <w:spacing w:after="0" w:line="173"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In addition, under such policies and procedures, a “Related Person” will be any (i) person who is or was (since the beginning of our last fiscal year for which we have filed a Form 10-K and proxy statement, even if they do not presently serve in that role) an executive officer, director or nominee for election as a director of Corteva, (ii) person who is a greater than 5% beneficial owner of our outstanding common stock or (iii) immediate family member of any of the foregoing.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59" w:right="4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Nomination and Governance Committee, or any other committee comprised of independent directors designated by the board of directors, will be charged with reviewing issues involving independence and all Related Person Transactions. It is expected that Corteva and its subsidiaries may purchase products and services from and/or sell products and services to companies of which certain of our directors or executive officers, or their immediate family members, are employees. The Nomination and Governance Committee, or any other committee comprised of independent directors designated by the board of directors, and the board of directors will have reviewed such transactions and relationships and make a determination as to the materiality of such transactions.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Restrictions on Certain Types of Transactions</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expect to adopt an insider trading policy that, among other things, prohibits directors and certain officers from engaging in the following types of transactions with respect to our stock: short-term trading; short sales; hedging transactions; margin accounts and pledging securities. This policy will also strongly recommend that all other employees refrain from entering into these types of transactions as well as engaging in transactions with publicly-traded options.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Before the distribution, all the outstanding shares of Corteva common stock will be owned beneficially and of record by DowDuPont. The following table sets forth information with respect to the expected beneficial ownership of Corteva common stock by: (1) each person who is known by us who will beneficially own more than five percent of Corteva common stock, (2) each expected director, director nominee and NEOs and (3) all our expected directors, director nominees and executive officers as a group. Except as noted below, we based the share amounts on each person’s beneficial ownership of DowDuPont common stock on April 30, 2019, giving effect to a distribution ratio of one share of Corteva common stock for every three shares of DowDuPont common stock. Immediately following the distribution, we estimate that approximately 750 million of our shares of common stock will be issued and outstanding based on DowDuPont common stock expected to be outstanding as of the record date. The actual number of our outstanding shares of Corteva common stock following the distribution will be determined at the close of business on May 24, 2019, the record date.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Based solely on the information filed on Schedule 13G for the year ended December 31, 2018, reporting beneficial ownership of DowDuPont common stock, we anticipate the following stockholders will beneficially own more than five percent of Corteva common stock following the distribution.</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Shares of</w:t>
            </w:r>
          </w:p>
        </w:tc>
        <w:tc>
          <w:tcPr>
            <w:tcW w:w="8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Number of Shares of</w:t>
            </w:r>
          </w:p>
        </w:tc>
        <w:tc>
          <w:tcPr>
            <w:tcW w:w="2280" w:type="dxa"/>
            <w:vAlign w:val="bottom"/>
            <w:gridSpan w:val="3"/>
            <w:vMerge w:val="restart"/>
          </w:tcPr>
          <w:p>
            <w:pPr>
              <w:jc w:val="center"/>
              <w:ind w:left="328"/>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4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DowDuPont Common</w:t>
            </w:r>
          </w:p>
        </w:tc>
        <w:tc>
          <w:tcPr>
            <w:tcW w:w="8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40" w:type="dxa"/>
            <w:vAlign w:val="bottom"/>
            <w:gridSpan w:val="2"/>
            <w:vMerge w:val="continue"/>
          </w:tcPr>
          <w:p>
            <w:pPr>
              <w:spacing w:after="0"/>
              <w:rPr>
                <w:sz w:val="13"/>
                <w:szCs w:val="13"/>
                <w:color w:val="auto"/>
              </w:rPr>
            </w:pPr>
          </w:p>
        </w:tc>
        <w:tc>
          <w:tcPr>
            <w:tcW w:w="2720" w:type="dxa"/>
            <w:vAlign w:val="bottom"/>
          </w:tcPr>
          <w:p>
            <w:pPr>
              <w:spacing w:after="0"/>
              <w:rPr>
                <w:sz w:val="13"/>
                <w:szCs w:val="13"/>
                <w:color w:val="auto"/>
              </w:rPr>
            </w:pPr>
          </w:p>
        </w:tc>
        <w:tc>
          <w:tcPr>
            <w:tcW w:w="1380" w:type="dxa"/>
            <w:vAlign w:val="bottom"/>
          </w:tcPr>
          <w:p>
            <w:pPr>
              <w:jc w:val="right"/>
              <w:ind w:right="442"/>
              <w:spacing w:after="0" w:line="158" w:lineRule="exact"/>
              <w:rPr>
                <w:sz w:val="20"/>
                <w:szCs w:val="20"/>
                <w:color w:val="auto"/>
              </w:rPr>
            </w:pPr>
            <w:r>
              <w:rPr>
                <w:rFonts w:ascii="Arial" w:cs="Arial" w:eastAsia="Arial" w:hAnsi="Arial"/>
                <w:sz w:val="14"/>
                <w:szCs w:val="14"/>
                <w:b w:val="1"/>
                <w:bCs w:val="1"/>
                <w:color w:val="auto"/>
              </w:rPr>
              <w:t>Stock</w:t>
            </w:r>
          </w:p>
        </w:tc>
        <w:tc>
          <w:tcPr>
            <w:tcW w:w="22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Corteva common stock</w:t>
            </w:r>
          </w:p>
        </w:tc>
        <w:tc>
          <w:tcPr>
            <w:tcW w:w="820" w:type="dxa"/>
            <w:vAlign w:val="bottom"/>
          </w:tcPr>
          <w:p>
            <w:pPr>
              <w:spacing w:after="0"/>
              <w:rPr>
                <w:sz w:val="13"/>
                <w:szCs w:val="13"/>
                <w:color w:val="auto"/>
              </w:rPr>
            </w:pPr>
          </w:p>
        </w:tc>
        <w:tc>
          <w:tcPr>
            <w:tcW w:w="14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auto"/>
            </w:tcBorders>
            <w:vMerge w:val="restart"/>
            <w:shd w:val="clear" w:color="auto" w:fill="CCEEFF"/>
          </w:tcPr>
          <w:p>
            <w:pPr>
              <w:spacing w:after="0" w:line="195" w:lineRule="exact"/>
              <w:rPr>
                <w:sz w:val="20"/>
                <w:szCs w:val="20"/>
                <w:color w:val="auto"/>
              </w:rPr>
            </w:pPr>
            <w:r>
              <w:rPr>
                <w:rFonts w:ascii="Arial" w:cs="Arial" w:eastAsia="Arial" w:hAnsi="Arial"/>
                <w:sz w:val="18"/>
                <w:szCs w:val="18"/>
                <w:color w:val="auto"/>
              </w:rPr>
              <w:t>The Vanguard Group</w:t>
            </w:r>
          </w:p>
        </w:tc>
        <w:tc>
          <w:tcPr>
            <w:tcW w:w="272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vMerge w:val="continue"/>
            <w:shd w:val="clear" w:color="auto" w:fill="CCEEFF"/>
          </w:tcPr>
          <w:p>
            <w:pPr>
              <w:spacing w:after="0"/>
              <w:rPr>
                <w:sz w:val="15"/>
                <w:szCs w:val="15"/>
                <w:color w:val="auto"/>
              </w:rPr>
            </w:pPr>
          </w:p>
        </w:tc>
        <w:tc>
          <w:tcPr>
            <w:tcW w:w="2720" w:type="dxa"/>
            <w:vAlign w:val="bottom"/>
            <w:vMerge w:val="continue"/>
            <w:shd w:val="clear" w:color="auto" w:fill="CCEEFF"/>
          </w:tcPr>
          <w:p>
            <w:pPr>
              <w:spacing w:after="0"/>
              <w:rPr>
                <w:sz w:val="15"/>
                <w:szCs w:val="15"/>
                <w:color w:val="auto"/>
              </w:rPr>
            </w:pPr>
          </w:p>
        </w:tc>
        <w:tc>
          <w:tcPr>
            <w:tcW w:w="1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182,534,694</w:t>
            </w:r>
          </w:p>
        </w:tc>
        <w:tc>
          <w:tcPr>
            <w:tcW w:w="800" w:type="dxa"/>
            <w:vAlign w:val="bottom"/>
            <w:vMerge w:val="continue"/>
            <w:shd w:val="clear" w:color="auto" w:fill="CCEEFF"/>
          </w:tcPr>
          <w:p>
            <w:pPr>
              <w:spacing w:after="0"/>
              <w:rPr>
                <w:sz w:val="15"/>
                <w:szCs w:val="15"/>
                <w:color w:val="auto"/>
              </w:rPr>
            </w:pP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60,844,898</w:t>
            </w:r>
          </w:p>
        </w:tc>
        <w:tc>
          <w:tcPr>
            <w:tcW w:w="8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760"/>
              <w:spacing w:after="0" w:line="176" w:lineRule="exact"/>
              <w:rPr>
                <w:sz w:val="20"/>
                <w:szCs w:val="20"/>
                <w:color w:val="auto"/>
              </w:rPr>
            </w:pPr>
            <w:r>
              <w:rPr>
                <w:rFonts w:ascii="Arial" w:cs="Arial" w:eastAsia="Arial" w:hAnsi="Arial"/>
                <w:sz w:val="18"/>
                <w:szCs w:val="18"/>
                <w:color w:val="auto"/>
                <w:w w:val="97"/>
              </w:rPr>
              <w:t>7.95%</w:t>
            </w:r>
            <w:r>
              <w:rPr>
                <w:rFonts w:ascii="Arial" w:cs="Arial" w:eastAsia="Arial" w:hAnsi="Arial"/>
                <w:sz w:val="15"/>
                <w:szCs w:val="15"/>
                <w:color w:val="auto"/>
                <w:w w:val="97"/>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144,573,722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48,191,241</w:t>
            </w:r>
          </w:p>
        </w:tc>
        <w:tc>
          <w:tcPr>
            <w:tcW w:w="8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6.3%</w:t>
            </w:r>
            <w:r>
              <w:rPr>
                <w:rFonts w:ascii="Arial" w:cs="Arial" w:eastAsia="Arial" w:hAnsi="Arial"/>
                <w:sz w:val="15"/>
                <w:szCs w:val="15"/>
                <w:color w:val="auto"/>
              </w:rPr>
              <w:t>(b)</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Capital World Investors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140,071,804</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46,690,601</w:t>
            </w:r>
          </w:p>
        </w:tc>
        <w:tc>
          <w:tcPr>
            <w:tcW w:w="8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6.1%</w:t>
            </w:r>
            <w:r>
              <w:rPr>
                <w:rFonts w:ascii="Arial" w:cs="Arial" w:eastAsia="Arial" w:hAnsi="Arial"/>
                <w:sz w:val="15"/>
                <w:szCs w:val="15"/>
                <w:color w:val="auto"/>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9" w:lineRule="auto"/>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Based on a Schedule 13G filed by The Vanguard Group on February 11, 2019 with the SEC reporting beneficial ownership as of December 31, 2018. The Vanguard Group has sole voting power over 2,672,944 shares, shared voting power over 502,039 shares, sole dispositive power over 179,417,753 shares and shared dispositive power over 3,116,941 shares. The Vanguard Group’s address is 100 Vanguard Boulevard, Malvern, PA 19355.</w:t>
      </w:r>
    </w:p>
    <w:p>
      <w:pPr>
        <w:spacing w:after="0" w:line="92" w:lineRule="exact"/>
        <w:rPr>
          <w:rFonts w:ascii="Arial" w:cs="Arial" w:eastAsia="Arial" w:hAnsi="Arial"/>
          <w:sz w:val="18"/>
          <w:szCs w:val="18"/>
          <w:color w:val="auto"/>
        </w:rPr>
      </w:pPr>
    </w:p>
    <w:p>
      <w:pPr>
        <w:ind w:left="640" w:right="20" w:hanging="436"/>
        <w:spacing w:after="0" w:line="264" w:lineRule="auto"/>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Based on a Schedule 13G filed by Blackrock, Inc. on February 11, 2019 with the SEC reporting beneficial ownership as of December 31, 2018. Blackrock, Inc. has sole voting power over 124,093,394 shares and sole dispositive power over 144,573,722 shares. Blackrock, Inc.’s address is 55 East 52nd Street, New York, NY 10055.</w:t>
      </w:r>
    </w:p>
    <w:p>
      <w:pPr>
        <w:spacing w:after="0" w:line="86" w:lineRule="exact"/>
        <w:rPr>
          <w:rFonts w:ascii="Arial" w:cs="Arial" w:eastAsia="Arial" w:hAnsi="Arial"/>
          <w:sz w:val="18"/>
          <w:szCs w:val="18"/>
          <w:color w:val="auto"/>
        </w:rPr>
      </w:pPr>
    </w:p>
    <w:p>
      <w:pPr>
        <w:jc w:val="both"/>
        <w:ind w:left="640" w:right="100" w:hanging="436"/>
        <w:spacing w:after="0" w:line="264" w:lineRule="auto"/>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Based on a Schedule 13G filed by Capital World Investors on February 14, 2019 with the SEC reporting beneficial ownership as of December 31, 2018. Capital World Investors has sole voting power over 140,044,208 shares and sole dispositive power over 140,071,804 shares. Capital World Investors’ address is 333 South Hope Street, Los Angeles, CA 90071.</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240" w:top="459" w:right="41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Security Ownership of Directors and Executive Officers</w:t>
      </w:r>
    </w:p>
    <w:p>
      <w:pPr>
        <w:spacing w:after="0" w:line="12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following table provides information regarding beneficial ownership of our NEOs, our expected directors, director nominees and all our expected directors, director nominees and executive officers as a group.</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Number of</w:t>
            </w: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Right to Acquire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DowDuPont</w:t>
            </w:r>
          </w:p>
        </w:tc>
        <w:tc>
          <w:tcPr>
            <w:tcW w:w="4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Beneficial</w:t>
            </w:r>
          </w:p>
        </w:tc>
        <w:tc>
          <w:tcPr>
            <w:tcW w:w="7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Shares of</w:t>
            </w:r>
          </w:p>
        </w:tc>
        <w:tc>
          <w:tcPr>
            <w:tcW w:w="24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Ownership of</w:t>
            </w: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9"/>
              </w:rPr>
              <w:t>Beneficial</w:t>
            </w:r>
          </w:p>
        </w:tc>
        <w:tc>
          <w:tcPr>
            <w:tcW w:w="4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4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8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DowDuPont</w:t>
            </w:r>
          </w:p>
        </w:tc>
        <w:tc>
          <w:tcPr>
            <w:tcW w:w="24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DowDuPont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Ownership</w:t>
            </w:r>
          </w:p>
        </w:tc>
        <w:tc>
          <w:tcPr>
            <w:tcW w:w="4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Corteva</w:t>
            </w:r>
          </w:p>
        </w:tc>
        <w:tc>
          <w:tcPr>
            <w:tcW w:w="1640" w:type="dxa"/>
            <w:vAlign w:val="bottom"/>
            <w:gridSpan w:val="3"/>
          </w:tcPr>
          <w:p>
            <w:pPr>
              <w:jc w:val="center"/>
              <w:ind w:left="171"/>
              <w:spacing w:after="0" w:line="149" w:lineRule="exact"/>
              <w:rPr>
                <w:sz w:val="20"/>
                <w:szCs w:val="20"/>
                <w:color w:val="auto"/>
              </w:rPr>
            </w:pPr>
            <w:r>
              <w:rPr>
                <w:rFonts w:ascii="Arial" w:cs="Arial" w:eastAsia="Arial" w:hAnsi="Arial"/>
                <w:sz w:val="14"/>
                <w:szCs w:val="14"/>
                <w:b w:val="1"/>
                <w:bCs w:val="1"/>
                <w:color w:val="auto"/>
                <w:w w:val="91"/>
              </w:rPr>
              <w:t>Corteva Shares</w:t>
            </w:r>
          </w:p>
        </w:tc>
        <w:tc>
          <w:tcPr>
            <w:tcW w:w="0" w:type="dxa"/>
            <w:vAlign w:val="bottom"/>
          </w:tcPr>
          <w:p>
            <w:pPr>
              <w:spacing w:after="0"/>
              <w:rPr>
                <w:sz w:val="1"/>
                <w:szCs w:val="1"/>
                <w:color w:val="auto"/>
              </w:rPr>
            </w:pPr>
          </w:p>
        </w:tc>
      </w:tr>
      <w:tr>
        <w:trPr>
          <w:trHeight w:val="178"/>
        </w:trPr>
        <w:tc>
          <w:tcPr>
            <w:tcW w:w="3660" w:type="dxa"/>
            <w:vAlign w:val="bottom"/>
            <w:gridSpan w:val="3"/>
            <w:vMerge w:val="continue"/>
          </w:tcPr>
          <w:p>
            <w:pPr>
              <w:spacing w:after="0"/>
              <w:rPr>
                <w:sz w:val="15"/>
                <w:szCs w:val="15"/>
                <w:color w:val="auto"/>
              </w:rPr>
            </w:pPr>
          </w:p>
        </w:tc>
        <w:tc>
          <w:tcPr>
            <w:tcW w:w="178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Common Stock</w:t>
            </w:r>
            <w:r>
              <w:rPr>
                <w:rFonts w:ascii="Arial" w:cs="Arial" w:eastAsia="Arial" w:hAnsi="Arial"/>
                <w:sz w:val="12"/>
                <w:szCs w:val="12"/>
                <w:b w:val="1"/>
                <w:bCs w:val="1"/>
                <w:color w:val="auto"/>
                <w:w w:val="91"/>
              </w:rPr>
              <w:t>(a)</w:t>
            </w:r>
          </w:p>
        </w:tc>
        <w:tc>
          <w:tcPr>
            <w:tcW w:w="240" w:type="dxa"/>
            <w:vAlign w:val="bottom"/>
          </w:tcPr>
          <w:p>
            <w:pPr>
              <w:spacing w:after="0"/>
              <w:rPr>
                <w:sz w:val="15"/>
                <w:szCs w:val="15"/>
                <w:color w:val="auto"/>
              </w:rPr>
            </w:pPr>
          </w:p>
        </w:tc>
        <w:tc>
          <w:tcPr>
            <w:tcW w:w="15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Shares</w:t>
            </w:r>
            <w:r>
              <w:rPr>
                <w:rFonts w:ascii="Arial" w:cs="Arial" w:eastAsia="Arial" w:hAnsi="Arial"/>
                <w:sz w:val="12"/>
                <w:szCs w:val="12"/>
                <w:b w:val="1"/>
                <w:bCs w:val="1"/>
                <w:color w:val="auto"/>
                <w:w w:val="93"/>
              </w:rPr>
              <w:t>(b)</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Total</w:t>
            </w:r>
          </w:p>
        </w:tc>
        <w:tc>
          <w:tcPr>
            <w:tcW w:w="1420" w:type="dxa"/>
            <w:vAlign w:val="bottom"/>
            <w:gridSpan w:val="2"/>
          </w:tcPr>
          <w:p>
            <w:pPr>
              <w:jc w:val="center"/>
              <w:ind w:left="371"/>
              <w:spacing w:after="0" w:line="158" w:lineRule="exact"/>
              <w:rPr>
                <w:sz w:val="20"/>
                <w:szCs w:val="20"/>
                <w:color w:val="auto"/>
              </w:rPr>
            </w:pPr>
            <w:r>
              <w:rPr>
                <w:rFonts w:ascii="Arial" w:cs="Arial" w:eastAsia="Arial" w:hAnsi="Arial"/>
                <w:sz w:val="14"/>
                <w:szCs w:val="14"/>
                <w:b w:val="1"/>
                <w:bCs w:val="1"/>
                <w:color w:val="auto"/>
                <w:w w:val="90"/>
              </w:rPr>
              <w:t>Common stock</w:t>
            </w:r>
          </w:p>
        </w:tc>
        <w:tc>
          <w:tcPr>
            <w:tcW w:w="480" w:type="dxa"/>
            <w:vAlign w:val="bottom"/>
          </w:tcPr>
          <w:p>
            <w:pPr>
              <w:spacing w:after="0"/>
              <w:rPr>
                <w:sz w:val="15"/>
                <w:szCs w:val="15"/>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Lamberto Andreotti</w:t>
            </w:r>
          </w:p>
        </w:tc>
        <w:tc>
          <w:tcPr>
            <w:tcW w:w="1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Edward D. Breen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174,481</w:t>
            </w:r>
          </w:p>
        </w:tc>
        <w:tc>
          <w:tcPr>
            <w:tcW w:w="4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1,050,428</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1,224,909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408,303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Brown</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James C. Collins</w:t>
            </w:r>
          </w:p>
        </w:tc>
        <w:tc>
          <w:tcPr>
            <w:tcW w:w="28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179,294</w:t>
            </w:r>
            <w:r>
              <w:rPr>
                <w:rFonts w:ascii="Arial" w:cs="Arial" w:eastAsia="Arial" w:hAnsi="Arial"/>
                <w:sz w:val="15"/>
                <w:szCs w:val="15"/>
                <w:color w:val="auto"/>
              </w:rPr>
              <w:t>(d)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247,873</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427,167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142,389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Klaus Engel</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Gregory R. Friedman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22,400</w:t>
            </w:r>
          </w:p>
        </w:tc>
        <w:tc>
          <w:tcPr>
            <w:tcW w:w="4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68,347</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90,747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30,249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Gajaria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Timothy P. Glenn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35,875</w:t>
            </w:r>
          </w:p>
        </w:tc>
        <w:tc>
          <w:tcPr>
            <w:tcW w:w="4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88,021</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123,896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41,299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Neal Gutterson</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10,494</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37,086</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Michael O. Johanns</w:t>
            </w:r>
          </w:p>
        </w:tc>
        <w:tc>
          <w:tcPr>
            <w:tcW w:w="28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Lois D. Juliber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Rebecca B. Liebert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Page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Lee M. Thomas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15,544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5,181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J. Ward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w w:val="97"/>
              </w:rPr>
              <w:t>Directors and executive officers as a group (17</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persons)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482,116</w:t>
            </w:r>
          </w:p>
        </w:tc>
        <w:tc>
          <w:tcPr>
            <w:tcW w:w="4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1,580,052</w:t>
            </w: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2,062,168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687,389</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Less than one percent of the total Corteva shares expected to be issued and outstanding.</w:t>
      </w:r>
    </w:p>
    <w:p>
      <w:pPr>
        <w:spacing w:after="0" w:line="23" w:lineRule="exact"/>
        <w:rPr>
          <w:sz w:val="20"/>
          <w:szCs w:val="20"/>
          <w:color w:val="auto"/>
        </w:rPr>
      </w:pPr>
    </w:p>
    <w:p>
      <w:pPr>
        <w:ind w:left="640" w:right="80" w:hanging="436"/>
        <w:spacing w:after="0" w:line="250" w:lineRule="auto"/>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Except as otherwise noted and for shares held by a spouse and other members of the person’s immediate family who share a household with the named person, the named persons have sole voting and investment power over the indicated number of shares. This column also includes all shares held in a trust over which the person has or shares voting or investment power. Beneficial ownership of some or all of the shares listed may be disclaimed.</w:t>
      </w:r>
    </w:p>
    <w:p>
      <w:pPr>
        <w:spacing w:after="0" w:line="1" w:lineRule="exact"/>
        <w:rPr>
          <w:rFonts w:ascii="Arial" w:cs="Arial" w:eastAsia="Arial" w:hAnsi="Arial"/>
          <w:sz w:val="18"/>
          <w:szCs w:val="18"/>
          <w:color w:val="auto"/>
        </w:rPr>
      </w:pPr>
    </w:p>
    <w:p>
      <w:pPr>
        <w:ind w:left="640" w:right="800" w:hanging="436"/>
        <w:spacing w:after="0" w:line="250" w:lineRule="auto"/>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This column includes any DowDuPont shares that the person could acquire within 60 days of April 30, 2019, by exercise of outstanding DowDuPont stock options.</w:t>
      </w:r>
    </w:p>
    <w:p>
      <w:pPr>
        <w:ind w:left="640" w:right="340" w:hanging="436"/>
        <w:spacing w:after="0" w:line="250" w:lineRule="auto"/>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percentage of shares beneficially owned is calculated based on the number of shares of Corteva common stock expected to be outstanding based on number of DowDuPont shares outstanding as of April 30, 2019.</w:t>
      </w:r>
    </w:p>
    <w:p>
      <w:pPr>
        <w:ind w:left="640" w:hanging="436"/>
        <w:spacing w:after="0"/>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Includes 85,694 shares held by Hagley Museum and Library, in which Mr. Collins has shared voting and investment power.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240" w:top="459" w:right="41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OUR RELATIONSHIP WITH NEW DUPONT AND DOW FOLLOWING THE DISTRIBUTION</w:t>
      </w:r>
    </w:p>
    <w:p>
      <w:pPr>
        <w:spacing w:after="0" w:line="229"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In connection with the intended separation of DowDuPont into three, independent, publicly traded companies, we, DowDuPont (which will, after the separation of Corteva, become New DuPont) and Dow have entered and will enter into certain agreements that have effected the separation of DowDuPont’s materials science business and will effect the separation of DowDuPont’s agriculture and specialty products businesses, including by providing for the allocation between us, Dow and New DuPont of DowDuPont’s assets, employees, liabilities and obligations (including its investments, property and employee benefits and tax-related assets and liabilities), and provide a framework for our relationship following the distribution with New DuPont and Dow. The following is a summary of the material terms of certain of these agreements. Following the separation and distribution of Dow on April 1, 2019, no changes to such agreements may be made without Dow’s consent.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Separation Agreement</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Prior to the separation and distribution of Dow on April 1, 2019, we entered into a separation and distribution agreement with DowDuPont and Dow. The separation agreement set forth our agreement with DowDuPont and Dow regarding the principal actions to be taken in connection with the separation, including those related to the Internal Reorganization and the Business Realignment. It will also set forth other agreements that govern certain aspects of our relationship with New DuPont and Dow following the separation and distribution. This summary of the separation agreement is qualified in its entirety by reference to the full text of the agreement, the form of which is incorporated by reference herein and filed as Exhibit 2.1 to the Form 10 of which this information statement forms a part.</w:t>
      </w:r>
    </w:p>
    <w:p>
      <w:pPr>
        <w:spacing w:after="0" w:line="193"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i w:val="1"/>
          <w:iCs w:val="1"/>
          <w:color w:val="auto"/>
        </w:rPr>
        <w:t>Transfer of Assets and Assumption of Liabilities</w:t>
      </w:r>
      <w:r>
        <w:rPr>
          <w:rFonts w:ascii="Arial" w:cs="Arial" w:eastAsia="Arial" w:hAnsi="Arial"/>
          <w:sz w:val="17"/>
          <w:szCs w:val="17"/>
          <w:color w:val="auto"/>
        </w:rPr>
        <w:t>. The separation agreement identifies assets and liabilities to be allocated to each of us, Dow and New</w:t>
      </w:r>
      <w:r>
        <w:rPr>
          <w:rFonts w:ascii="Arial" w:cs="Arial" w:eastAsia="Arial" w:hAnsi="Arial"/>
          <w:sz w:val="17"/>
          <w:szCs w:val="17"/>
          <w:i w:val="1"/>
          <w:iCs w:val="1"/>
          <w:color w:val="auto"/>
        </w:rPr>
        <w:t xml:space="preserve"> </w:t>
      </w:r>
      <w:r>
        <w:rPr>
          <w:rFonts w:ascii="Arial" w:cs="Arial" w:eastAsia="Arial" w:hAnsi="Arial"/>
          <w:sz w:val="17"/>
          <w:szCs w:val="17"/>
          <w:color w:val="auto"/>
        </w:rPr>
        <w:t>DuPont as part of the separation of DowDuPont into three companies. We note, however that (x) the allocation of employee-related liabilities (including pension liabilities) and related assets is set forth in the employee matters agreement (see the section below entitled “—Employee Matters Agreement” for a summary of such allocation) and (y) the allocation of tax liabilities and assets is set forth in the tax matters agreement (see the section below entitled “—Tax Matters Agreement” for a summary of such allocation). In particular, the separation agreement provides that, subject to the terms and conditions contained in the separation agreement:</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Assets</w:t>
      </w:r>
    </w:p>
    <w:p>
      <w:pPr>
        <w:spacing w:after="0" w:line="131" w:lineRule="exact"/>
        <w:rPr>
          <w:sz w:val="20"/>
          <w:szCs w:val="20"/>
          <w:color w:val="auto"/>
        </w:rPr>
      </w:pPr>
    </w:p>
    <w:p>
      <w:pPr>
        <w:ind w:left="1060" w:right="140" w:hanging="316"/>
        <w:spacing w:after="0" w:line="277" w:lineRule="auto"/>
        <w:tabs>
          <w:tab w:leader="none" w:pos="10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Generally, assets primarily related to the agriculture business, materials science business or specialty products business have been assigned to or retained by us, Dow or New DuPont, respectively;</w:t>
      </w:r>
    </w:p>
    <w:p>
      <w:pPr>
        <w:spacing w:after="0" w:line="75"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We, Dow or New DuPont, as applicable, have been allocated the equity interests of subsidiaries that are intended to be our and their respective subsidiaries after the distributions (which, for us, includes EID and the other subsidiaries listed in Exhibit 21.1 to the Form 10 of which this information statement forms a part);</w:t>
      </w:r>
    </w:p>
    <w:p>
      <w:pPr>
        <w:spacing w:after="0" w:line="86" w:lineRule="exact"/>
        <w:rPr>
          <w:rFonts w:ascii="Arial" w:cs="Arial" w:eastAsia="Arial" w:hAnsi="Arial"/>
          <w:sz w:val="18"/>
          <w:szCs w:val="18"/>
          <w:color w:val="auto"/>
        </w:rPr>
      </w:pPr>
    </w:p>
    <w:p>
      <w:pPr>
        <w:ind w:left="1060" w:right="140" w:hanging="316"/>
        <w:spacing w:after="0" w:line="264" w:lineRule="auto"/>
        <w:tabs>
          <w:tab w:leader="none" w:pos="10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We have accepted or retained certain real property set forth on a schedule, Dow has accepted or retained certain real property set forth on a schedule (including the former headquarters of TDCC) and New DuPont has accepted or retained certain real property set forth on a schedule (including the former headquarters of EID);</w:t>
      </w:r>
    </w:p>
    <w:p>
      <w:pPr>
        <w:spacing w:after="0" w:line="86" w:lineRule="exact"/>
        <w:rPr>
          <w:rFonts w:ascii="Arial" w:cs="Arial" w:eastAsia="Arial" w:hAnsi="Arial"/>
          <w:sz w:val="18"/>
          <w:szCs w:val="18"/>
          <w:color w:val="auto"/>
        </w:rPr>
      </w:pPr>
    </w:p>
    <w:p>
      <w:pPr>
        <w:ind w:left="1060" w:right="440" w:hanging="316"/>
        <w:spacing w:after="0" w:line="342" w:lineRule="auto"/>
        <w:tabs>
          <w:tab w:leader="none" w:pos="10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Generally, Dow has been allocated all of the financial assets that are related to the materials science business and all financial assets of Historical Dow that are not related to the agriculture business, specialty products business or materials science business;</w:t>
      </w:r>
    </w:p>
    <w:p>
      <w:pPr>
        <w:spacing w:after="0" w:line="29" w:lineRule="exact"/>
        <w:rPr>
          <w:rFonts w:ascii="Arial" w:cs="Arial" w:eastAsia="Arial" w:hAnsi="Arial"/>
          <w:sz w:val="16"/>
          <w:szCs w:val="16"/>
          <w:color w:val="auto"/>
        </w:rPr>
      </w:pPr>
    </w:p>
    <w:p>
      <w:pPr>
        <w:ind w:left="1060" w:right="360" w:hanging="316"/>
        <w:spacing w:after="0" w:line="342" w:lineRule="auto"/>
        <w:tabs>
          <w:tab w:leader="none" w:pos="10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Generally, we have been allocated all of the financial assets that are related to the agriculture business and 29% of all financial assets of Historical DuPont that are not related to the agriculture business, the materials science business or the specialty products business;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24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6"/>
        <w:spacing w:after="0" w:line="264" w:lineRule="auto"/>
        <w:tabs>
          <w:tab w:leader="none" w:pos="10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Generally, New DuPont has been allocated all of the financial assets that are related to the specialty products business and 71% of all financial assets of Historical DuPont that are not related to the specialty products business, the materials science business or the agriculture business;</w:t>
      </w:r>
    </w:p>
    <w:p>
      <w:pPr>
        <w:spacing w:after="0" w:line="86" w:lineRule="exact"/>
        <w:rPr>
          <w:rFonts w:ascii="Arial" w:cs="Arial" w:eastAsia="Arial" w:hAnsi="Arial"/>
          <w:sz w:val="18"/>
          <w:szCs w:val="18"/>
          <w:color w:val="auto"/>
        </w:rPr>
      </w:pPr>
    </w:p>
    <w:p>
      <w:pPr>
        <w:ind w:left="1060" w:right="320" w:hanging="316"/>
        <w:spacing w:after="0" w:line="312" w:lineRule="auto"/>
        <w:tabs>
          <w:tab w:leader="none" w:pos="10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We have been allocated the Corteva name and all Corteva and Corteva Agriscience brands, New DuPont has been allocated the DuPont name and all DuPont brands and Dow has been allocated the Dow name and all Dow brands, subject, in each case, to certain licenses described in more detail in the section below entitled “—Transitional Trademark House Marks License Agreement”;</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Liabilities</w:t>
      </w:r>
    </w:p>
    <w:p>
      <w:pPr>
        <w:spacing w:after="0" w:line="131" w:lineRule="exact"/>
        <w:rPr>
          <w:sz w:val="20"/>
          <w:szCs w:val="20"/>
          <w:color w:val="auto"/>
        </w:rPr>
      </w:pPr>
    </w:p>
    <w:p>
      <w:pPr>
        <w:ind w:left="1060" w:right="480" w:hanging="316"/>
        <w:spacing w:after="0" w:line="277" w:lineRule="auto"/>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Generally, liabilities primarily related to the agriculture business, materials science business or specialty products business have been assigned to or retained by us, Dow or New DuPont, respectively;</w:t>
      </w:r>
    </w:p>
    <w:p>
      <w:pPr>
        <w:spacing w:after="0" w:line="75" w:lineRule="exact"/>
        <w:rPr>
          <w:rFonts w:ascii="Arial" w:cs="Arial" w:eastAsia="Arial" w:hAnsi="Arial"/>
          <w:sz w:val="18"/>
          <w:szCs w:val="18"/>
          <w:color w:val="auto"/>
        </w:rPr>
      </w:pPr>
    </w:p>
    <w:p>
      <w:pPr>
        <w:ind w:left="1060" w:right="20" w:hanging="316"/>
        <w:spacing w:after="0" w:line="286" w:lineRule="auto"/>
        <w:tabs>
          <w:tab w:leader="none" w:pos="10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Each of us, Dow and New DuPont have generally retained or assumed any liabilities (including under applicable federal and state securities laws) relating to any disclosure document filed or furnished with the SEC in connection with the separation (including, with respect to us, the Form 10 of which this information statement forms a part and, with respect to Dow, the registration statement on Form 10 and related information statement filed by Dow) based on information supplied by (i) Historical DuPont, in the case of us and New DuPont and</w:t>
      </w:r>
    </w:p>
    <w:p>
      <w:pPr>
        <w:spacing w:after="0" w:line="1" w:lineRule="exact"/>
        <w:rPr>
          <w:rFonts w:ascii="Arial" w:cs="Arial" w:eastAsia="Arial" w:hAnsi="Arial"/>
          <w:sz w:val="16"/>
          <w:szCs w:val="16"/>
          <w:color w:val="auto"/>
        </w:rPr>
      </w:pPr>
    </w:p>
    <w:p>
      <w:pPr>
        <w:ind w:left="1340" w:hanging="272"/>
        <w:spacing w:after="0"/>
        <w:tabs>
          <w:tab w:leader="none" w:pos="13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Historical Dow, in the case of Dow;</w:t>
      </w:r>
    </w:p>
    <w:p>
      <w:pPr>
        <w:spacing w:after="0" w:line="116"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Historical Dow liabilities for borrowed money that were incurred or guaranteed by Dow (including those of TDCC) have been retained or assumed by Dow;</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Historical DuPont liabilities for borrowed money that were incurred or guaranteed by us (including EID) will be retained or assumed by us or the applicable subsidiary;</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Historical DuPont liabilities for borrowed money that were incurred or guaranteed by New DuPont, as well as those of DowDuPont, have been retained or assumed by New DuPont;</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Generally, Dow has been allocated all of the other financial liabilities that are related to the materials science business and all of the other financial liabilities of Historical Dow that are not related to the agriculture business, the specialty products business or the materials science business;</w:t>
      </w:r>
    </w:p>
    <w:p>
      <w:pPr>
        <w:spacing w:after="0" w:line="86" w:lineRule="exact"/>
        <w:rPr>
          <w:rFonts w:ascii="Arial" w:cs="Arial" w:eastAsia="Arial" w:hAnsi="Arial"/>
          <w:sz w:val="18"/>
          <w:szCs w:val="18"/>
          <w:color w:val="auto"/>
        </w:rPr>
      </w:pPr>
    </w:p>
    <w:p>
      <w:pPr>
        <w:ind w:left="1060" w:right="300" w:hanging="316"/>
        <w:spacing w:after="0" w:line="264" w:lineRule="auto"/>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Generally, we have been allocated all of the other financial liabilities that are related to the agriculture business and 29% of all financial liabilities of Historical DuPont that are not related to the agriculture business, the materials science business or the specialty products business;</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Generally, New DuPont has been allocated all of the other financial liabilities that are related to the specialty products business and 71% of all financial liabilities of Historical DuPont that are not related to the agriculture business, the materials science business or the specialty products business;</w:t>
      </w:r>
    </w:p>
    <w:p>
      <w:pPr>
        <w:spacing w:after="0" w:line="86"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We have retained or assumed 29% and New DuPont has retained or assumed 71% of liabilities for costs and expenses incurred relating to the transfer of (i) materials science assets of Historical DuPont to Dow and (ii) agriculture assets and specialty products assets of Historical DuPont to us and New DuPont, respectively;</w:t>
      </w:r>
    </w:p>
    <w:p>
      <w:pPr>
        <w:spacing w:after="0" w:line="86"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Dow has retained or assumed liabilities for costs and expenses relating to the transfer of agriculture assets, specialty products assets and materials science assets of Historical Dow to us, New DuPont and Dow, respectively;</w:t>
      </w:r>
    </w:p>
    <w:p>
      <w:pPr>
        <w:spacing w:after="0" w:line="75" w:lineRule="exact"/>
        <w:rPr>
          <w:rFonts w:ascii="Arial" w:cs="Arial" w:eastAsia="Arial" w:hAnsi="Arial"/>
          <w:sz w:val="18"/>
          <w:szCs w:val="18"/>
          <w:color w:val="auto"/>
        </w:rPr>
      </w:pPr>
    </w:p>
    <w:p>
      <w:pPr>
        <w:ind w:left="1060" w:right="40" w:hanging="316"/>
        <w:spacing w:after="0" w:line="288" w:lineRule="auto"/>
        <w:tabs>
          <w:tab w:leader="none" w:pos="10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Generally, we have retained or assumed 29% and New DuPont will retain or assume 71% of certain liabilities of Historical DuPont, which otherwise would have been transferred to Dow as primarily related to the materials science business, in excess of $125 million, if any, that are (i) known (or deemed to be known), as of April 1, 2019 (the date of distribution of Dow) by specified persons of Historical DuPont and</w:t>
      </w:r>
    </w:p>
    <w:p>
      <w:pPr>
        <w:ind w:left="1340" w:hanging="272"/>
        <w:spacing w:after="0"/>
        <w:tabs>
          <w:tab w:leader="none" w:pos="134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not specifically identified, through disclosure schedules or otherwise, as allocated to Dow pursuant to the separation agreement;</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240" w:top="459" w:right="51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59" w:lineRule="auto"/>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Generally, Dow has retained or assumed certain liabilities of Historical Dow, which otherwise would have been transferred to us as primarily related to the agriculture business, in excess of $125 million, if any, that are (i) known (or deemed to be known), as of April 1, 2019 (the date of distribution of Dow) by specified persons of Historical Dow and (ii) not specifically identified, through disclosure schedules or otherwise, as allocated to us pursuant to the separation agreement;</w:t>
      </w:r>
    </w:p>
    <w:p>
      <w:pPr>
        <w:spacing w:after="0" w:line="92" w:lineRule="exact"/>
        <w:rPr>
          <w:rFonts w:ascii="Arial" w:cs="Arial" w:eastAsia="Arial" w:hAnsi="Arial"/>
          <w:sz w:val="18"/>
          <w:szCs w:val="18"/>
          <w:color w:val="auto"/>
        </w:rPr>
      </w:pPr>
    </w:p>
    <w:p>
      <w:pPr>
        <w:ind w:left="1060" w:right="60" w:hanging="316"/>
        <w:spacing w:after="0" w:line="279" w:lineRule="auto"/>
        <w:tabs>
          <w:tab w:leader="none" w:pos="10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Generally, Dow has retained or assumed certain liabilities of Historical Dow, which otherwise would have been transferred to New DuPont as primarily related to the specialty products business, in excess of $125 million, if any, that are (i) known (or deemed to be known), as of April 1, 2019 (the date of distribution of Dow) by specified persons of Historical Dow and (ii) not specifically identified, through disclosure schedules or otherwise, as allocated to New DuPont pursuant to the separation agreement;</w:t>
      </w:r>
    </w:p>
    <w:p>
      <w:pPr>
        <w:spacing w:after="0" w:line="76" w:lineRule="exact"/>
        <w:rPr>
          <w:rFonts w:ascii="Arial" w:cs="Arial" w:eastAsia="Arial" w:hAnsi="Arial"/>
          <w:sz w:val="17"/>
          <w:szCs w:val="17"/>
          <w:color w:val="auto"/>
        </w:rPr>
      </w:pPr>
    </w:p>
    <w:p>
      <w:pPr>
        <w:ind w:left="1060" w:right="20" w:hanging="316"/>
        <w:spacing w:after="0" w:line="287" w:lineRule="auto"/>
        <w:tabs>
          <w:tab w:leader="none" w:pos="10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Liabilities related to businesses and operations of Historical DuPont that were previously discontinued or divested have been allocated between us and New DuPont as set forth on the schedules to the separation agreement (with each of us and New DuPont retaining or assuming our and its applicable allocated liabilities) and if not set forth on the schedule, such liabilities primarily related to our business and operations have been retained or assumed by us and such liabilities primarily related to New DuPont’s business and operations will be retained or assumed by New DuPont. To the extent a liability related to or arising out of businesses of Historical DuPont that were previously discontinued or divested is not set forth on a schedule to the separation agreement or is in excess of the amount therefor set forth on a confidential schedule to the separation agreement and is not primarily related to our or New DuPont’s business and operations, such liability will be allocated to whichever of us or New DuPont incurs or incurred the liability up to $200 million in the aggregate for each company. In the event such liabilities exceed such amount for either us or New DuPont, the excess liability will be allocated to the other, subject to the aggregate cap. In the event such liabilities exceed $200 million in the aggregate for each of us and New DuPont, we will retain or assume 29%, and New DuPont will retain or assume 71%, of such excess (subject to a $1 million de minimis threshold);</w:t>
      </w:r>
    </w:p>
    <w:p>
      <w:pPr>
        <w:spacing w:after="0" w:line="78" w:lineRule="exact"/>
        <w:rPr>
          <w:rFonts w:ascii="Arial" w:cs="Arial" w:eastAsia="Arial" w:hAnsi="Arial"/>
          <w:sz w:val="16"/>
          <w:szCs w:val="16"/>
          <w:color w:val="auto"/>
        </w:rPr>
      </w:pPr>
    </w:p>
    <w:p>
      <w:pPr>
        <w:ind w:left="1060" w:right="160" w:hanging="316"/>
        <w:spacing w:after="0" w:line="277" w:lineRule="auto"/>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Liabilities related to or arising out of businesses and operations of Historical Dow that were previously discontinued or divested have been retained or assumed by Dow;</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Off-site environmental liabilities of Historical Dow not related to or arising out of businesses of Historical Dow that were previously discontinued or divested have been retained or assumed by Dow;</w:t>
      </w:r>
    </w:p>
    <w:p>
      <w:pPr>
        <w:spacing w:after="0" w:line="75" w:lineRule="exact"/>
        <w:rPr>
          <w:rFonts w:ascii="Arial" w:cs="Arial" w:eastAsia="Arial" w:hAnsi="Arial"/>
          <w:sz w:val="18"/>
          <w:szCs w:val="18"/>
          <w:color w:val="auto"/>
        </w:rPr>
      </w:pPr>
    </w:p>
    <w:p>
      <w:pPr>
        <w:ind w:left="1060" w:right="60" w:hanging="316"/>
        <w:spacing w:after="0" w:line="259" w:lineRule="auto"/>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Off-site environmental liabilities of Historical DuPont not related to or arising out of businesses of Historical DuPont that were previously discontinued or divested that are primarily related to the (x) agriculture business, (y) specialty products business or (z) materials science business have been retained or assumed, respectively, (X) by us, (Y) by New DuPont, or (Z) 29% by us an 71% by New DuPont (or, in each case, an applicable subsidiary of us and/or New DuPont);</w:t>
      </w:r>
    </w:p>
    <w:p>
      <w:pPr>
        <w:spacing w:after="0" w:line="92" w:lineRule="exact"/>
        <w:rPr>
          <w:rFonts w:ascii="Arial" w:cs="Arial" w:eastAsia="Arial" w:hAnsi="Arial"/>
          <w:sz w:val="18"/>
          <w:szCs w:val="18"/>
          <w:color w:val="auto"/>
        </w:rPr>
      </w:pPr>
    </w:p>
    <w:p>
      <w:pPr>
        <w:ind w:left="1060" w:right="120" w:hanging="316"/>
        <w:spacing w:after="0" w:line="271" w:lineRule="auto"/>
        <w:tabs>
          <w:tab w:leader="none" w:pos="10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We have been allocated 14%, Dow has been allocated 51% and New DuPont has been allocated 35% of certain general corporate liabilities of DowDuPont, which we refer to in this information statement as “Specified DowDuPont Shared Liabilities”, in each case incurred on or prior to the applicable distribution date, including liabilities of DowDuPont related to (i) DowDuPont’s filings with the SEC (other than actions arising out of disclosure documents distributed or filed relating to the distribution or the distribution of Dow), (ii) documents distributed or filed by DowDuPont relating to indebtedness of the agriculture business, the materials science business or the specialty products business, (iii) DowDuPont’s corporate and legal compliance and other corporate level actions, (iv) claims made by or on behalf of holders of any of DowDuPont’s securities and (v) separation expenses that were not allocated to any specific party in connection with the separation under the separation agreement;</w:t>
      </w:r>
    </w:p>
    <w:p>
      <w:pPr>
        <w:spacing w:after="0" w:line="84" w:lineRule="exact"/>
        <w:rPr>
          <w:rFonts w:ascii="Arial" w:cs="Arial" w:eastAsia="Arial" w:hAnsi="Arial"/>
          <w:sz w:val="17"/>
          <w:szCs w:val="17"/>
          <w:color w:val="auto"/>
        </w:rPr>
      </w:pPr>
    </w:p>
    <w:p>
      <w:pPr>
        <w:ind w:left="1060" w:right="40" w:hanging="316"/>
        <w:spacing w:after="0" w:line="286" w:lineRule="auto"/>
        <w:tabs>
          <w:tab w:leader="none" w:pos="10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We have retained or assumed 29% and New DuPont has retained or assumed 71% of certain general corporate liabilities of Historical DuPont, which we refer to in this information statement, together with certain other liabilities of Historical DuPont that are shared by us and New DuPont, as “Shared Historical DuPont Liabilities”, which are not otherwise allocated to the agriculture business, the</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302" w:lineRule="auto"/>
        <w:rPr>
          <w:sz w:val="20"/>
          <w:szCs w:val="20"/>
          <w:color w:val="auto"/>
        </w:rPr>
      </w:pPr>
      <w:r>
        <w:rPr>
          <w:rFonts w:ascii="Arial" w:cs="Arial" w:eastAsia="Arial" w:hAnsi="Arial"/>
          <w:sz w:val="16"/>
          <w:szCs w:val="16"/>
          <w:color w:val="auto"/>
        </w:rPr>
        <w:t>materials science business or the specialty products business, in each case incurred on or prior to the distribution date, including liabilities of Historical DuPont related to (i) Historical DuPont’s filings with the SEC, (ii) Historical DuPont’s corporate and legal compliance and other corporate level actions, (iii) claims made by or on behalf of holders of any of Historical DuPont’s securities and (iv) indemnification obligations to, and claims for breaches of fiduciary duties brought against, any current or former director or officer of Historical DuPont;</w:t>
      </w:r>
    </w:p>
    <w:p>
      <w:pPr>
        <w:spacing w:after="0" w:line="60" w:lineRule="exact"/>
        <w:rPr>
          <w:sz w:val="20"/>
          <w:szCs w:val="20"/>
          <w:color w:val="auto"/>
        </w:rPr>
      </w:pPr>
    </w:p>
    <w:p>
      <w:pPr>
        <w:ind w:left="1060" w:right="60" w:hanging="316"/>
        <w:spacing w:after="0" w:line="286" w:lineRule="auto"/>
        <w:tabs>
          <w:tab w:leader="none" w:pos="10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Dow has retained or assumed certain general corporate liabilities of Historical Dow which are not otherwise allocated to the agriculture business, the materials science business or the specialty products business, in each case incurred on or prior to the date of the distribution of Dow, including liabilities of Historical Dow related to (i) Historical Dow’s filings with the SEC, (ii) Historical Dow’s corporate and legal compliance and other corporate level actions, (iii) claims made by or on behalf of holders of any of Historical Dow’s securities and</w:t>
      </w:r>
    </w:p>
    <w:p>
      <w:pPr>
        <w:spacing w:after="0" w:line="1" w:lineRule="exact"/>
        <w:rPr>
          <w:rFonts w:ascii="Arial" w:cs="Arial" w:eastAsia="Arial" w:hAnsi="Arial"/>
          <w:sz w:val="16"/>
          <w:szCs w:val="16"/>
          <w:color w:val="auto"/>
        </w:rPr>
      </w:pPr>
    </w:p>
    <w:p>
      <w:pPr>
        <w:ind w:left="1060" w:right="180"/>
        <w:spacing w:after="0" w:line="261" w:lineRule="auto"/>
        <w:rPr>
          <w:rFonts w:ascii="Arial" w:cs="Arial" w:eastAsia="Arial" w:hAnsi="Arial"/>
          <w:sz w:val="16"/>
          <w:szCs w:val="16"/>
          <w:color w:val="auto"/>
        </w:rPr>
      </w:pPr>
      <w:r>
        <w:rPr>
          <w:rFonts w:ascii="Arial" w:cs="Arial" w:eastAsia="Arial" w:hAnsi="Arial"/>
          <w:sz w:val="18"/>
          <w:szCs w:val="18"/>
          <w:color w:val="auto"/>
        </w:rPr>
        <w:t>(iv) indemnification obligations to, and claims for breaches of fiduciary duties brought against, any current or former director or officer of Historical Dow;</w:t>
      </w:r>
    </w:p>
    <w:p>
      <w:pPr>
        <w:spacing w:after="0" w:line="89" w:lineRule="exact"/>
        <w:rPr>
          <w:rFonts w:ascii="Arial" w:cs="Arial" w:eastAsia="Arial" w:hAnsi="Arial"/>
          <w:sz w:val="16"/>
          <w:szCs w:val="16"/>
          <w:color w:val="auto"/>
        </w:rPr>
      </w:pPr>
    </w:p>
    <w:p>
      <w:pPr>
        <w:ind w:left="1060" w:right="300" w:hanging="316"/>
        <w:spacing w:after="0" w:line="264" w:lineRule="auto"/>
        <w:tabs>
          <w:tab w:leader="none" w:pos="10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addition, we, New DuPont or Dow have been allocated certain specified assets and liabilities set forth on schedules to the separation agreement, which, in the case of Dow, includes the business, assets and liabilities related to Historical Dow’s telone/1,3-dichloropropene business;</w:t>
      </w:r>
    </w:p>
    <w:p>
      <w:pPr>
        <w:spacing w:after="0" w:line="18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Except as may expressly be set forth in the separation agreement or any ancillary agreement, all assets have been transferred on an “as is,” “where is” basis and the respective transferees will bear the economic and legal risks that (i) any conveyance will prove to be insufficient to vest in the transferee good title, free and clear of any security interest, and (ii) any necessary consents or governmental approvals are not obtained or that any requirements of laws or judgments are not complied with. In general, none of us, New DuPont or Dow will make any representations or warranties regarding any assets or liabilities transferred or assumed, any consents or governmental approvals that may be required in connection with such transfers or assumptions, or any other matters.</w:t>
      </w:r>
    </w:p>
    <w:p>
      <w:pPr>
        <w:spacing w:after="0" w:line="193"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Information in this information statement with respect to the assets and liabilities of the parties following the separation is presented based on the allocation of such assets and liabilities pursuant to the separation agreement, unless the context otherwise requires. Certain of the liabilities and obligations assumed by one party or for which one party will have an indemnification obligation under the separation agreement and the other agreements relating to the separation are, and following the separation may continue to be, the legal or contractual liabilities or obligations of another party. Each such party that continues to be subject to such legal or contractual liability or obligation will rely on the applicable party that assumed the liability or obligation or the applicable party that undertook an indemnification obligation with respect to the liability or obligation, as applicable, under the separation agreement, to satisfy the performance and payment obligations or indemnification obligations with respect to such legal or contractual liability or obligation.</w:t>
      </w:r>
    </w:p>
    <w:p>
      <w:pPr>
        <w:spacing w:after="0" w:line="192"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i w:val="1"/>
          <w:iCs w:val="1"/>
          <w:color w:val="auto"/>
        </w:rPr>
        <w:t>Further Assurances</w:t>
      </w:r>
      <w:r>
        <w:rPr>
          <w:rFonts w:ascii="Arial" w:cs="Arial" w:eastAsia="Arial" w:hAnsi="Arial"/>
          <w:sz w:val="17"/>
          <w:szCs w:val="17"/>
          <w:color w:val="auto"/>
        </w:rPr>
        <w:t>. To the extent that any transfers of assets or assumptions of liabilities contemplated by the separation agreement have not been</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consummated on or prior to the applicable distribution date, the parties have agreed to cooperate with each other to effect such transfers or assumptions while holding such assets or liabilities for the benefit of the appropriate party so that all the benefits and burdens relating to such asset or liability inure to the party entitled to receive or assume such asset or liability. Each party has agreed to use commercially reasonable efforts to take or to cause to be taken all actions, and to do, or to cause to be done, all things reasonably necessary under applicable law or contractual obligations to consummate and make effective the transactions contemplated by the separation agreement.</w:t>
      </w:r>
    </w:p>
    <w:p>
      <w:pPr>
        <w:spacing w:after="0" w:line="178"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i w:val="1"/>
          <w:iCs w:val="1"/>
          <w:color w:val="auto"/>
        </w:rPr>
        <w:t>The Distribution</w:t>
      </w:r>
      <w:r>
        <w:rPr>
          <w:rFonts w:ascii="Arial" w:cs="Arial" w:eastAsia="Arial" w:hAnsi="Arial"/>
          <w:sz w:val="18"/>
          <w:szCs w:val="18"/>
          <w:color w:val="auto"/>
        </w:rPr>
        <w:t>. The separation agreement governs the rights and obligations of the parties regarding the distribution and certain actions that must</w:t>
      </w:r>
      <w:r>
        <w:rPr>
          <w:rFonts w:ascii="Arial" w:cs="Arial" w:eastAsia="Arial" w:hAnsi="Arial"/>
          <w:sz w:val="18"/>
          <w:szCs w:val="18"/>
          <w:i w:val="1"/>
          <w:iCs w:val="1"/>
          <w:color w:val="auto"/>
        </w:rPr>
        <w:t xml:space="preserve"> </w:t>
      </w:r>
      <w:r>
        <w:rPr>
          <w:rFonts w:ascii="Arial" w:cs="Arial" w:eastAsia="Arial" w:hAnsi="Arial"/>
          <w:sz w:val="18"/>
          <w:szCs w:val="18"/>
          <w:color w:val="auto"/>
        </w:rPr>
        <w:t>occur prior to the distribution.</w:t>
      </w:r>
    </w:p>
    <w:p>
      <w:pPr>
        <w:spacing w:after="0" w:line="17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DowDuPont will cause its agent to distribute to holders of record of DowDuPont common stock as of the applicable record date all of the then-issued and outstanding shares of Corteva common stock. DowDuPont will have the sole and absolute discretion to determine the terms of, and whether to proceed with, the distribution and, to the extent it determines to so proceed, to determine the date of the distribution.</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00"/>
          </w:cols>
          <w:pgMar w:left="240" w:top="459" w:right="4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i w:val="1"/>
          <w:iCs w:val="1"/>
          <w:color w:val="auto"/>
        </w:rPr>
        <w:t>Conditions</w:t>
      </w:r>
      <w:r>
        <w:rPr>
          <w:rFonts w:ascii="Arial" w:cs="Arial" w:eastAsia="Arial" w:hAnsi="Arial"/>
          <w:sz w:val="16"/>
          <w:szCs w:val="16"/>
          <w:color w:val="auto"/>
        </w:rPr>
        <w:t>. The separation agreement provides that the distribution is subject to several conditions that must be satisfied or waived by DowDuPont in its</w:t>
      </w:r>
      <w:r>
        <w:rPr>
          <w:rFonts w:ascii="Arial" w:cs="Arial" w:eastAsia="Arial" w:hAnsi="Arial"/>
          <w:sz w:val="16"/>
          <w:szCs w:val="16"/>
          <w:i w:val="1"/>
          <w:iCs w:val="1"/>
          <w:color w:val="auto"/>
        </w:rPr>
        <w:t xml:space="preserve"> </w:t>
      </w:r>
      <w:r>
        <w:rPr>
          <w:rFonts w:ascii="Arial" w:cs="Arial" w:eastAsia="Arial" w:hAnsi="Arial"/>
          <w:sz w:val="16"/>
          <w:szCs w:val="16"/>
          <w:color w:val="auto"/>
        </w:rPr>
        <w:t>sole discretion. For further information regarding these conditions, see the section entitled “The Distribution—Conditions to the Distribution.”</w:t>
      </w:r>
    </w:p>
    <w:p>
      <w:pPr>
        <w:spacing w:after="0" w:line="124"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i w:val="1"/>
          <w:iCs w:val="1"/>
          <w:color w:val="auto"/>
        </w:rPr>
        <w:t>Shared Contracts</w:t>
      </w:r>
      <w:r>
        <w:rPr>
          <w:rFonts w:ascii="Arial" w:cs="Arial" w:eastAsia="Arial" w:hAnsi="Arial"/>
          <w:sz w:val="18"/>
          <w:szCs w:val="18"/>
          <w:color w:val="auto"/>
        </w:rPr>
        <w:t>. Generally, shared contracts have been assigned in part if so assignable, or amended, bifurcated or replicated to facilitate the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business from DowDuPont so that the appropriate party receives the rights and benefits and assumes the related portion of any liabilities inuring to the business of the appropriate party, and each party will use commercially reasonable efforts to obtain the consents required to partially assign, amend, bifurcate or replicate any shared contract.</w:t>
      </w:r>
    </w:p>
    <w:p>
      <w:pPr>
        <w:spacing w:after="0" w:line="18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i w:val="1"/>
          <w:iCs w:val="1"/>
          <w:color w:val="auto"/>
        </w:rPr>
        <w:t>Intercompany Accounts</w:t>
      </w:r>
      <w:r>
        <w:rPr>
          <w:rFonts w:ascii="Arial" w:cs="Arial" w:eastAsia="Arial" w:hAnsi="Arial"/>
          <w:sz w:val="18"/>
          <w:szCs w:val="18"/>
          <w:color w:val="auto"/>
        </w:rPr>
        <w:t>. The separation agreement provides that, subject to certain specified exceptions in the separation agreement, schedules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ancillary agreement, certain accounts that were formerly intercompany accounts within Historical Dow or within Historical DuPont will be settled prior to the completion of the Business Realignment (or, as between members of Historical DuPont that will be subsidiaries of us or New DuPont, prior to the distribution of Corteva).</w:t>
      </w:r>
    </w:p>
    <w:p>
      <w:pPr>
        <w:spacing w:after="0" w:line="187"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i w:val="1"/>
          <w:iCs w:val="1"/>
          <w:color w:val="auto"/>
        </w:rPr>
        <w:t>Release of Claims and Indemnification</w:t>
      </w:r>
      <w:r>
        <w:rPr>
          <w:rFonts w:ascii="Arial" w:cs="Arial" w:eastAsia="Arial" w:hAnsi="Arial"/>
          <w:sz w:val="16"/>
          <w:szCs w:val="16"/>
          <w:color w:val="auto"/>
        </w:rPr>
        <w:t>. Except as otherwise provided in the separation agreement, each party released and forever discharged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and their respective subsidiaries and affiliates from all liabilities existing or arising from any acts or events occurring or failing to occur or alleged to have occurred or to have failed to occur or any conditions existing or alleged to have existed on or before the separation. The releases will not extend to obligations or liabilities under any agreements between the parties that remain in effect following the separation pursuant to the separation agreement or any ancillary agreement. These releases are subject to certain exceptions set forth in the separation agreement.</w:t>
      </w:r>
    </w:p>
    <w:p>
      <w:pPr>
        <w:spacing w:after="0" w:line="158"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separation agreement provides for cross-indemnities that, except as otherwise provided in the separation agreement, are principally designed to place financial responsibility for the obligations and liabilities allocated to us under the separation agreement with us and financial responsibility for the obligations and liabilities allocated to Dow and/or New DuPont under the separation agreement with Dow and/or New DuPont, as applicable. Specifically, each party will indemnify, defend and hold harmless the other parties, their respective affiliates and subsidiaries and each of their respective officers, directors, employees and agents for any losses to the extent relating to, arising out of or resulting from:</w:t>
      </w:r>
    </w:p>
    <w:p>
      <w:pPr>
        <w:spacing w:after="0" w:line="78" w:lineRule="exact"/>
        <w:rPr>
          <w:sz w:val="20"/>
          <w:szCs w:val="20"/>
          <w:color w:val="auto"/>
        </w:rPr>
      </w:pPr>
    </w:p>
    <w:p>
      <w:pPr>
        <w:ind w:left="1060" w:right="180" w:hanging="316"/>
        <w:spacing w:after="0" w:line="277" w:lineRule="auto"/>
        <w:tabs>
          <w:tab w:leader="none" w:pos="10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liabilities each party assumed or retained pursuant to the separation agreement (or any third party claim that would, if resolved in favor of the claimant, constitute such a liability);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breach by such party of any provision of the separation agreement.</w:t>
      </w:r>
    </w:p>
    <w:p>
      <w:pPr>
        <w:spacing w:after="0" w:line="225"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Each party’s indemnification obligations are uncapped; provided that the amount of each party’s indemnification obligations are subject to reduction by any insurance proceeds or other third-party proceeds received by the party being indemnified that reduce the amount of the loss. In addition, a party’s indemnifiable losses are subject to, in certain cases, a “de minimis” threshold amount and, in certain cases, a deductible amount (which, for indemnifiable losses related to certain discontinued operations and/or businesses of Historical Dow, is $75 million for claims by us and $75 million for claims by New DuPont, and, for indemnifiable losses related to certain discontinued operations and/or businesses of Historical DuPont, is $37.5 million for claims by Dow against us and $37.5 million for claims by Dow against New DuPont). The separation agreement also specifies procedures with respect to claims subject to indemnification and related matters. Indemnification with respect to taxes is governed by the tax matters agreement.</w:t>
      </w:r>
    </w:p>
    <w:p>
      <w:pPr>
        <w:spacing w:after="0" w:line="167"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Except with respect to indemnification claims for (1) certain liabilities that relate to certain businesses and operations of Historical DuPont and Historical Dow that were previously discontinued but do not constitute an entire business, business unit or business operation (for which a notice must be provided within 15 years after the distribution of Dow), (2) certain liabilities that relate to certain sites of Historical Dow or Historical DuPont that were previously discontinued but do not constitute an entire site or plant (for which a notice must be provided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240" w:top="459"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within 5 years after the distribution of Dow) (3) certain liabilities that relate to certain intercompany accounts that were formerly intercompany accounts within Historical Dow or within Historical DuPont that were not settled prior to the completion of the Business Realignment (for which a notice must be provided prior to the expiration of the statute of limitations under applicable law applicable to the underlying third party claim), and (4) certain liabilities known to senior management of Historical Dow primarily related to its agriculture business or specialty products business, and certain liabilities known to senior management of Historical DuPont primarily related to its materials science business, in each case not scheduled or otherwise known by the applicable company to which they would otherwise be allocated (for which a notice must be provided within 3 years after the distribution of Dow), the parties’ indemnification rights and obligations under the separation agreement will survive indefinitely.</w:t>
      </w:r>
    </w:p>
    <w:p>
      <w:pPr>
        <w:spacing w:after="0" w:line="17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Legal Matters</w:t>
      </w:r>
      <w:r>
        <w:rPr>
          <w:rFonts w:ascii="Arial" w:cs="Arial" w:eastAsia="Arial" w:hAnsi="Arial"/>
          <w:sz w:val="18"/>
          <w:szCs w:val="18"/>
          <w:color w:val="auto"/>
        </w:rPr>
        <w:t>. Except as otherwise set forth in the separation agreement or any ancillary agreement, each party to the separation agreement has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the liability for, and control of, all pending and threatened legal matters related to the liabilities it has been allocated and (unless allocated specifically to one of the other parties) its ongoing business and will indemnify the other parties for their respective indemnifiable losses, if any, arising out of or resulting from such assumed legal matters.</w:t>
      </w:r>
    </w:p>
    <w:p>
      <w:pPr>
        <w:spacing w:after="0" w:line="18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Each party to a claim has agreed to cooperate in defending any claims against two or more parties for events that took place prior to, on or after the date of the separation of such party from DowDuPont.</w:t>
      </w:r>
    </w:p>
    <w:p>
      <w:pPr>
        <w:spacing w:after="0" w:line="170"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Following the separation, we will generally be responsible for obtaining and maintaining, at our own cost, our own insurance coverage for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which we are assuming responsibility, although we will continue to have coverage under certain of Historical Dow’s insurance policies for certain matters that are related to occurrences prior to the separation of Dow from DowDuPont, subject to the terms, conditions and exclusions of such policies. Such insurance coverage generally will be shared with (x) Dow for other liabilities existing prior to the date of the distribution of Dow that Dow retained and (y) New DuPont for liabilities of Historical Dow existing prior to the date of the distribution of Dow for which New DuPont assumed responsibility. Each of Dow and New DuPont will continue to have coverage under certain of Historical DuPont’s insurance policies for certain matters that are related to occurrences prior to, in the case of Dow, the separation of Dow from DowDuPont or, in the case of New DuPont, prior to the distribution date for liabilities for which Dow or New DuPont, as applicable, is assuming responsibility, in each case, subject to the terms, conditions and exclusions of such policies.</w:t>
      </w:r>
    </w:p>
    <w:p>
      <w:pPr>
        <w:spacing w:after="0" w:line="19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i w:val="1"/>
          <w:iCs w:val="1"/>
          <w:color w:val="auto"/>
        </w:rPr>
        <w:t>Dispute Resolution</w:t>
      </w:r>
      <w:r>
        <w:rPr>
          <w:rFonts w:ascii="Arial" w:cs="Arial" w:eastAsia="Arial" w:hAnsi="Arial"/>
          <w:sz w:val="18"/>
          <w:szCs w:val="18"/>
          <w:color w:val="auto"/>
        </w:rPr>
        <w:t>. Except as otherwise set forth in the separation agreement, if a dispute arises between us, New DuPont and/or Dow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agreement, the general counsels of the parties and such other executive officers as the parties may designate will negotiate to resolve any disputes for a reasonable period of time. If the parties are unable to resolve the dispute in this manner, then the dispute will be resolved through binding arbitration.</w:t>
      </w:r>
    </w:p>
    <w:p>
      <w:pPr>
        <w:spacing w:after="0" w:line="187"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i w:val="1"/>
          <w:iCs w:val="1"/>
          <w:color w:val="auto"/>
        </w:rPr>
        <w:t>Termination and Amendment</w:t>
      </w:r>
      <w:r>
        <w:rPr>
          <w:rFonts w:ascii="Arial" w:cs="Arial" w:eastAsia="Arial" w:hAnsi="Arial"/>
          <w:sz w:val="18"/>
          <w:szCs w:val="18"/>
          <w:color w:val="auto"/>
        </w:rPr>
        <w:t>. After the distribution of Dow on April 1, 2019 but before the distribution of Corteva, the separation agreement may only</w:t>
      </w:r>
      <w:r>
        <w:rPr>
          <w:rFonts w:ascii="Arial" w:cs="Arial" w:eastAsia="Arial" w:hAnsi="Arial"/>
          <w:sz w:val="18"/>
          <w:szCs w:val="18"/>
          <w:i w:val="1"/>
          <w:iCs w:val="1"/>
          <w:color w:val="auto"/>
        </w:rPr>
        <w:t xml:space="preserve"> </w:t>
      </w:r>
      <w:r>
        <w:rPr>
          <w:rFonts w:ascii="Arial" w:cs="Arial" w:eastAsia="Arial" w:hAnsi="Arial"/>
          <w:sz w:val="18"/>
          <w:szCs w:val="18"/>
          <w:color w:val="auto"/>
        </w:rPr>
        <w:t>be terminated or modified with the prior written consent of DowDuPont and Dow. After the distribution of Corteva, the separation agreement may only be terminated or modified with the prior written consent of each of us, New DuPont and Dow.</w:t>
      </w:r>
    </w:p>
    <w:p>
      <w:pPr>
        <w:spacing w:after="0" w:line="181" w:lineRule="exact"/>
        <w:rPr>
          <w:sz w:val="20"/>
          <w:szCs w:val="20"/>
          <w:color w:val="auto"/>
        </w:rPr>
      </w:pPr>
    </w:p>
    <w:p>
      <w:pPr>
        <w:ind w:left="200" w:right="580"/>
        <w:spacing w:after="0" w:line="342" w:lineRule="auto"/>
        <w:rPr>
          <w:sz w:val="20"/>
          <w:szCs w:val="20"/>
          <w:color w:val="auto"/>
        </w:rPr>
      </w:pPr>
      <w:r>
        <w:rPr>
          <w:rFonts w:ascii="Arial" w:cs="Arial" w:eastAsia="Arial" w:hAnsi="Arial"/>
          <w:sz w:val="16"/>
          <w:szCs w:val="16"/>
          <w:i w:val="1"/>
          <w:iCs w:val="1"/>
          <w:color w:val="auto"/>
        </w:rPr>
        <w:t>Other Matters Governed by the Separation Agreement</w:t>
      </w:r>
      <w:r>
        <w:rPr>
          <w:rFonts w:ascii="Arial" w:cs="Arial" w:eastAsia="Arial" w:hAnsi="Arial"/>
          <w:sz w:val="16"/>
          <w:szCs w:val="16"/>
          <w:color w:val="auto"/>
        </w:rPr>
        <w:t>. Other matters governed by the separation agreement include access to financial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confidentiality, access to and provision of records and separation of guarantees and other credit support instruments.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On April 1, 2019, we entered into a tax matters agreement with DowDuPont and Dow that governs the parties’ respective rights, responsibilities and obligations with respect to tax liabilities and benefits, tax attributes,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240" w:top="459" w:right="4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preparation and filing of tax returns, the control of audits and other tax proceedings and other matters regarding taxes. In connection with the distribution of Corteva, the parties intend to enter into an amendment to the tax matters agreement in order to allocate certain rights and obligations of DowDuPont between us and New DuPont.</w:t>
      </w:r>
    </w:p>
    <w:p>
      <w:pPr>
        <w:spacing w:after="0" w:line="181"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The party responsible for any tax liability under the tax matters agreement will generally indemnify any other party which may become liable for such taxes. Except as described below, none of the parties’ obligations under the agreement will be limited in amount or subject to any cap.</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Allocation of Historic Taxes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general, under the tax matters agreement:</w:t>
      </w:r>
    </w:p>
    <w:p>
      <w:pPr>
        <w:spacing w:after="0" w:line="131" w:lineRule="exact"/>
        <w:rPr>
          <w:sz w:val="20"/>
          <w:szCs w:val="20"/>
          <w:color w:val="auto"/>
        </w:rPr>
      </w:pPr>
    </w:p>
    <w:p>
      <w:pPr>
        <w:ind w:left="1060" w:hanging="316"/>
        <w:spacing w:after="0" w:line="288" w:lineRule="auto"/>
        <w:tabs>
          <w:tab w:leader="none" w:pos="106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Following the distribution of Dow, but prior to the distribution of Corteva, (A) Dow will be responsible for tax liabilities (and any related interest, penalties or audit adjustments) of (i) Historical Dow, (ii) each subsidiary of Historical Dow, for periods and portions thereof prior to any such subsidiary being transferred to DowDuPont or us pursuant to the Internal Reorganization and the Business Realignment, and</w:t>
      </w:r>
    </w:p>
    <w:p>
      <w:pPr>
        <w:ind w:left="1060" w:right="120" w:firstLine="8"/>
        <w:spacing w:after="0" w:line="281" w:lineRule="auto"/>
        <w:tabs>
          <w:tab w:leader="none" w:pos="1375" w:val="left"/>
        </w:tabs>
        <w:numPr>
          <w:ilvl w:val="1"/>
          <w:numId w:val="280"/>
        </w:numPr>
        <w:rPr>
          <w:rFonts w:ascii="Arial" w:cs="Arial" w:eastAsia="Arial" w:hAnsi="Arial"/>
          <w:sz w:val="16"/>
          <w:szCs w:val="16"/>
          <w:color w:val="auto"/>
        </w:rPr>
      </w:pPr>
      <w:r>
        <w:rPr>
          <w:rFonts w:ascii="Arial" w:cs="Arial" w:eastAsia="Arial" w:hAnsi="Arial"/>
          <w:sz w:val="16"/>
          <w:szCs w:val="16"/>
          <w:color w:val="auto"/>
        </w:rPr>
        <w:t>each former subsidiary of Historical DuPont for periods or portions thereof after such subsidiary is transferred, pursuant to the Internal Reorganization and the Business Realignment, from Historical DuPont to either Dow or DowDuPont; and (B) DowDuPont, of which we will be a subsidiary, will be responsible for tax liabilities (and any related interest, penalties or audit adjustments) of (i) Historical DuPont,</w:t>
      </w:r>
    </w:p>
    <w:p>
      <w:pPr>
        <w:spacing w:after="0" w:line="2" w:lineRule="exact"/>
        <w:rPr>
          <w:rFonts w:ascii="Arial" w:cs="Arial" w:eastAsia="Arial" w:hAnsi="Arial"/>
          <w:sz w:val="16"/>
          <w:szCs w:val="16"/>
          <w:color w:val="auto"/>
        </w:rPr>
      </w:pPr>
    </w:p>
    <w:p>
      <w:pPr>
        <w:ind w:left="1060" w:right="100" w:firstLine="8"/>
        <w:spacing w:after="0" w:line="268" w:lineRule="auto"/>
        <w:tabs>
          <w:tab w:leader="none" w:pos="1325" w:val="left"/>
        </w:tabs>
        <w:numPr>
          <w:ilvl w:val="1"/>
          <w:numId w:val="281"/>
        </w:numPr>
        <w:rPr>
          <w:rFonts w:ascii="Arial" w:cs="Arial" w:eastAsia="Arial" w:hAnsi="Arial"/>
          <w:sz w:val="17"/>
          <w:szCs w:val="17"/>
          <w:color w:val="auto"/>
        </w:rPr>
      </w:pPr>
      <w:r>
        <w:rPr>
          <w:rFonts w:ascii="Arial" w:cs="Arial" w:eastAsia="Arial" w:hAnsi="Arial"/>
          <w:sz w:val="17"/>
          <w:szCs w:val="17"/>
          <w:color w:val="auto"/>
        </w:rPr>
        <w:t>each subsidiary of Historical DuPont, for periods and portions thereof prior to any such subsidiary being transferred, pursuant to the Internal Reorganization and the Business Realignment, to DowDuPont or Dow, and (iii) each former subsidiary of Historical Dow for periods or portions thereof after such subsidiary is transferred, pursuant to the Internal Reorganization and the Business Realignment, from Historical Dow to either Historical DuPont or DowDuPont. For purposes of the foregoing, and subject to compensation for certain consolidated tax attributes as described further below, DowDuPont and its subsidiaries will generally allocate the consolidated U.S. federal income tax liability of the DowDuPont consolidated U.S. tax group (which currently includes DowDuPont and its domestic corporate subsidiaries, including Corteva, EID and their domestic corporate subsidiaries, and, prior to the distribution of Dow, Dow, TDCC, and their domestic corporate subsidiaries) among the domestic corporate entities in accordance with the consolidated U.S. tax items attributable to each such entity under methods described in United States Treasury Department Regulations concerning the computation of consolidated taxes.</w:t>
      </w:r>
    </w:p>
    <w:p>
      <w:pPr>
        <w:spacing w:after="0" w:line="85" w:lineRule="exact"/>
        <w:rPr>
          <w:rFonts w:ascii="Arial" w:cs="Arial" w:eastAsia="Arial" w:hAnsi="Arial"/>
          <w:sz w:val="17"/>
          <w:szCs w:val="17"/>
          <w:color w:val="auto"/>
        </w:rPr>
      </w:pPr>
    </w:p>
    <w:p>
      <w:pPr>
        <w:ind w:left="1060" w:right="120" w:hanging="316"/>
        <w:spacing w:after="0" w:line="288" w:lineRule="auto"/>
        <w:tabs>
          <w:tab w:leader="none" w:pos="10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Following the distribution of Corteva, we and New DuPont will share the tax liabilities (and any related interest or penalties) described in the bullet point above for which DowDuPont is responsible as follows: (A) we will generally be responsible for (i) U.S. federal, state and local tax liabilities imposed as audit adjustments on Historical DuPont (as it existed in periods prior to the Merger) on a consolidated basis,</w:t>
      </w:r>
    </w:p>
    <w:p>
      <w:pPr>
        <w:ind w:left="1060" w:right="20" w:firstLine="8"/>
        <w:spacing w:after="0" w:line="287" w:lineRule="auto"/>
        <w:tabs>
          <w:tab w:leader="none" w:pos="1325" w:val="left"/>
        </w:tabs>
        <w:numPr>
          <w:ilvl w:val="1"/>
          <w:numId w:val="281"/>
        </w:numPr>
        <w:rPr>
          <w:rFonts w:ascii="Arial" w:cs="Arial" w:eastAsia="Arial" w:hAnsi="Arial"/>
          <w:sz w:val="16"/>
          <w:szCs w:val="16"/>
          <w:color w:val="auto"/>
        </w:rPr>
      </w:pPr>
      <w:r>
        <w:rPr>
          <w:rFonts w:ascii="Arial" w:cs="Arial" w:eastAsia="Arial" w:hAnsi="Arial"/>
          <w:sz w:val="16"/>
          <w:szCs w:val="16"/>
          <w:color w:val="auto"/>
        </w:rPr>
        <w:t>U.S. state and local tax liabilities imposed on our subsidiaries on a non-consolidated basis to the extent such subsidiaries historically did not conduct the specialties product business, and (iii) U.S. state and local tax liabilities imposed on our subsidiaries on a non-consolidated basis to the extent such subsidiaries historically conducted (in whole or in part) the specialty products business, though New DuPont will be required to indemnify us for 60% of (a) any liabilities described in clause (A)(i) that are not primarily attributable to the agriculture business and (b) any liabilities described in clause (A)(iii), to the extent the liabilities in (a) and (b), in the aggregate, exceed $25 million for a given tax year; (B) New DuPont will generally be responsible for (i) U.S. federal, state and local tax liabilities imposed as audit adjustments on DowDuPont (as it existed in periods following the Merger) on a consolidated basis, (ii) U.S. state and local tax liabilities imposed on New DuPont’s subsidiaries on a non-consolidated basis to the extent such subsidiaries historically did not conduct the agriculture business,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24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68" w:lineRule="auto"/>
        <w:rPr>
          <w:sz w:val="20"/>
          <w:szCs w:val="20"/>
          <w:color w:val="auto"/>
        </w:rPr>
      </w:pPr>
      <w:r>
        <w:rPr>
          <w:rFonts w:ascii="Arial" w:cs="Arial" w:eastAsia="Arial" w:hAnsi="Arial"/>
          <w:sz w:val="17"/>
          <w:szCs w:val="17"/>
          <w:color w:val="auto"/>
        </w:rPr>
        <w:t>and (iii) U.S. state and local tax liabilities imposed on New DuPont’s subsidiaries on a non-consolidated basis to the extent such subsidiaries historically conducted (in whole or in part) the agriculture business, though we will be required to indemnify New DuPont for 40% of (a) any liabilities described in clause (B)(i) that are not primarily attributable to the agriculture business and (b) any liabilities described in clause (B)(iii), to the extent the liabilities in (a) and (b), in the aggregate, exceed $25 million for a given tax year; (C) we will generally be responsible for non-U.S. tax liabilities imposed on our subsidiaries, though New DuPont will be required to indemnify us for 70% of any such liabilities that are attributable to our subsidiaries that historically conducted (in whole or in part) the specialty products business, to the extent such liabilities, in the aggregate, exceed $10 million for a given tax year; (D) New DuPont will generally be responsible for non-U.S. tax liabilities imposed on its subsidiaries, though we will be required to indemnify New DuPont for 30% of any such liabilities that are attributable to its subsidiaries that historically conducted (in whole or in part) the agriculture business, to the extent such liabilities, in the aggregate, exceed $10 million for a given tax year; (E) we will be required to indemnify New DuPont for 40% of any tax liabilities (other than audit adjustments and any interest and penalties thereon) payable, after the distribution of Corteva common stock, to the U.S. government by the DowDuPont U.S. consolidated federal income tax group for the 2018 tax year and the portion of the 2019 tax year prior to the distribution of Corteva common stock; (F) we and New DuPont will be separately responsible for 30% and 70%, respectively, of all tax liabilities not otherwise allocated that are attributable to entities that were transferred to Dow in the Internal Reorganization and Business Separation. Dow will remain responsible for tax liabilities (and any related interest, penalties or audit adjustments) of DowDuPont described in the bullet point above for which Dow is responsible.</w:t>
      </w:r>
    </w:p>
    <w:p>
      <w:pPr>
        <w:spacing w:after="0" w:line="181"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Notwithstanding the general rules described above, under the tax matters agreement, taxes directly resulting from certain types of transactions or conduct undertaken pursuant to DowDuPont’s exercise of control over Historical Dow’s agriculture or specialty products business prior to the transfer of such business to DowDuPont or us pursuant to the Internal Reorganization and the Business Realignment have been allocated to DowDuPont, and taxes directly resulting from certain types of transactions or conduct undertaken pursuant to Dow’s exercise of control over Historical DuPont’s materials science business prior to the transfer of such business to Dow, pursuant to the Internal Reorganization and the Business Realignment, have been allocated to Dow. We will be responsible for any such tax liabilities allocated to DowDuPont to the extent such exercise of control related to the agriculture business, and New DuPont will be responsible for any such tax liabilities allocated to DowDuPont to the extent such exercise of control related to the specialty products business.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Allocation of Taxes on the Distributions</w:t>
      </w:r>
    </w:p>
    <w:p>
      <w:pPr>
        <w:spacing w:after="0" w:line="117"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Notwithstanding the general rules described above, under the tax matters agreement, a company will be responsible for taxes that arise from the failure of the distribution of Corteva common stock or the distribution of Dow common stock to qualify as tax-free transactions under Sections 355 and 368(a)(1)(D) of the Code, if, in either case, such failure to qualify is attributable to the actions of or transactions undertaken by such company or its direct or indirect subsidiaries (including the prohibited actions described below under “—Preservation of the Tax-free Status of the Distributions and the Internal Reorganization and Business Realignment”) after the applicable distribution or to any breach of the company’s representations made in connection with the IRS Ruling or in any representation letter provided to a tax advisor in connection with certain tax opinions, including the Tax Opinion, regarding the tax-free status of the distributions and certain related transactions. In the event taxes arising from the failure of the distribution of Corteva common stock or the distribution of Dow common stock to qualify as tax-free transactions under Sections 355 and 368(a)(1)(D) of the Code (other than failures as a result of the application of Section 355(e) of the Code) are attributable to the actions or transactions undertaken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24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by more than one company or its direct or indirect subsidiaries, liability for such taxes will be equitably apportioned among the responsible companies in accordance with relative fault. In addition, Dow and DowDuPont will generally share (in accordance with their relative equity values on the first trading day following the distribution of Dow) responsibility for taxes resulting from the failure of the distribution of Corteva common stock or the distribution of Dow common stock to qualify as tax-free transactions under Sections 355 and 368(a)(1)(D) of the Code, if such failure is attributable to certain reasons relating to the overall structure of the Merger and the distributions. Further, if, under Section 355(e) of the Code, a distribution fails to qualify for tax-free treatment because of any direct or indirect transfer of the stock of DowDuPont, New DuPont, Corteva or Dow following the distribution, the company whose transferred stock resulted in the application of Section 355(e) of the Code to the distribution will be responsible for any resulting taxes. We and New DuPont will share any liabilities of DowDuPont described in the preceding two sentences in accordance with our relative equity values on the first full trading day following the distribution of Corteva.</w:t>
      </w:r>
    </w:p>
    <w:p>
      <w:pPr>
        <w:spacing w:after="0" w:line="182" w:lineRule="exact"/>
        <w:rPr>
          <w:sz w:val="20"/>
          <w:szCs w:val="20"/>
          <w:color w:val="auto"/>
        </w:rPr>
      </w:pPr>
    </w:p>
    <w:p>
      <w:pPr>
        <w:ind w:left="200" w:right="320"/>
        <w:spacing w:after="0" w:line="259" w:lineRule="auto"/>
        <w:rPr>
          <w:sz w:val="20"/>
          <w:szCs w:val="20"/>
          <w:color w:val="auto"/>
        </w:rPr>
      </w:pPr>
      <w:r>
        <w:rPr>
          <w:rFonts w:ascii="Arial" w:cs="Arial" w:eastAsia="Arial" w:hAnsi="Arial"/>
          <w:sz w:val="18"/>
          <w:szCs w:val="18"/>
          <w:color w:val="auto"/>
        </w:rPr>
        <w:t>Finally, we generally will be responsible for tax liabilities imposed as a result of the failure of the distribution of Corteva to qualify as a tax-free transaction under Sections 355 and 368(a)(1)(D) and Dow generally will be responsible for tax liabilities imposed as a result of the failure of the distribution of Dow to qualify as a tax-free transaction under Sections 355 and 368(a)(1)(D), in each case, for reasons not described in the preceding paragraph.</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Allocation of Internal Reorganization and Business Realignment Taxes</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Pursuant to the tax matters agreement, Dow will generally be responsible for any taxes attributable to business separation activities of Historical Dow and its subsidiaries pursuant to the Internal Reorganization and the Business Realignment and any transfers of assets or entities from DowDuPont to Dow, regardless of when the activities giving rise to such taxes occur. Similarly, DowDuPont and its subsidiaries (including Corteva and our subsidiaries) will generally be responsible for any taxes attributable to business separation activities of Historical DuPont and its subsidiaries pursuant to the Internal Reorganization and the Business Realignment, and any transfers of assets or entities from DowDuPont to Historical DuPont or Corteva, regardless of when the activities giving rise to such taxable income occur. Notwithstanding this general rule, a party will be responsible for any taxes resulting from the failure of certain transactions pursuant to the Internal Reorganization and/or the Business Realignment to qualify for their intended tax-free status as a result of certain actions of or transactions undertaken by such party or its direct or indirect subsidiaries. We and New DuPont will share any liabilities of DowDuPont described in the preceding sentence in accordance with our relative equity values on the first full trading day following the distribution of Corteva.</w:t>
      </w:r>
    </w:p>
    <w:p>
      <w:pPr>
        <w:spacing w:after="0" w:line="178"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Additionally, Dow will generally indemnify New DuPont and us for taxes (net of certain direct U.S. foreign tax credit benefits recognized and, in certain identified cases, only for a fixed percentage of such taxes up to an aggregate fixed dollar cap), with limited exception, incurred on or prior to December 31, 2020, in connection with maintaining and/or settling certain intercompany balances (i) among subsidiaries of Historical Dow that are transferred to DowDuPont in the Internal Reorganization and the Business Realignment and (ii) among subsidiaries of Historical Dow that are transferred to us in the Internal Reorganization and the Business Realignment. We and New DuPont will generally indemnify Dow for taxes (net of certain direct U.S. foreign tax credit benefits recognized and, in certain identified cases, only for a fixed percentage of such taxes up to an aggregate fixed dollar cap) incurred on or prior to December 31, 2020, in connection with maintaining and/or settling certain intercompany balances among subsidiaries of Historical DuPont that are transferred to Dow in the Internal Reorganization and the Business Realignment. Dow will also generally indemnify New DuPont and us, and we and New DuPont will generally indemnify Dow, for taxes incurred by the indemnified party on or prior to December 31, 2020, in connection with distributing or otherwise returning to the United States certain cash from certain entities transferred in the Internal Reorganization and the Business Realignment (subject to an aggregate fixed dollar cap). To the extent legal restrictions prevent a distribution of cash (that would otherwise give rise to an indemnification obligation as described in the preceding sentence) prior to December 31, 2020, the party that would be required to indemnify for taxes imposed on such distribution will be required to pay to the appropriate party an amount equal to the taxes that would have been incurred had such distribution or return been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00"/>
          </w:cols>
          <w:pgMar w:left="240" w:top="460" w:right="4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permitted. Any indemnification obligations described in the previous two sentences will generally be reduced by the amount, if any, of cash held by such entities above a certain threshold (net of any taxes payable on such excess cash).</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Responsibility for Filing Tax Returns and Audits</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tax matters agreement also assigns responsibilities for administrative matters, such as the filing of returns, payment of taxes due, retention of records and conduct of audits, examinations or similar proceedings. In general, the party with economic responsibility for any tax liability will control the portions of audits, litigations and/or settlements with respect to such liability, with customary participation and settlement rights for the other parties. Audits, litigation or settlements concerning tax liabilities or matters which may affect more than one of the parties will be jointly controlled by the affected parties. In addition, the agreement provides for cooperation and information sharing with respect to tax matters, and restrictions on any party amending tax returns with respect to periods that are the responsibility of another party, unless required by applicable law or as may be reasonably agreed by the parties.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Preservation of the Tax-free Status of the Distributions and the Internal Reorganization and Business Realignment</w:t>
      </w:r>
    </w:p>
    <w:p>
      <w:pPr>
        <w:spacing w:after="0" w:line="117"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We, DowDuPont and Dow intend for the distribution of Corteva common stock and the distribution of Dow common stock to each qualify as tax-free transactions under Section 355 and Section 368(a)(1)(D) of the Code. In addition, we, DowDuPont and Dow intend for certain other aspects of the Internal Reorganization and the Business Realignment to qualify for tax-free treatment under U.S. federal, state and local tax law and/or foreign tax law.</w:t>
      </w:r>
    </w:p>
    <w:p>
      <w:pPr>
        <w:spacing w:after="0" w:line="14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In connection with the Merger, DowDuPont sought and received the IRS Ruling, as described above. In addition, DowDuPont expects to receive the Tax Opinion from Skadden regarding the tax-free status of the distribution and certain related transactions, and certain other tax opinions from outside tax advisors regarding the tax-free status of the distribution of Dow and certain related transactions. These tax opinions will rely on the continued validity of the IRS Ruling, as well as certain representations regarding the past and future conduct of our, DowDuPont’s, and Dow’s respective businesses and certain other matters.</w:t>
      </w:r>
    </w:p>
    <w:p>
      <w:pPr>
        <w:spacing w:after="0" w:line="188"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We, Dow and DowDuPont have agreed to certain covenants that contain restrictions intended to preserve the tax-free status of the distribution of Corteva common stock, the distribution of Dow common stock and certain transactions pursuant to the Internal Reorganization and the Business Realignment. During the time period ending two years after the date of the applicable distribution these covenants will include specific restrictions on our ability to:</w:t>
      </w:r>
    </w:p>
    <w:p>
      <w:pPr>
        <w:spacing w:after="0" w:line="92" w:lineRule="exact"/>
        <w:rPr>
          <w:sz w:val="20"/>
          <w:szCs w:val="20"/>
          <w:color w:val="auto"/>
        </w:rPr>
      </w:pPr>
    </w:p>
    <w:p>
      <w:pPr>
        <w:ind w:left="1060" w:hanging="316"/>
        <w:spacing w:after="0"/>
        <w:tabs>
          <w:tab w:leader="none" w:pos="10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enter into any transaction resulting in acquisitions of a certain percentage of our assets, whether by merger or otherwise;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dissolve, merge, consolidate or liquidate;</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undertake or permit any transaction relating to Corteva stock, including issuances, redemptions or repurchases, other than certain, limited, permitted issuances and repurchases;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affect the relative voting rights of Corteva stock, whether by amending Corteva Parent’s certificate of incorporation or otherwise;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cease to actively conduct our business.</w:t>
      </w: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In addition, we are precluded from taking certain actions with respect to certain subsidiaries of Historical Dow that are transferred to us in the Internal Reorganization and the Business Realignment in order to preserve the intended tax-free treatment of certain parts of the Internal Reorganization and the Business Realignment involving such subsidiaries for certain periods of time.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64" w:lineRule="auto"/>
        <w:rPr>
          <w:sz w:val="20"/>
          <w:szCs w:val="20"/>
          <w:color w:val="auto"/>
        </w:rPr>
      </w:pPr>
      <w:r>
        <w:rPr>
          <w:rFonts w:ascii="Arial" w:cs="Arial" w:eastAsia="Arial" w:hAnsi="Arial"/>
          <w:sz w:val="18"/>
          <w:szCs w:val="18"/>
          <w:color w:val="auto"/>
        </w:rPr>
        <w:t>We may take certain actions prohibited by these covenants only if we receive a private letter ruling from the IRS or we obtain and provide to New DuPont and Dow a tax opinion, in form and substance reasonably acceptable to New DuPont and Dow, to the effect that such action would not jeopardize the tax-free status of these transactions.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 for Consolidated Taxes and Compensation for Consolidated Tax Attributes</w:t>
      </w:r>
    </w:p>
    <w:p>
      <w:pPr>
        <w:spacing w:after="0" w:line="117"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During the period following the Merger and prior to the distribution of Corteva common stock, we and our domestic corporate subsidiaries join in the filing of a consolidated U.S. federal income tax return with DowDuPont, its domestic corporate subsidiaries, and, prior to the distribution of Dow, Dow and its domestic corporate subsidiaries. Each domestic corporate entity directly or indirectly owned by DowDuPont will generally be required to pay to DowDuPont its allocable share of the consolidated U.S. federal income tax liability of the DowDuPont consolidated U.S. tax group for the period during which such domestic corporate entity is a member of the DowDuPont consolidated U.S. tax group. In some cases, payments of such amounts may be required to be made after such domestic corporate entity is no longer a member of the DowDuPont consolidated U.S. tax group, for example, following the distribution of Dow or of Corteva common stock. In such case, the tax matters agreement requires such entity, or its parent entity, to make a payment to DowDuPont (or, following the distribution of Corteva, New DuPont) of its allocable portion of the consolidated U.S. federal income tax liability of the DowDuPont consolidated U.S. tax group.</w:t>
      </w:r>
    </w:p>
    <w:p>
      <w:pPr>
        <w:spacing w:after="0" w:line="182"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Additionally, during the period a domestic corporate entity is included in the DowDuPont consolidated U.S. tax group, losses, loss carryforwards, interest deductions, and credits (hereinafter referred to as “tax attributes”) generated by such entity may be used to offset the consolidated U.S. federal income tax attributable to another entity, or vice versa. DowDuPont and Dow agreed in the tax matters agreement that a net payment be made between the two to compensate for the use or receipt by one party or its subsidiaries of certain tax attributes generated by the other party or its subsidiaries. A party will generally be required to make a payment to the other to the extent it and its subsidiaries benefited from joining a consolidated U.S. tax group with the other party, either as a result of bearing a decreased portion of the U.S. federal income tax liability of the DowDuPont consolidated U.S. tax group, or through being allocated an increased portion of certain tax attributes, in each case, as compared to the U.S. federal income tax liability or tax attributes that would be borne by or allocated to such party and its subsidiaries assuming that the party and its subsidiaries (other than the other party and its subsidiaries) had been members of a separate stand-alone consolidated group, determined using certain simplifying assumptions. To the extent one party’s benefit as so determined exceeds the other party’s detriment, the amount of the payment will equal the average of such party’s benefit and the other party’s detriment. A separate payment will be calculated on similar principles with respect to U.S. state income consolidated taxes and certain state tax attributes that Dow and DowDuPont share for periods from the Merger to the distribution of Dow. Such payments are intended to ensure that (i) to the extent Dow, and the subsidiaries that Dow is responsible for under “—Allocation of Historic Taxes” above, utilize tax attributes generated by DowDuPont or the subsidiaries that DowDuPont is responsible for under “—Allocation of Historic Taxes” above, Dow compensates DowDuPont for the value of such tax attributes, and (ii) to the extent DowDuPont, and the subsidiaries that DowDuPont is responsible for under “—Allocation of Historic Taxes” above, utilize tax attributes generated by Dow or the subsidiaries that Dow is responsible for under “—Allocation of Historic Taxes” above, DowDuPont compensates Dow for the value of such tax attributes.</w:t>
      </w:r>
    </w:p>
    <w:p>
      <w:pPr>
        <w:spacing w:after="0" w:line="175"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The payments for U.S. federal and applicable state income tax attributes described in the preceding paragraph will generally be netted and be due from Dow to DowDuPont (or vice versa) within 120 or 150 days, respectively, after New DuPont files its consolidated U.S. federal income tax return for the taxable year that includes the distribution of Dow. We and New DuPont will be separately responsible for 40% and 60%, respectively, of any such DowDuPont obligation to pay Dow, and will be separately entitled to 40% and 60%, respectively, of any such payment to be received from Dow.</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24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Refunds</w:t>
      </w:r>
    </w:p>
    <w:p>
      <w:pPr>
        <w:spacing w:after="0" w:line="11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Except with respect to certain types of refunds, each of us, Dow and New DuPont will generally be entitled to any tax refund to the extent that it would be responsible for the underlying tax that is refunded.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Matters Agreement</w:t>
      </w:r>
    </w:p>
    <w:p>
      <w:pPr>
        <w:spacing w:after="0" w:line="12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We have entered into an employee matters agreement with DowDuPont and Dow, effective April 1, 2019. The employee matters agreement identifies employees and employee-related liabilities (and attributable assets) allocated (either retained, transferred and accepted, or assigned and assumed, as applicable) to us, Dow and New DuPont as part of the separation of DowDuPont into three companies, and describes when and how the relevant transfers and assignments occur or will occur. This summary of the employee matters agreement is qualified in its entirety by reference to the full text of the employee matters agreement, the form of which is incorporated by reference herein and is filed as Exhibit 10.2 to the Form 10 of which this information statement forms a part. The terms described in this summary are also subject to exceptions with respect to applicable law, applicable labor agreements and certain other situations.</w:t>
      </w:r>
    </w:p>
    <w:p>
      <w:pPr>
        <w:spacing w:after="0" w:line="17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Each of us, Dow and New DuPont will honor all labor agreements covering its respective employees in accordance with the terms of those agreements notwithstanding any provisions in the employee matters agreement to the contrary. Each of us, Dow and New DuPont will engage in, and cooperate with one another to satisfy, any consultation or information obligations with respect to unions and works councils that may arise under applicable law prior to the date of the applicable distribution.</w:t>
      </w:r>
    </w:p>
    <w:p>
      <w:pPr>
        <w:spacing w:after="0" w:line="187"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With some exceptions, upon the applicable distribution, each of us, Dow and New DuPont have or will, as applicable, provide the employees identified to it with target total direct compensation that is no less than that which the employee received immediately prior to the applicable distribution, as well as market competitive benefits, and each of us, Dow and New DuPont have or will, as applicable, cause the employees identified to it to commence participation in its benefit plans, on or prior to the date of the applicable distribution, and will recognize prior years of service.</w:t>
      </w:r>
    </w:p>
    <w:p>
      <w:pPr>
        <w:spacing w:after="0" w:line="154"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With some exceptions, each of us, Dow and New DuPont have assumed or retained or will assume or retain, as applicable, liabilities arising out of or in connection with the employment or termination of the employees identified to it, whether arising before or after the applicable distribution. Liabilities attributable to former employees generally were or will be allocated to us, Dow or New DuPont depending on the business to which the liability relates (i.e., to us if related to the agriculture business, to Dow if related to the materials science business and to New DuPont if related to the specialty products business).</w:t>
      </w:r>
    </w:p>
    <w:p>
      <w:pPr>
        <w:spacing w:after="0" w:line="18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With some exceptions, the employee matters agreement does not provide for any transfer of assets or liabilities between or in respect of any defined benefit pension plan, defined contribution plan, nonqualified deferred compensation plan or other post-employment pension benefit plan, but provides for a trustee-to-trustee transfer of assets and liabilities from our U.S. and Puerto Rico tax qualified defined contribution pension plans to those of New DuPont.</w:t>
      </w:r>
    </w:p>
    <w:p>
      <w:pPr>
        <w:spacing w:after="0" w:line="187"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With some exceptions, the employee matters agreement provides for the equitable adjustment of existing equity incentive compensation awards denominated in the common stock of DowDuPont to reflect the occurrence of the distributions. For a discussion of the treatment of outstanding equity awards and equity-based compensation, see the section entitled “Compensation Discussion and Analysis—Treatment of Outstanding Equity Awards Resulting from the Dow Distribution and the Corteva Distribution.”</w:t>
      </w:r>
    </w:p>
    <w:p>
      <w:pPr>
        <w:spacing w:after="0" w:line="18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If any of us, Dow or New DuPont terminates an employee’s employment within 12 months following the distribution of Corteva (in the case of us and New DuPont) or the distribution of Dow (in the case of Dow) and such employee is entitled to severance under the terms of the severance plan then applicable to the employee,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24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amount of severance will be not less than the cash severance to which the employee would have been entitled under the severance plan applicable to him or her immediately before the applicable distribution (taking into account any service and changes in eligible compensation following the distribution). In any event, however, each of us, Dow and New DuPont will honor the provisions of the EID Senior Executive Severance Plan and Key Employee Severance Plan with respect to terminations occurring on or before August 31, 2019.</w:t>
      </w:r>
    </w:p>
    <w:p>
      <w:pPr>
        <w:spacing w:after="0" w:line="187"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color w:val="auto"/>
        </w:rPr>
        <w:t>With some exceptions, each of us, Dow and New DuPont have assumed or will assume, in each case, effective as of the applicable distribution date, liabilities for accrued but unused vacation benefits for employees identified to it. However, certain grandfathered vacation benefits will be paid out, along with other accrued but unused vacation benefits where required by local law.</w:t>
      </w:r>
    </w:p>
    <w:p>
      <w:pPr>
        <w:spacing w:after="0" w:line="181"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For a period commencing on the date of the distribution of Dow and ending on the shorter of (a) 24 months following the distribution date, but no longer than 26 months following the date of the distribution of Dow or (b) the maximum period permitted by applicable law in each applicable jurisdiction, none of us, Dow or New DuPont will solicit for employment (not including through non-targeted public advertisements or job postings) any of (i) the other companies’ current employees, (ii) the other companies’ former employees during the 90 days following a voluntary termination (other than individuals who are covered by the following clause (iii)), or (iii) any Historical Dow or Historical DuPont employee who was ring-fenced to us, Dow or New DuPont (or its subsidiary), as the case may be, but exercised a right under applicable law or contract not to be employed by such entity in connection with the distributions. These restrictions will not prohibit us, Dow or New DuPont from soliciting or hiring an individual who provided services to it under certain manufacturing related agreements.</w:t>
      </w:r>
    </w:p>
    <w:p>
      <w:pPr>
        <w:spacing w:after="0" w:line="192"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The employee matters agreement also provides that employee transfers outside of the United States will generally operate under the same principles described above and applicable to employee transfers in the United States, except as otherwise provided in the employee matters agreement or as required by applicable law or labor agreement.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Cross-License Agreements</w:t>
      </w:r>
    </w:p>
    <w:p>
      <w:pPr>
        <w:spacing w:after="0" w:line="12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Prior to the separation and distribution of Dow on April 1, 2019, we entered into an Intellectual Property Cross License Agreements with Dow and, prior to our separation from DowDuPont, we will enter into a separate Intellectual Property Cross License Agreement with DowDuPont (such agreements, the “IP Cross Licenses”), which set forth the terms and conditions under which each company may use in its business, following the separation and distribution, certain know-how (including trade secrets), copyrights, software and standards, and possibly certain patents, allocated to the other party pursuant to the separation agreement. The IP Cross License that Dow entered into with us is referred to as the Dow-Corteva IP Cross License, and the IP Cross License that DowDuPont will enter into with us is referred to as the DuPont-Corteva IP Cross License. All licenses under the IP Cross Licenses will be worldwide, royalty-free and sublicensable to affiliates and, with certain limited exceptions, third parties in the operation of the licensee’s business, but not for the independent use of any third party. This summary of the IP Cross Licenses is qualified in its entirety by reference to the full text of the agreements, which are incorporated by reference herein and are filed as Exhibit 10.3 and 10.4 of the Form 10 of which this information statement forms a part.</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Dow-Corteva IP Cross License</w:t>
      </w:r>
    </w:p>
    <w:p>
      <w:pPr>
        <w:spacing w:after="0" w:line="117" w:lineRule="exact"/>
        <w:rPr>
          <w:sz w:val="20"/>
          <w:szCs w:val="20"/>
          <w:color w:val="auto"/>
        </w:rPr>
      </w:pPr>
    </w:p>
    <w:p>
      <w:pPr>
        <w:ind w:left="200" w:right="460"/>
        <w:spacing w:after="0" w:line="264" w:lineRule="auto"/>
        <w:rPr>
          <w:sz w:val="20"/>
          <w:szCs w:val="20"/>
          <w:color w:val="auto"/>
        </w:rPr>
      </w:pPr>
      <w:r>
        <w:rPr>
          <w:rFonts w:ascii="Arial" w:cs="Arial" w:eastAsia="Arial" w:hAnsi="Arial"/>
          <w:sz w:val="18"/>
          <w:szCs w:val="18"/>
          <w:color w:val="auto"/>
        </w:rPr>
        <w:t>Under the Dow-Corteva IP Cross License, each of Dow and Corteva grant worldwide royalty-free licenses to the other to continue to use in the operation of their respective businesses after separation certain know-how, copyrights and proprietary software. All licenses are non-exclusive and limited by field of use, which are generally directed to Dow’s and Corteva’s respective businesses.</w:t>
      </w:r>
    </w:p>
    <w:p>
      <w:pPr>
        <w:spacing w:after="0" w:line="18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Under the Dow-Corteva IP Cross License, Dow and Corteva also each grant the other a license under patents (if any) owned by such party that had been owned by TDCC (with respect to patents owned by Corteva) or EID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24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color w:val="auto"/>
        </w:rPr>
        <w:t>(with respect to patents owned by Dow) prior to the Merger, to exploit products that such other party commercialized prior to the Merger and that are within its business scope, in the same manner as prior to the Merger, and updates, modifications, and enhancements thereof in which the essential character of such products and their pre-Merger use is maintained (but solely within the licensee’s allocated business scope).</w:t>
      </w:r>
    </w:p>
    <w:p>
      <w:pPr>
        <w:spacing w:after="0" w:line="166"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Dow-Corteva IP Cross License also provides for licenses between the parties under specified patents in limited fields. The parties have not identified any patents that will be subject to this license as of the effective date of the agreement, but the agreement includes certain “wrong pockets” provisions that allows patents to be added for a certain period of time following the effective date subject to certain limited conditions. This agreement also includes a license to Dow of engineering, safety, health and environmental standards owned by Corteva or to which Corteva will have certain rights to the extent used in facilities transferred from Corteva to Dow (of which there are anticipated to be none) or that are otherwise necessary to use certain standards allocated to Dow.</w:t>
      </w:r>
    </w:p>
    <w:p>
      <w:pPr>
        <w:spacing w:after="0" w:line="193"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The Dow-Corteva Cross License will expire on a licensed patent-by-licensed patent (if any) and licensed copyright-by-licensed copyright basis upon expiration of the relevant intellectual property, and will be perpetual with respect to know-how, standards (if any) and software licensed by the parties.</w:t>
      </w:r>
    </w:p>
    <w:p>
      <w:pPr>
        <w:spacing w:after="0" w:line="124"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Dow-Corteva IP Cross License is not terminable other than by mutual agreement of the parties. Note, however, if specific patents are later identified to be licensed under the Dow-Corteva IP Cross License, it is possible that each party will be subject to terms providing that if the licensee party challenges those patents, that party could have to pay liquidated damages of $50 million or $100 million dollars and its rights relating to certain patents or all patents licensed to it could be terminated or, in the case of exclusively licensed patents (if any), converted to nonexclusive licenses.</w:t>
      </w:r>
    </w:p>
    <w:p>
      <w:pPr>
        <w:spacing w:after="0" w:line="154"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Dow-Corteva IP Cross License is assignable in whole or in relevant part to affiliates or to a successor to all or a portion of the business or assets to which the agreement relates, but will not otherwise be assignable without consent.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DuPont-Corteva IP Cross License</w:t>
      </w:r>
    </w:p>
    <w:p>
      <w:pPr>
        <w:spacing w:after="0" w:line="117"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It is expected that we will enter into an IP Cross License Agreement with New DuPont on terms substantially similar to the Dow-Corteva IP Cross License with certain exceptions, including that New DuPont’s licensed fields of use will be directed to the scope of New DuPont’s business. In addition, under this agreement, Corteva will grant to New DuPont a nonexclusive, royalty-free license to specifically identified patents in certain limited fields. Although the parties have not identified any patents that will be licensed by New DuPont to Corteva as of the effective date, the agreement includes a “wrong pockets” provision that allows patents to be added for a certain period following the effective date subject to certain conditions. The DuPont-Corteva IP Cross License Agreement also will differ from Dow-Corteva IP Cross License in that we do not expect it will include a license to patents that had been owned by the other party prior to the merger to exploit products exploited prior to the merger or provisions providing for certain consequences in the event that a licensed patent is challenged. The DuPont-Corteva IP Cross License will not be terminable other than by mutual agreement of the parties.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Corteva or certain of its subsidiaries also have entered or will enter into certain other agreements with DowDuPont and/or Dow in connection with the separation and distribution, including those described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CRISPR Agreement</w:t>
      </w:r>
    </w:p>
    <w:p>
      <w:pPr>
        <w:spacing w:after="0" w:line="117"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We also expect to enter into an additional intellectual property license agreement with New DuPont with respect to certain gene editing technology (such agreement, the “CRISPR License”). Under the CRISPR License, we will grant New DuPont a nonexclusive, royalty-free (other than certain pass through royalties) sublicense to certain third party gene editing technology in certain specified fields of use and we also will agree, for a period of ten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240" w:top="460"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years, that we will not license any third parties this technology in certain of the fields licensed to New DuPont. We also will agree to be subject to certain rights of first refusal for a period of ten years in the event that we plan to enter into an agreement with certain specified New DuPont competitors to collaborate, or enter into manufacturing relationships, regarding certain biologics. In exchange, New DuPont will agree to be subject to certain rights of first refusal for a period of ten years in the event that it plans to enter into an agreement with certain specified Corteva competitors to collaborate, or enter into purchasing relationships, regarding certain biologics. The CRISPR License will not be terminable other than by mutual agreement of the parties.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Transitional Trademark House Marks License Agreements</w:t>
      </w:r>
    </w:p>
    <w:p>
      <w:pPr>
        <w:spacing w:after="0" w:line="117" w:lineRule="exact"/>
        <w:rPr>
          <w:sz w:val="20"/>
          <w:szCs w:val="20"/>
          <w:color w:val="auto"/>
        </w:rPr>
      </w:pPr>
    </w:p>
    <w:p>
      <w:pPr>
        <w:ind w:left="200" w:right="240"/>
        <w:spacing w:after="0" w:line="285" w:lineRule="auto"/>
        <w:rPr>
          <w:sz w:val="20"/>
          <w:szCs w:val="20"/>
          <w:color w:val="auto"/>
        </w:rPr>
      </w:pPr>
      <w:r>
        <w:rPr>
          <w:rFonts w:ascii="Arial" w:cs="Arial" w:eastAsia="Arial" w:hAnsi="Arial"/>
          <w:sz w:val="16"/>
          <w:szCs w:val="16"/>
          <w:color w:val="auto"/>
        </w:rPr>
        <w:t>Prior to the separation and distribution of Dow on April 1, 2019 (and, with respect to agreements between DowDuPont and us, prior to June 1, 2019), we, DowDuPont and Dow entered into separate Transitional Trademark House Marks License Agreements pursuant to which, with respect to certain house trademarks and tradenames owned by the licensor as of the distribution date (i) Dow provided non-exclusive licenses (including to the “Dow” name and diamond) to New DuPont and us with respect to each of New DuPont’s and our respective businesses, (ii) New DuPont provided non-exclusive licenses (including to the “DuPont” name and oval) to Dow and us with respect to each of Dow’s and our respective businesses and</w:t>
      </w:r>
    </w:p>
    <w:p>
      <w:pPr>
        <w:spacing w:after="0" w:line="2" w:lineRule="exact"/>
        <w:rPr>
          <w:sz w:val="20"/>
          <w:szCs w:val="20"/>
          <w:color w:val="auto"/>
        </w:rPr>
      </w:pPr>
    </w:p>
    <w:p>
      <w:pPr>
        <w:ind w:left="200" w:firstLine="4"/>
        <w:spacing w:after="0" w:line="302" w:lineRule="auto"/>
        <w:tabs>
          <w:tab w:leader="none" w:pos="51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Dow and New DuPont agreed not to use or license to a third party such trademarks (including to the “Dow” name and diamond, and the “DuPont” name and oval, respectively) with respect to our core agricultural pesticides and seeds products used in our business as of the distribution date, subject to certain exceptions for current activities, if any, of Dow or New DuPont in such field for a period of three years from the distribution date.</w:t>
      </w:r>
    </w:p>
    <w:p>
      <w:pPr>
        <w:spacing w:after="0" w:line="155"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These license agreements permit sublicensing in the ordinary course to the subsidiaries of each respective licensee, third parties solely in support of each respective licensee’s business and, in the case of licenses to certain businesses of New DuPont, branding partners under certain circumstances. In addition, these license agreements are royalty-free and extend to uses in connection with (i) current products and certain extensions as of the distribution date and (ii) certain limited new products. Each Transitional Trademark House Marks License Agreement providing for a license to Dow or New DuPont has a term of three years, subject in each case to regulatory exceptions extending the term of certain licenses for up to a maximum of six years. Each Transitional Trademark House Marks License Agreement providing for a license to us has a term of four years, subject in each case to regulatory exceptions extending the term of certain licenses for up to a maximum of seven years. The Transitional Trademark House Marks License Agreements is not be terminable by the respective licensors other than in connection with a material breach causing direct damages from a single occurrence of at least two-hundred and fifty million dollars ($250,000,000), with certain licenses surviving any such termination in connection with regulatory name change requirements for a period of time according to the terms of the agreement.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Regulatory Transfer and Support Agreements</w:t>
      </w:r>
    </w:p>
    <w:p>
      <w:pPr>
        <w:spacing w:after="0" w:line="117"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Prior to the separation and distribution of Dow on April 1, 2019 (and, with respect to agreements between DowDuPont and us, prior to June 1, 2019), we, DowDuPont and Dow entered into separate Regulatory Transfer and Support Agreements, as applicable, pursuant to which each company will maintain, support and transfer certain designated product registrations and related data that are allocated to the transferee pursuant to the separation agreement but are held by the transferor as of the distribution date and with respect to the Regulatory Transfer and Support Agreement in which we will transfer certain designated product registrations and related data to Dow, we will provide certain services to Dow relating to such product registrations and related data for a period of time after the separation and distribution of Dow.</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Regulatory Cross-License Agreements</w:t>
      </w:r>
    </w:p>
    <w:p>
      <w:pPr>
        <w:spacing w:after="0" w:line="11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Prior to the separation and distribution of Dow on April 1, 2019 (and, with respect to agreements between DowDuPont and us, prior to June 1, 2019), we, DowDuPont and Dow entered into separate Regulatory Cross-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240" w:top="459" w:right="4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License Agreements, as applicable, pursuant to which each company licensed certain designated product registrations and data that are allocated to the licensor pursuant to the separation agreement but are also used in the licensee’s business as of April 1, 2019 (or, with respect to the agreement between DowDuPont and us, as of the distribution date).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MOD 5 Computerized Process Control Software Agreements</w:t>
      </w:r>
    </w:p>
    <w:p>
      <w:pPr>
        <w:spacing w:after="0" w:line="117"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Prior to the separation and distribution of Dow on April 1, 2019, we and DowDuPont each entered into a MOD 5 Computerized Process Control Software Agreement with Dow pursuant to which Dow granted non-exclusive licenses to each of us and to New DuPont to use Dow’s MOD 5 software and related documentation for operation of facilities that use such software and certain related hardware as of the distribution date. Under each agreement, Dow also agreed to provide New DuPont and us with certain maintenance and support services subject to certain service fees. The license term under these agreements expires on December 31, 2028, subject to the ability to extend to December 31, 2030 under certain circumstances, and Dow’s obligation to provide maintenance and support services expires on December 31, 2024. These agreements are assignable in whole or in relevant part to affiliates or to a successor to all or a portion of the business or assets to which the agreement relates (which, in the case of Dow, must include all or substantially all of Dow’s assets related to the licensed MOD 5 software and technology), but will not otherwise be assignable without consent.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Systems and Tools License Agreements</w:t>
      </w:r>
    </w:p>
    <w:p>
      <w:pPr>
        <w:spacing w:after="0" w:line="11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Prior to the separation and distribution of Dow on April 1, 2019, we and DowDuPont each entered into separate Operating Systems and Tools License Agreements with Dow pursuant to which Dow granted non-exclusive licenses to us and to New DuPont to use certain operating systems and tools (other than the MOD 5 software) and related documentation for operation of facilities of New DuPont or us (as applicable), our and their affiliates, and our and their personnel (including consultants and contractors) in the conduct of New DuPont or our (as applicable) allocated business and natural evolutions thereof. If New DuPont or we acquire certain competitors of Dow, the licensed operating systems and tools may not be used in facilities owned by such entity prior to such transaction (subject to certain limited exceptions). These agreements are assignable in whole or in relevant part to affiliates or, solely with respect to those licensed operating systems and tools that are incorporated into or reasonably necessary to use any operating systems and tools that were allocated to New DuPont or us (as applicable) pursuant to the separation agreement, to a third party whom is sold all or a portion of the business related to the operating systems and tools or any of the sites and facilities at which the operating systems and tools are used (which third party purchaser will have a twelve (12) month license to transition away from use of any other licensed operating systems and tools not so assigned), but are not otherwise assignable without consent. These agreements are not terminable other than by mutual agreement of the parties.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Services Agreements</w:t>
      </w:r>
    </w:p>
    <w:p>
      <w:pPr>
        <w:spacing w:after="0" w:line="117"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Prior to the separation and distribution of Dow on April 1, 2019, we, DowDuPont and Dow entered into separate general services agreements pursuant to which (i) we will provide certain transitional services to New DuPont and Dow (ii) New DuPont will provide certain transitional services to us and Dow and (iii) Dow will provide certain transitional services to us and New DuPont. The services, including information technology support, technical services support (including consulting and management of certain process applications) and data management support services, will be provided for a limited time, generally for no longer than one year following the date of the applicable distribution, for specified fees, which are generally based on the cost of services provided.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Site Services Agreements</w:t>
      </w:r>
    </w:p>
    <w:p>
      <w:pPr>
        <w:spacing w:after="0" w:line="117"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Prior to the separation and distribution of Dow on April 1, 2019, we, DowDuPont and Dow entered into separate site services agreements for the provision of site services at shared sites (i) by us to New DuPont and/or Dow 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59" w:right="45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sites owned by us and on which (or adjacent to which) New DuPont and/or Dow will maintain operations, as applicable, (ii) by New DuPont to us and/or Dow at sites owned by New DuPont on which (or adjacent to which) we and/or Dow will maintain operations, as applicable, and (iii) by Dow to us and/or New DuPont at sites owned by Dow on which (or adjacent to which) we and/or New DuPont will maintain operations, as applicable. These site services agreements generally address the provision of services relating to site security and access, access to electricity, water and steam, waste water treatment, infrastructure, site logistics and other applicable services, in each case, to the extent permitted by applicable law.</w:t>
      </w:r>
    </w:p>
    <w:p>
      <w:pPr>
        <w:spacing w:after="0" w:line="158"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Such site services agreements generally have a term coextensive with the related lease agreement, although certain services set forth therein will terminate after five years, twenty years or such other periods as are set forth in such agreements. The site services agreements will provide for service fees, which are generally based on the cost of services provided.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Supply Agreements</w:t>
      </w:r>
    </w:p>
    <w:p>
      <w:pPr>
        <w:spacing w:after="0" w:line="11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Prior to the separation and distribution of Dow on April 1, 2019, we, DowDuPont and Dow entered into various product supply agreements, manufacturing product agreements and certain other manufacturing related agreements pursuant to which (a) New DuPont will manufacture products for us and Dow, as applicable, and (b) Dow will manufacture products for us and New DuPont, as applicable.</w:t>
      </w:r>
    </w:p>
    <w:p>
      <w:pPr>
        <w:spacing w:after="0" w:line="18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Under the product supply agreements, New DuPont and Dow will supply products and/or raw materials to each other and/or us at specified prices based on market prices. For example, (i) Dow will supply surfactants, ethyleneamines, propylene glycols, alkanolamines, glycol ethers, and ethylene copolymers to us and polyols, MDI, monomers, glycol ethers, and propylene &amp; ethylene oxides to New DuPont and (ii) New DuPont will supply biocides, and ion exchange and membrane products to Dow. The product supply agreements generally have a term of five years and thereafter continue until a party provides at least one year’s (or in some cases three year’s) prior written notice of termination unless earlier terminated in accordance with the terms of the product supply agreement.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Ground Leases</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As a result of the separation, we, New DuPont and Dow will own certain real property, which will have historically supported the operation of more than one business. We, New DuPont and Dow have entered into ground leases with terms that are essentially equivalent to a fee simple transfer with all tenets of fee ownership, including appropriate provisions relating to termination, permitted use, assignability, financability and defaults and remedies. The length of the ground leases is generally 99 years from the execution date, provided that the lessee also has the right to terminate the ground lease upon two years’ prior written notice.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24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 OF THE DISTRIBUTION</w:t>
      </w:r>
    </w:p>
    <w:p>
      <w:pPr>
        <w:spacing w:after="0" w:line="229"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color w:val="auto"/>
        </w:rPr>
        <w:t>The following is a summary of the material U.S. federal income tax consequences to DowDuPont and DowDuPont stockholders in connection with the distribution. This summary is based on the Code, the Treasury Regulations promulgated thereunder, and judicial and administrative interpretations thereof, all as in effect as of the date of this information statement and all of which are subject to differing interpretations and may change at any time, possibly with retroactive effect. Any such change could affect the tax consequences described below. This summary assumes that the separation will be consummated in accordance with the separation agreement and as described in this information statement.</w:t>
      </w:r>
    </w:p>
    <w:p>
      <w:pPr>
        <w:spacing w:after="0" w:line="173"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color w:val="auto"/>
        </w:rPr>
        <w:t>Except as specifically described below, this summary is limited to DowDuPont stockholders that are “U.S. Holders,” as defined immediately below. For purposes of this summary, a U.S. Holder is a beneficial owner of DowDuPont common stock that is, for U.S. federal income tax purposes:</w:t>
      </w:r>
    </w:p>
    <w:p>
      <w:pPr>
        <w:spacing w:after="0" w:line="29" w:lineRule="exact"/>
        <w:rPr>
          <w:sz w:val="20"/>
          <w:szCs w:val="20"/>
          <w:color w:val="auto"/>
        </w:rPr>
      </w:pPr>
    </w:p>
    <w:p>
      <w:pPr>
        <w:ind w:left="1060" w:hanging="316"/>
        <w:spacing w:after="0"/>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U.S. or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trust, if (1) a court within the U.S. is able to exercise primary jurisdiction over its administration and one or more U.S. persons have the authority to control all its substantial decisions, or (2) in the case of a trust that was treated as a domestic trust under the law in effect before 1997, a valid election is in place under applicable Treasury Regulations.</w:t>
      </w:r>
    </w:p>
    <w:p>
      <w:pPr>
        <w:spacing w:after="0" w:line="18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This summary also does not discuss all tax considerations that may be relevant to DowDuPont stockholders in light of their particular circumstances, nor does it address the consequences to DowDuPont stockholders subject to special treatment under the U.S. federal income tax laws, such as:</w:t>
      </w:r>
    </w:p>
    <w:p>
      <w:pPr>
        <w:spacing w:after="0" w:line="29" w:lineRule="exact"/>
        <w:rPr>
          <w:sz w:val="20"/>
          <w:szCs w:val="20"/>
          <w:color w:val="auto"/>
        </w:rPr>
      </w:pPr>
    </w:p>
    <w:p>
      <w:pPr>
        <w:ind w:left="1060" w:hanging="316"/>
        <w:spacing w:after="0"/>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banks, trusts, financial institutions, or insurance companies;</w:t>
      </w:r>
    </w:p>
    <w:p>
      <w:pPr>
        <w:spacing w:after="0" w:line="130" w:lineRule="exact"/>
        <w:rPr>
          <w:rFonts w:ascii="Arial" w:cs="Arial" w:eastAsia="Arial" w:hAnsi="Arial"/>
          <w:sz w:val="18"/>
          <w:szCs w:val="18"/>
          <w:color w:val="auto"/>
        </w:rPr>
      </w:pPr>
    </w:p>
    <w:p>
      <w:pPr>
        <w:ind w:left="1060" w:right="1020" w:hanging="316"/>
        <w:spacing w:after="0" w:line="277" w:lineRule="auto"/>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persons who acquired shares of DowDuPont common stock pursuant to the exercise of employee stock options or otherwise as compensation;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stockholders who own, or are deemed to own, at least 10 percent or more, by voting power or value, of DowDuPont’s equity;</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holders owning DowDuPont common stock as part of a position in a straddle or as part of a hedging, conversion, constructive sale, synthetic security, integrated investment, or other risk reduction transaction for U.S. federal income tax purposes;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certain former citizens or former long-term residents of the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holders who are subject to the alternative minimum tax;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persons that own DowDuPont common stock through partnerships or other pass-through entities.</w:t>
      </w:r>
    </w:p>
    <w:p>
      <w:pPr>
        <w:spacing w:after="0" w:line="225"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This summary does not address the U.S. federal income tax consequences to stockholders who do not hold shares of DowDuPont common stock as a capital asset. Moreover, this summary does not address any state, local, or foreign tax consequences or any estate, gift or other non-income tax consequences.</w:t>
      </w:r>
    </w:p>
    <w:p>
      <w:pPr>
        <w:spacing w:after="0" w:line="18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shares of DowDuPont common stock, the tax treatment of a partner in that partnership generally will depend on the status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of the partner and the activities of the partnership. Such a partner or partnership should consult its own tax advisor as to the tax consequences of the distribution.</w:t>
      </w:r>
    </w:p>
    <w:p>
      <w:pPr>
        <w:spacing w:after="0" w:line="166" w:lineRule="exact"/>
        <w:rPr>
          <w:sz w:val="20"/>
          <w:szCs w:val="20"/>
          <w:color w:val="auto"/>
        </w:rPr>
      </w:pPr>
    </w:p>
    <w:p>
      <w:pPr>
        <w:ind w:left="200" w:right="280"/>
        <w:spacing w:after="0" w:line="261" w:lineRule="auto"/>
        <w:rPr>
          <w:sz w:val="20"/>
          <w:szCs w:val="20"/>
          <w:color w:val="auto"/>
        </w:rPr>
      </w:pPr>
      <w:r>
        <w:rPr>
          <w:rFonts w:ascii="Arial" w:cs="Arial" w:eastAsia="Arial" w:hAnsi="Arial"/>
          <w:sz w:val="18"/>
          <w:szCs w:val="18"/>
          <w:b w:val="1"/>
          <w:bCs w:val="1"/>
          <w:color w:val="auto"/>
        </w:rPr>
        <w:t>YOU SHOULD CONSULT YOUR OWN TAX ADVISOR WITH RESPECT TO THE SPECIFIC U.S. FEDERAL, STATE AND LOCAL, AND NON-U.S. TAX CONSEQUENCES OF THE DISTRIBUTION IN LIGHT OF YOUR PARTICULAR CIRCUMSTANCES AND THE EFFECT OF POSSIBLE CHANGES IN LAW THAT MIGHT AFFECT THE TAX CONSEQUENCES DESCRIBED IN THIS INFORMATION STATEMENT.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Treatment of the Distribution</w:t>
      </w:r>
    </w:p>
    <w:p>
      <w:pPr>
        <w:spacing w:after="0" w:line="117"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It is a condition to the distribution that DowDuPont receives the Tax Opinion, in form and substance acceptable to DowDuPont, substantially to the effect, among other things, that the distribution and certain related transactions will qualify as a tax-free transaction under Section 368(a)(1)(D) and Section 355 of the Code.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Assuming the distribution qualifies as tax-free under Section 368(a)(1)(D) and Section 355 of the Code, for U.S. federal income tax purposes:</w:t>
      </w:r>
    </w:p>
    <w:p>
      <w:pPr>
        <w:spacing w:after="0" w:line="142" w:lineRule="exact"/>
        <w:rPr>
          <w:sz w:val="20"/>
          <w:szCs w:val="20"/>
          <w:color w:val="auto"/>
        </w:rPr>
      </w:pPr>
    </w:p>
    <w:p>
      <w:pPr>
        <w:ind w:left="1060" w:hanging="316"/>
        <w:spacing w:after="0"/>
        <w:tabs>
          <w:tab w:leader="none" w:pos="10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 gain or loss will be recognized by DowDuPont as a result of the distribution;</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 gain or loss will be recognized by, or be includible in the income of, a DowDuPont stockholder solely as a result of the receipt of Corteva common stock in the distribution;</w:t>
      </w:r>
    </w:p>
    <w:p>
      <w:pPr>
        <w:spacing w:after="0" w:line="75" w:lineRule="exact"/>
        <w:rPr>
          <w:rFonts w:ascii="Arial" w:cs="Arial" w:eastAsia="Arial" w:hAnsi="Arial"/>
          <w:sz w:val="18"/>
          <w:szCs w:val="18"/>
          <w:color w:val="auto"/>
        </w:rPr>
      </w:pPr>
    </w:p>
    <w:p>
      <w:pPr>
        <w:ind w:left="1060" w:right="60" w:hanging="316"/>
        <w:spacing w:after="0" w:line="276" w:lineRule="auto"/>
        <w:tabs>
          <w:tab w:leader="none" w:pos="10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aggregate tax basis of the shares of DowDuPont common stock and shares of Corteva common stock in the hands of each DowDuPont stockholder immediately after the distribution (including any fractional shares deemed received, as discussed below) will be the same as the aggregate tax basis of the shares of DowDuPont common stock held by such holder immediately before the distribution, allocated between the shares of DowDuPont common stock and shares of Corteva common stock (including any fractional shares deemed received) in proportion to their relative fair market values immediately following the distribution; and</w:t>
      </w:r>
    </w:p>
    <w:p>
      <w:pPr>
        <w:spacing w:after="0" w:line="77" w:lineRule="exact"/>
        <w:rPr>
          <w:rFonts w:ascii="Arial" w:cs="Arial" w:eastAsia="Arial" w:hAnsi="Arial"/>
          <w:sz w:val="17"/>
          <w:szCs w:val="17"/>
          <w:color w:val="auto"/>
        </w:rPr>
      </w:pPr>
    </w:p>
    <w:p>
      <w:pPr>
        <w:ind w:left="1060" w:right="200" w:hanging="316"/>
        <w:spacing w:after="0" w:line="277" w:lineRule="auto"/>
        <w:tabs>
          <w:tab w:leader="none" w:pos="10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holding period with respect to shares of Corteva common stock received by DowDuPont stockholders (including any fractional shares deemed received) will include the holding period of their shares of DowDuPont common stock.</w:t>
      </w:r>
    </w:p>
    <w:p>
      <w:pPr>
        <w:spacing w:after="0" w:line="17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DowDuPont stockholders that have acquired different blocks of DowDuPont common stock at different times or at different prices should consult their tax advisors regarding the allocation of their aggregate adjusted basis among, and their holding period of, our shares distributed with respect to blocks of DowDuPont common stock.</w:t>
      </w:r>
    </w:p>
    <w:p>
      <w:pPr>
        <w:spacing w:after="0" w:line="18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The Tax Opinion will be based on, among other things, certain assumptions as well as on the accuracy of certain factual representations and statements that we and DowDuPont make. In rendering the Tax Opinion, Skadden also will rely on certain covenants that we and DowDuPont enter into, including the adherence by New DuPont and us to certain restrictions on their and our future actions. The Tax Opinion will be expressed as of the date of the distribution and will not cover subsequent periods. As a result, the Tax Opinion is not expected to be issued until after the date of this information statement. Additionally, the Tax Opinion will rely on the IRS Ruling regarding the proper time, manner and methodology for measuring common ownership in the stock of DowDuPont, Historical DuPont and Historical Dow for purposes of determining whether there has been a 50 percent or greater change of ownership under Section 355(e) of the Code, described further below, as a result of the Merger, as well as certain factual representations from DowDuPont as to the extent of common ownership in the stock of Historical DuPont and Historical Dow immediately prior to the Merger. Based on the representations made by DowDuPont as to the common ownership in the stock of Historical DuPont and Historical Dow immediately prior to the Merger and assuming the continued validity of the IRS Ruling, the Tax Opinion will conclude that there was not a 50 percent or greater change of ownership in DowDuPont, Historical DuPont or Historical Dow for purposes of Section 355(e) as a result of the Merger. If any of the facts,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240" w:top="460"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representations, assumptions, or undertakings described or made in connection with the IRS Ruling or the Tax Opinion are not correct, are incomplete or have been violated, the IRS Ruling could be revoked retroactively or modified by the IRS, and the ability to rely on the Tax Opinion could be jeopardized. We are not aware of any facts or circumstances, however, that would cause these facts, representations, or assumptions to be untrue or incomplete, or that would cause any of these undertakings to fail to be complied with, in any material respect.</w:t>
      </w:r>
    </w:p>
    <w:p>
      <w:pPr>
        <w:spacing w:after="0" w:line="17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An opinion of counsel represents counsel’s best judgment based on current law and is not binding on the IRS or any court. We cannot assure you that the IRS will agree with the conclusions expected to be set forth in the Tax Opinion, and it is possible that the IRS or another tax authority could adopt a position contrary to one or all those conclusions and that a court could sustain that contrary position. You should note that, other than the IRS Ruling previously mentioned, DowDuPont does not intend to seek a ruling from the IRS as to the U.S. federal income tax treatment of the distribution or related transactions. The Tax Opinion is not binding on the IRS or a court, and there can be no assurance that the IRS will not challenge the validity of the distribution and related transactions as a reorganization for U.S. federal income tax purposes under Section 368(a)(1)(D) and Section 355 of the Code or that any such challenge ultimately will not prevail.</w:t>
      </w:r>
    </w:p>
    <w:p>
      <w:pPr>
        <w:spacing w:after="0" w:line="178"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If, notwithstanding the conclusions in the IRS Ruling and those that we expect to be included in the Tax Opinion, it is ultimately determined that the distribution does not qualify as tax-free under Section 355 of the Code for U.S. federal income tax purposes, then DowDuPont would recognize corporate level taxable gain on the distribution in an amount equal to the excess, if any, of the fair market value of Corteva common stock distributed to DowDuPont stockholders on the distribution date over DowDuPont’s tax basis in such stock. In addition, if the distribution is ultimately determined not to qualify as tax-free under Section 355 of the Code for U.S. federal income tax purposes, each DowDuPont stockholder that receives shares of Corteva common stock in the distribution would be treated as receiving a distribution in an amount equal to the fair market value of Corteva common stock that was distributed to the stockholder, which generally would be taxed as a dividend to the extent of the stockholder’s pro rata share of DowDuPont’s current and accumulated earnings and profits, including DowDuPont’s taxable gain, if any, on the distribution, then treated as a non-taxable return of capital to the extent of the stockholder’s basis in DowDuPont stock and thereafter treated as capital gain from the sale or exchange of DowDuPont stock.</w:t>
      </w:r>
    </w:p>
    <w:p>
      <w:pPr>
        <w:spacing w:after="0" w:line="16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Even if the distribution otherwise qualifies for tax-free treatment under Section 355 of the Code, the distribution may result in corporate level taxable gain to DowDuPont under Section 355(e) of the Code if either we or DowDuPont undergoes a 50 percent or greater ownership change as part of a plan or series of related transactions that includes the distribution, potentially including transactions occurring after the distribution. The process for determining whether one or more acquisitions or issuances triggering this provision has occurred, the extent to which any such acquisitions or issuances results in a change of ownership and the cumulative effect of any such acquisitions or issuances together with any prior acquisitions or issuances (including the Merger) is complex, inherently factual and subject to interpretation of the facts and circumstances of a particular case. If an acquisition or issuance of stock triggers the application of Section 355(e) of the Code, DowDuPont would recognize taxable gain as described above, but the distribution would be tax-free to each DowDuPont stockholder (except for tax on any cash received in lieu of fractional shares). In certain cases, we may be required to indemnify DowDuPont for all or part of the tax liability resulting from the application of Section 355(e). For further details regarding our potential indemnity obligation, see the section entitled “Our Relationship with New DuPont and Dow Following the Distribution—Tax Matters Agreement.”</w:t>
      </w:r>
    </w:p>
    <w:p>
      <w:pPr>
        <w:spacing w:after="0" w:line="183"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A U.S. Holder that receives cash instead of fractional shares of Corteva common stock should be treated as though the U.S. Holder first received a distribution of a fractional share of Corteva common stock, and then sold it for the amount of cash. Such U.S. Holder should recognize capital gain or loss, measured by the difference between the cash received for such fractional share and the U.S. Holder’s basis in the fractional share, as determined above. Such capital gain or loss should generally be a long-term capital gain or loss if the U.S. Holder’s holding period for such U.S. Holder’s DowDuPont common stock exceeds one year.</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240" w:top="459" w:right="4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U.S. Treasury Regulations require certain stockholders that receive stock in a distribution to attach a detailed statement setting forth certain information relating to the distribution to their respective U.S. federal income tax returns for the year in which the distribution occurs. Within 45 days after the distribution, DowDuPont will provide stockholders who receive Corteva common stock in the distribution with the information necessary to comply with such requirement. In addition, all stockholders are required to retain permanent records relating to the amount, basis, and fair market value of Corteva common stock received in the distribution and to make those records available to the IRS upon request of the IRS.</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240" w:top="459" w:right="5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In November 2018, Historical DuPont entered into the 2018 Revolving Credit Facilities to which Corteva will become a party at time of separation and distribution. Corteva expects to have access to the 2018 Revolving Credit Facilities upon the separation and distribution, subject to the satisfaction or waiver of certain customary conditions, the consummation of the separation and distribution of Corteva and no changes (other than any updates to the financial statements and other financial information contained therein to cover subsequent periods in accordance with the rules and regulations of the SEC) in the final effective Form 10 of Corteva that would be materially adverse to the lenders thereunder. The 2018 Revolving Credit Facilities contain customary representations and warranties, affirmative and negative covenants and events of default that are typical for companies with similar credit ratings. Additionally, the 2018 Revolving Credit Facilities contain a financial covenant requiring that the ratio of total indebtedness to total capitalization for Corteva and its consolidated subsidiaries not exceed 0.60.</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20"/>
          </w:cols>
          <w:pgMar w:left="240" w:top="459" w:right="4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following is a summary of the material terms of our capital stock that will be contained in our amended and restated certificate of incorporation and by-laws, and is qualified in its entirety by reference to these documents. You should refer to our amended and restated certificate of incorporation and by-laws, which are included as exhibits to the registration statement of which this information statement is a part, along with the applicable provisions of Delaware law. Prior to the distribution date, DowDuPont, as our sole stockholder, will approve and adopt our amended and restated certificate of incorporation, and our board of directors will approve and adopt our by-laws. For more information on how you can obtain our amended and restated certificate of incorporation and by-laws, see “Where You Can Find More Information”. We urge you to read our amended and restated certificate of incorporation and by-laws in their entirety.</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Immediately following the distribution, our authorized capital stock will consist of 1,666,666,667 shares of common stock, par value $0.01 per share, and 250,000,000 shares of preferred stock, par value $0.01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Immediately following the distribution, we expect that approximately 750,000,000 shares of our common stock will be issued and outstanding based on approximately 2,246,000,000 shares of DowDuPont common stock outstanding as of April 30, 2019.</w:t>
      </w:r>
    </w:p>
    <w:p>
      <w:pPr>
        <w:spacing w:after="0" w:line="17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Each holder of a share of our common stock will be entitled to one vote for each such share held upon all questions presented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(other than those reserved to the holders of our preferred stock as may be set forth in the applicable certificate of designation), and our common stock will have the exclusive right to vote for the election of directors and for all other purposes. All corporate actions, other than the election of directors and amendment of our certificate of incorporation and by-laws, are decided by a plurality vote by holders of our common stock.</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Quorum</w:t>
      </w:r>
      <w:r>
        <w:rPr>
          <w:rFonts w:ascii="Arial" w:cs="Arial" w:eastAsia="Arial" w:hAnsi="Arial"/>
          <w:sz w:val="17"/>
          <w:szCs w:val="17"/>
          <w:color w:val="auto"/>
        </w:rPr>
        <w:t>. The holders of our common stock entitled to cast a majority of votes at a stockholders’ meeting constitute a quorum at such meeting.</w:t>
      </w:r>
    </w:p>
    <w:p>
      <w:pPr>
        <w:spacing w:after="0" w:line="23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i w:val="1"/>
          <w:iCs w:val="1"/>
          <w:color w:val="auto"/>
        </w:rPr>
        <w:t>Election of Directors</w:t>
      </w:r>
      <w:r>
        <w:rPr>
          <w:rFonts w:ascii="Arial" w:cs="Arial" w:eastAsia="Arial" w:hAnsi="Arial"/>
          <w:sz w:val="18"/>
          <w:szCs w:val="18"/>
          <w:color w:val="auto"/>
        </w:rPr>
        <w:t>. Directors are generally elected by a majority of the votes cast by holders of our common stock. However, directors are elected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a plurality of the votes cast by holders of our common stock if, as of the record date for such meeting, the number of nominees exceeds the number of directors to be elected. A majority of the votes cast means that the number of votes cast “for” a director’s election exceeds the number of votes cast “against” that director’s election.</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i w:val="1"/>
          <w:iCs w:val="1"/>
          <w:color w:val="auto"/>
        </w:rPr>
        <w:t>Dividends and Liquidation Rights</w:t>
      </w:r>
      <w:r>
        <w:rPr>
          <w:rFonts w:ascii="Arial" w:cs="Arial" w:eastAsia="Arial" w:hAnsi="Arial"/>
          <w:sz w:val="18"/>
          <w:szCs w:val="18"/>
          <w:color w:val="auto"/>
        </w:rPr>
        <w:t>. Holders of common stock are entitled to dividends as may be declared by our board of directors whenever full</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dividends for all past dividend periods and for the current dividend period have been paid, or declared and set apart for payment, on then-outstanding preferred stock. Upon liquidation, dissolution or winding-up of Corteva, whether voluntary or involuntary, and after satisfaction of the rights of the holders of our preferred stock, our remaining assets and funds will be divided and paid to holders of our common stock according to their respective shares.</w:t>
      </w:r>
    </w:p>
    <w:p>
      <w:pPr>
        <w:spacing w:after="0" w:line="188" w:lineRule="exact"/>
        <w:rPr>
          <w:sz w:val="20"/>
          <w:szCs w:val="20"/>
          <w:color w:val="auto"/>
        </w:rPr>
      </w:pPr>
    </w:p>
    <w:p>
      <w:pPr>
        <w:jc w:val="both"/>
        <w:ind w:left="200" w:right="160"/>
        <w:spacing w:after="0" w:line="312" w:lineRule="auto"/>
        <w:rPr>
          <w:sz w:val="20"/>
          <w:szCs w:val="20"/>
          <w:color w:val="auto"/>
        </w:rPr>
      </w:pPr>
      <w:r>
        <w:rPr>
          <w:rFonts w:ascii="Arial" w:cs="Arial" w:eastAsia="Arial" w:hAnsi="Arial"/>
          <w:sz w:val="16"/>
          <w:szCs w:val="16"/>
          <w:i w:val="1"/>
          <w:iCs w:val="1"/>
          <w:color w:val="auto"/>
        </w:rPr>
        <w:t>Miscellaneous</w:t>
      </w:r>
      <w:r>
        <w:rPr>
          <w:rFonts w:ascii="Arial" w:cs="Arial" w:eastAsia="Arial" w:hAnsi="Arial"/>
          <w:sz w:val="16"/>
          <w:szCs w:val="16"/>
          <w:color w:val="auto"/>
        </w:rPr>
        <w:t>. The shares of our common stock will be fully paid and non-assessable upon issuance and payment therefor. Holders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have any preemptive rights to subscribe for any additional shares of capital stock or other obligations convertible into or exercisable for shares of capital stock that we may issue in the future. There will not be any redemption or sinking fund provisions applicable to our common stock.</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240" w:top="460"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amended and restated certificate of incorporation will authorize our board of directors, without further action by our stockholders, to issue shares of preferred stock and to fix by resolution the designations, preferences and relative, participating, optional or other special rights, and such qualifications, limitations or restrictions thereof, including, without limitation, redemption rights, dividend rights, liquidation preferences and conversion or exchange rights of any class or series of preferred stock, and to fix the number of classes or series of preferred stock, the number of shares constituting any such class or series and the voting powers for each class or series.</w:t>
      </w:r>
    </w:p>
    <w:p>
      <w:pPr>
        <w:spacing w:after="0" w:line="18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The authority possessed by our board of directors to issue preferred stock could potentially be used to discourage attempts by third parties to obtain control of Corteva through a merger, tender offer, proxy contest or otherwise by making such attempts more difficult or more costly. Our board of directors may issue preferred stock with voting rights or conversion rights that, if exercised, could adversely affect the voting power of the holders of our common stock. There are no current agreements or understandings with respect to the issuance of preferred stock and our board of directors has no present intention to issue any shares of preferred stock.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shares of our preferred stock will be fully paid and non-assessable upon issuance and payment therefor. Unless otherwise stated in the certificate of designations, holders of preferred stock do not have any preemptive rights to subscribe for any additional shares of preferred stock or other obligations convertible into or exercisable for shares of preferred stock that we may issue in the future. Unless otherwise stated in the certificate of designations, there are no redemption or sinking fund provisions applicable to our preferred 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Considerations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provisions of the DGCL, our amended and restated certificate of incorporation and our by-laws contain provisions that could serve to discourage or to make more difficult a change in control of us without the support of our board of directors or without meeting various other conditions.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117"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Delaware law provides that, unless otherwise stated in the certificate of incorporation, any action which may be taken at an annual meeting or special meeting of stockholders may be taken without a meeting, if a consent in writing is signed by the holders of the outstanding stock having the minimum number of votes necessary to authorize the action at a meeting of stockholders. Our amended and restated certificate of incorporation will expressly eliminate the right of its stockholders to act by written consent and, as such, stockholder action must take place at the annual meeting or a special meeting of our stockholders.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Limits on Special Meetings</w:t>
      </w:r>
    </w:p>
    <w:p>
      <w:pPr>
        <w:spacing w:after="0" w:line="117"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Our amended and restated by-laws will provide that special meetings of the stockholders may be called by a majority of our board of directors and will be called by our corporate secretary at the request in writing of the holders of record of at least 25 percent of the outstanding stock entitled to vote.</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Undesignated Preferred Stock</w:t>
      </w:r>
    </w:p>
    <w:p>
      <w:pPr>
        <w:spacing w:after="0" w:line="11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authority that our board of directors will possess to issue preferred stock could potentially be used to discourage attempts by third parties to obtain control of Corteva through a merger, tender offer, proxy contest or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60"/>
          </w:cols>
          <w:pgMar w:left="240" w:top="460" w:right="49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otherwise by making such attempts more difficult or more costly. Our board of directors may be able to issue preferred stock with voting rights or conversion rights that, if exercised, could adversely affect the voting power of the holders of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State Takeover Legislation</w:t>
      </w:r>
    </w:p>
    <w:p>
      <w:pPr>
        <w:spacing w:after="0" w:line="117"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Upon the distribution, we will be subject to Section 203 of the DGCL, an anti-takeover statute. In general, Section 203 of the DGCL, subject to certain exceptions set forth therein, prohibits a business combination between a corporation and an interested stockholder within three years of the time such stockholder became an interested stockholder, unless (a) prior to such time, the board of directors of the corporation approved either the business combination or the transaction that resulted in the stockholder becoming an interested stockholder, (b) upon consummation of the transaction that resulted in the stockholder becoming an interested stockholder, the interested stockholder owned at least 85 percent of the voting stock of the corporation outstanding at the time the transaction commenced, exclusive of shares owned by directors who are also officers and by certain employee stock plans or (c) at or subsequent to such time, the business combination is approved by the board of directors and authorized by the affirmative vote at a stockholders’ meeting of at least 66 2/3 percent of the outstanding voting stock which is not owned by the interested stockholder.</w:t>
      </w:r>
    </w:p>
    <w:p>
      <w:pPr>
        <w:spacing w:after="0" w:line="166" w:lineRule="exact"/>
        <w:rPr>
          <w:sz w:val="20"/>
          <w:szCs w:val="20"/>
          <w:color w:val="auto"/>
        </w:rPr>
      </w:pPr>
    </w:p>
    <w:p>
      <w:pPr>
        <w:jc w:val="both"/>
        <w:ind w:left="200" w:right="160"/>
        <w:spacing w:after="0" w:line="259" w:lineRule="auto"/>
        <w:rPr>
          <w:sz w:val="20"/>
          <w:szCs w:val="20"/>
          <w:color w:val="auto"/>
        </w:rPr>
      </w:pPr>
      <w:r>
        <w:rPr>
          <w:rFonts w:ascii="Arial" w:cs="Arial" w:eastAsia="Arial" w:hAnsi="Arial"/>
          <w:sz w:val="18"/>
          <w:szCs w:val="18"/>
          <w:color w:val="auto"/>
        </w:rPr>
        <w:t>Except as otherwise set forth in Section 203 of the DGCL, an interested stockholder is defined to include (i) any person that is the owner of 15 percent or more of the outstanding voting stock of the corporation, or is an affiliate or associate of the corporation and was the owner of 15 percent or more of the outstanding voting stock of the corporation at any time within three years immediately prior to the date of determination; and (ii) the affiliates and associates of any such person.</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provisions of Section 203 of the DGCL may encourage persons interested in acquiring us to negotiate in advance with our board of directors, because the stockholder approval requirement would be avoided if a majority of the directors then in office approve either the business combination or the transaction which results in any such person becoming an interested stockholder. These provisions also may have the effect of preventing changes in our management. It is possible that these provisions could make it more difficult to accomplish transactions which our stockholders may otherwise deem to be in their best interests.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17" w:lineRule="exact"/>
        <w:rPr>
          <w:sz w:val="20"/>
          <w:szCs w:val="20"/>
          <w:color w:val="auto"/>
        </w:rPr>
      </w:pPr>
    </w:p>
    <w:p>
      <w:pPr>
        <w:jc w:val="both"/>
        <w:ind w:left="200" w:right="100"/>
        <w:spacing w:after="0" w:line="302" w:lineRule="auto"/>
        <w:rPr>
          <w:sz w:val="20"/>
          <w:szCs w:val="20"/>
          <w:color w:val="auto"/>
        </w:rPr>
      </w:pPr>
      <w:r>
        <w:rPr>
          <w:rFonts w:ascii="Arial" w:cs="Arial" w:eastAsia="Arial" w:hAnsi="Arial"/>
          <w:sz w:val="16"/>
          <w:szCs w:val="16"/>
          <w:color w:val="auto"/>
        </w:rPr>
        <w:t>Our by-laws will establish advance notice procedures with respect to stockholder proposals and nomination of candidates for election as directors other than nominations made by or at the direction of our board of directors or a committee of our board of directors. Generally, such proposal shall be made not later than the close of business on the 90th day, nor earlier than the close of business on the 120th day in advance of the anniversary of the previous year’s annual meeting. For purposes of the first annual meeting, the anniversary date of our 2019 annual meeting shall be deemed to be June 25, 2020.</w:t>
      </w:r>
    </w:p>
    <w:p>
      <w:pPr>
        <w:spacing w:after="0" w:line="154"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These advance-notice provisions may have the effect of precluding a contest for the election of our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those nominees or proposals might be harmful or beneficial to us and our stockholders.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Size of Our Board of Directors</w:t>
      </w:r>
    </w:p>
    <w:p>
      <w:pPr>
        <w:spacing w:after="0" w:line="117"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Our amended and restated certificate of incorporation and by-laws will provide that the number of directors on our board of directors will be not less than 6, nor more than 16, with the exact number of directors to be fixed exclusively by our board of directors. No decrease in the number of directors may shorten the term of any incumbent director.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00"/>
          </w:cols>
          <w:pgMar w:left="240" w:top="459" w:right="4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Vacancies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Delaware law provides that vacancies and newly created directorships resulting from a resignation or any increase in the authorized number of directors elected by all of the stockholders having the right to vote as a single class may be filled by a majority of the directors then in office, unless the governing documents of a corporation provide otherwise. Our amended and restated certificate of incorporation and our by-laws provide that vacancies occurring in our board of directors for any cause may be filled by vote of a majority of our then-serving board of directors. The remaining directors may elect a successor to hold office for the unexpired term of the director whose place is vacant and until the election of his or her successor.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Liability, Indemnification and Insurance</w:t>
      </w:r>
    </w:p>
    <w:p>
      <w:pPr>
        <w:spacing w:after="0" w:line="12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as directors, and our amended and restated certificate of incorporation will include such an exculpation provision. Under the provisions of our amended and restated certificate of incorporation and by-laws, each of our directors, officers, employees and agents shall be indemnified by us as of right to the full extent permitted by the DGCL.</w:t>
      </w:r>
    </w:p>
    <w:p>
      <w:pPr>
        <w:spacing w:after="0" w:line="187"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Under the DGCL, to the extent that a person is successful on the merits in defense of a suit or proceeding brought against him because he or she is or was one of our directors or officers, he or she shall be indemnified against expenses (including attorneys’ fees) actually and reasonably incurred in connection with such action. If unsuccessful in defense of a third-party civil suit or a criminal suit, or if such a suit is settled, that person shall be indemnified against both (i) expenses, including attorneys’ fees and (ii) judgments, fines and amounts paid in settlement if he or she acted in good faith and in a manner he or she reasonably believed to be in, or not opposed to, our best interests and, with respect to any criminal action, had no reasonable cause to believe his conduct was unlawful. If unsuccessful in defense of a suit brought by or in our right, or if such suit is settled, that person shall be indemnified only against expenses, including attorneys’ fees, incurred in the defense or settlement of the suit if he or she acted in good faith and in a manner he or she reasonably believed to be in, or not opposed to, our best interests, except that if he or she is adjudged to be liable for negligence or misconduct in the performance of his or her duty to us, he or she cannot be made whole even for expenses unless the court determines that he or she is fairly and reasonably entitled to indemnity for such expenses.</w:t>
      </w:r>
    </w:p>
    <w:p>
      <w:pPr>
        <w:spacing w:after="0" w:line="17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Under our amended and restated by-laws, the right to indemnification will include the right to be paid by us the expenses incurred in defending any action, suit or proceeding in advance of its final disposition, subject to the receipt by us of undertakings as may be legally defined. In any action by an indemnitee to enforce a right to indemnification or by us to recover advances made, the burden of proving that the indemnitee is not entitled to be indemnified is placed on us.</w:t>
      </w:r>
    </w:p>
    <w:p>
      <w:pPr>
        <w:spacing w:after="0" w:line="18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We will maintain liability insurance for our directors and officers to provide protection where we cannot legally indemnify a director or officer and where a claim arises under the Employee Retirement Income Security Act of 1974 against a director or officer based on an alleged breach of fiduciary duty or other wrongful act and directors’ and officers’ liability insurance for our directors and officers.</w:t>
      </w:r>
    </w:p>
    <w:p>
      <w:pPr>
        <w:spacing w:after="0" w:line="181" w:lineRule="exact"/>
        <w:rPr>
          <w:sz w:val="20"/>
          <w:szCs w:val="20"/>
          <w:color w:val="auto"/>
        </w:rPr>
      </w:pPr>
    </w:p>
    <w:p>
      <w:pPr>
        <w:ind w:left="200" w:right="140"/>
        <w:spacing w:after="0" w:line="290" w:lineRule="auto"/>
        <w:rPr>
          <w:sz w:val="20"/>
          <w:szCs w:val="20"/>
          <w:color w:val="auto"/>
        </w:rPr>
      </w:pPr>
      <w:r>
        <w:rPr>
          <w:rFonts w:ascii="Arial" w:cs="Arial" w:eastAsia="Arial" w:hAnsi="Arial"/>
          <w:sz w:val="16"/>
          <w:szCs w:val="16"/>
          <w:color w:val="auto"/>
        </w:rPr>
        <w:t>The limitation of liability and indemnification provisions that will be in our amended and restated certificate of incorporation and by-laws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Corteva and our stockholders. However, these provisions will not limit or eliminate our rights, or those of any stockholder, to seek non-monetary relief such as an injunction or rescission in the event of a breach of a director’s duty of care. The provisions will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 There is currently no pending material litigation or proceeding against any of our directors, officers, employees or agents for which indemnification is sought.</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00"/>
          </w:cols>
          <w:pgMar w:left="240" w:top="459" w:right="4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Our amended and restated by-laws will provide that unless we consent in writing to the selection of an alternative forum, the Court of Chancery of the State of Delaware shall be the sole and exclusive forum for (i) any derivative action or proceeding brought on behalf of Corteva, (ii) any action asserting a claim of breach of a fiduciary duty owed by any of our directors, officers or other employees to Corteva or our stockholders, (iii) any action asserting a claim arising pursuant to any provision of the DGCL or (iv) any action asserting a claim governed by the internal affairs doctrine. Our amended and restated by-laws will provide that the exclusive forum provision will not preclude or contract the scope of exclusive federal or concurrent jurisdiction for actions brought under the Exchange Act or the Securities Act or the respective rules and regulations promulgated thereunder.</w:t>
      </w:r>
    </w:p>
    <w:p>
      <w:pPr>
        <w:spacing w:after="0" w:line="16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Our amended and restated by-laws will also provide that we are entitled to equitable relief, including injunctive relief and specific performance, to enforce such provisions regarding forum.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On March 16, 2018, we issued 100 shares of our common stock to DowDuPont pursuant to Section 4(a)(2) of the Securities Act. We did not register the issuance of the shares under the Securities Act because the issuance did not constitute a public offering.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After the distribution, the transfer agent and registrar for our common stock will be Computershare Trust Company, N.A.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shares of common stock will be listed on the NYSE under the symbol “CTVA.”</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20"/>
          </w:cols>
          <w:pgMar w:left="24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We have filed the Form 10 with the SEC with respect to the shares of Corteva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us and Corteva common stock, please refer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www.sec.gov. Information contained on any website referenced in this information statement is not incorporated by reference in this information statement.</w:t>
      </w:r>
    </w:p>
    <w:p>
      <w:pPr>
        <w:spacing w:after="0" w:line="167"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As a result of the distribution, we will become subject to the information and reporting requirements of the Exchange Act and, in accordance with the Exchange Act, we will file periodic reports, proxy statements and other information with the SEC, which will be available on the Internet website maintained by the SEC at www.sec.gov.</w:t>
      </w:r>
    </w:p>
    <w:p>
      <w:pPr>
        <w:spacing w:after="0" w:line="181"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Unless we have received contrary instructions, if multiple DowDuPont stockholders share an address, only one copy of this information statement is being delivered to such address. This practice, known as “householding,” is designed to reduce printing and postage costs.</w:t>
      </w:r>
    </w:p>
    <w:p>
      <w:pPr>
        <w:spacing w:after="0" w:line="14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We undertake to deliver promptly upon written or oral request a separate copy of this information statement to DowDuPont stockholders at a shared address to which a single copy of this information statement was delivered. If you are a registered DowDuPont stockholder, you may request such separate copy by contacting the Office of the Corporate Secretary at 974 Centre Road, Wilmington DE, 19805. If you hold your stock with a bank or broker, you may request such separate copy by contacting Broadridge Financial Solutions, Inc. (Attn: Householding Department) at 51 Mercedes Way, Edgewood, NY 11717 or by calling 1-866-540-7095. If you are a registered DowDuPont stockholder receiving multiple copies at the same address or if you have a number of accounts at a single brokerage firm, you may submit a request to receive a single copy in the future by contacting the Office of the Corporate Secretary. If you hold your stock with a bank or broker, contact Broadridge Financial Solutions, Inc. at the address and telephone number provided above.</w:t>
      </w:r>
    </w:p>
    <w:p>
      <w:pPr>
        <w:spacing w:after="0" w:line="192"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We intend to furnish holders of Corteva common stock with annual reports containing consolidated financial statements prepared in accordance with U.S. generally accepted accounting principles and audited and reported on, with an opinion expressed, by an independent registered public accounting firm.</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240" w:top="460"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CORTEVA INC.</w:t>
      </w:r>
    </w:p>
    <w:p>
      <w:pPr>
        <w:spacing w:after="0" w:line="22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Corteva, Inc. (the “Corporation”) is a wholly owned subsidiary of DowDuPont and was formed on March 16, 2018 to serve as a holding company for Corteva. As of December 31, 2018, the Corporation had engaged in no business operations to date and had no assets or liabilities of any kind, other than those incident to its formation. In the second quarter of 2019, DowDuPont contributed cash to the Corporation and the Corporation subsequently entered into a related party revolving loan of $4.1 billion to E. I. du Pont de Nemours and Company with a variable interest rate of 4.275% (as of the date of this filing), repayable in 5 years.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00"/>
          </w:cols>
          <w:pgMar w:left="240" w:top="460" w:right="45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Materials</w:t>
      </w:r>
    </w:p>
    <w:p>
      <w:pPr>
        <w:sectPr>
          <w:pgSz w:w="11900" w:h="16838" w:orient="portrait"/>
          <w:cols w:equalWidth="0" w:num="1">
            <w:col w:w="11020"/>
          </w:cols>
          <w:pgMar w:left="440" w:top="121" w:right="439" w:bottom="1440" w:gutter="0" w:footer="0" w:header="0"/>
        </w:sectPr>
      </w:pPr>
    </w:p>
    <w:p>
      <w:pPr>
        <w:spacing w:after="0" w:line="329"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DOWDUPONT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652145</wp:posOffset>
            </wp:positionV>
            <wp:extent cx="1612265" cy="283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161226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DOWDUPONT INC.</w:t>
      </w:r>
    </w:p>
    <w:p>
      <w:pPr>
        <w:ind w:left="440"/>
        <w:spacing w:after="0"/>
        <w:rPr>
          <w:sz w:val="20"/>
          <w:szCs w:val="20"/>
          <w:color w:val="auto"/>
        </w:rPr>
      </w:pPr>
      <w:r>
        <w:rPr>
          <w:rFonts w:ascii="Arial" w:cs="Arial" w:eastAsia="Arial" w:hAnsi="Arial"/>
          <w:sz w:val="13"/>
          <w:szCs w:val="13"/>
          <w:color w:val="auto"/>
        </w:rPr>
        <w:t>ATTN: OFFICE OF THE CORPORATE SECRETARY</w:t>
      </w:r>
    </w:p>
    <w:p>
      <w:pPr>
        <w:ind w:left="440"/>
        <w:spacing w:after="0" w:line="221" w:lineRule="auto"/>
        <w:rPr>
          <w:sz w:val="20"/>
          <w:szCs w:val="20"/>
          <w:color w:val="auto"/>
        </w:rPr>
      </w:pPr>
      <w:r>
        <w:rPr>
          <w:rFonts w:ascii="Arial" w:cs="Arial" w:eastAsia="Arial" w:hAnsi="Arial"/>
          <w:sz w:val="14"/>
          <w:szCs w:val="14"/>
          <w:color w:val="auto"/>
        </w:rPr>
        <w:t>974 CENTRE ROAD</w:t>
      </w:r>
    </w:p>
    <w:p>
      <w:pPr>
        <w:ind w:left="440"/>
        <w:spacing w:after="0"/>
        <w:rPr>
          <w:sz w:val="20"/>
          <w:szCs w:val="20"/>
          <w:color w:val="auto"/>
        </w:rPr>
      </w:pPr>
      <w:r>
        <w:rPr>
          <w:rFonts w:ascii="Arial" w:cs="Arial" w:eastAsia="Arial" w:hAnsi="Arial"/>
          <w:sz w:val="14"/>
          <w:szCs w:val="14"/>
          <w:color w:val="auto"/>
        </w:rPr>
        <w:t>WILMINGTON, DE 19805</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You are receiving this communication because you hold shares of DowDuPont Inc. (“DowDuPont”). DowDuPont previously announced that it intends to separate its agriculture business from the remaining specialty products business of DowDuPont. Corteva, Inc. (“Corteva”) is the parent company for DowDuPont’s agriculture business. To effect the separation, DowDuPont will distribute all of the then-issued and outstanding shares of Corteva common stock on a pro rata basis to DowDuPont stockholders as of the close of business on May 24, 2019, the record date for the distribution. Following the distribution, which DowDuPont expects to occur on June 1, 2019, Corteva will be an independent, publicly traded company.</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Important information regarding the separation and distribution is now available for your review (we refer to this information as the “Separation Materials”). The Separation Materials consist of the Information Statement prepared by Corteva in connection with the separation and distribution, plus any supplements thereto. You may view the Separation Materials online at </w:t>
      </w:r>
      <w:r>
        <w:rPr>
          <w:rFonts w:ascii="Arial" w:cs="Arial" w:eastAsia="Arial" w:hAnsi="Arial"/>
          <w:sz w:val="17"/>
          <w:szCs w:val="17"/>
          <w:i w:val="1"/>
          <w:iCs w:val="1"/>
          <w:color w:val="auto"/>
        </w:rPr>
        <w:t>www.materialnotice.com</w:t>
      </w:r>
      <w:r>
        <w:rPr>
          <w:rFonts w:ascii="Arial" w:cs="Arial" w:eastAsia="Arial" w:hAnsi="Arial"/>
          <w:sz w:val="17"/>
          <w:szCs w:val="17"/>
          <w:color w:val="auto"/>
        </w:rPr>
        <w:t xml:space="preserve"> and also may request a paper or e-mail copy (see reverse side).</w:t>
      </w:r>
    </w:p>
    <w:p>
      <w:pPr>
        <w:spacing w:after="0" w:line="17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b w:val="1"/>
          <w:bCs w:val="1"/>
          <w:color w:val="auto"/>
        </w:rPr>
        <w:t xml:space="preserve">This notice provides instructions on how to access the Separation Materials for informational purposes only. It is not a form for voting and presents only an overview of the Separation Materials, which contain important information and are available, free of charge, on the Internet or by mail. We encourage you to access and closely review the Separation Materials and continue to view them online to access any new or updated information. </w:t>
      </w:r>
      <w:r>
        <w:rPr>
          <w:rFonts w:ascii="Arial" w:cs="Arial" w:eastAsia="Arial" w:hAnsi="Arial"/>
          <w:sz w:val="16"/>
          <w:szCs w:val="16"/>
          <w:color w:val="auto"/>
        </w:rPr>
        <w:t>DowDuPont stockholders are</w:t>
      </w:r>
      <w:r>
        <w:rPr>
          <w:rFonts w:ascii="Arial" w:cs="Arial" w:eastAsia="Arial" w:hAnsi="Arial"/>
          <w:sz w:val="16"/>
          <w:szCs w:val="16"/>
          <w:b w:val="1"/>
          <w:bCs w:val="1"/>
          <w:color w:val="auto"/>
        </w:rPr>
        <w:t xml:space="preserve"> </w:t>
      </w:r>
      <w:r>
        <w:rPr>
          <w:rFonts w:ascii="Arial" w:cs="Arial" w:eastAsia="Arial" w:hAnsi="Arial"/>
          <w:sz w:val="16"/>
          <w:szCs w:val="16"/>
          <w:color w:val="auto"/>
        </w:rPr>
        <w:t>not required to vote on the separation, and DowDuPont is not soliciting any proxy or consent authority in connection with the separation and distribution. You do not have to take any action to receive the shares of Corteva common stock in the distribution.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F"/>
        </w:rPr>
        <w:t>See the reverse side for instructions on how to access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-111760</wp:posOffset>
            </wp:positionV>
            <wp:extent cx="3422015" cy="1371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342201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400"/>
          </w:cols>
          <w:pgMar w:left="440" w:top="121" w:right="43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E79503-P26019</w:t>
      </w:r>
    </w:p>
    <w:p>
      <w:pPr>
        <w:sectPr>
          <w:pgSz w:w="11900" w:h="16838" w:orient="portrait"/>
          <w:cols w:equalWidth="0" w:num="1">
            <w:col w:w="11020"/>
          </w:cols>
          <w:pgMar w:left="440" w:top="121" w:right="439" w:bottom="1440" w:gutter="0" w:footer="0" w:header="0"/>
          <w:type w:val="continuous"/>
        </w:sectPr>
      </w:pPr>
    </w:p>
    <w:bookmarkStart w:id="356" w:name="page357"/>
    <w:bookmarkEnd w:id="356"/>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How to Access the Materials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002145" cy="24307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7002145" cy="2430780"/>
                    </a:xfrm>
                    <a:prstGeom prst="rect">
                      <a:avLst/>
                    </a:prstGeom>
                    <a:noFill/>
                  </pic:spPr>
                </pic:pic>
              </a:graphicData>
            </a:graphic>
          </wp:anchor>
        </w:drawing>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Materials Available to VIEW or RECEIVE:</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INFORMATION STATEMENT</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How to View Online:</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337945" cy="11176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1337945" cy="111760"/>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and visit:</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www.materialnotice.com.</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7" w:lineRule="exact"/>
        <w:rPr>
          <w:sz w:val="20"/>
          <w:szCs w:val="20"/>
          <w:color w:val="auto"/>
        </w:rPr>
      </w:pPr>
    </w:p>
    <w:p>
      <w:pPr>
        <w:ind w:left="140"/>
        <w:spacing w:after="0" w:line="250" w:lineRule="auto"/>
        <w:rPr>
          <w:sz w:val="20"/>
          <w:szCs w:val="20"/>
          <w:color w:val="auto"/>
        </w:rPr>
      </w:pPr>
      <w:r>
        <w:rPr>
          <w:rFonts w:ascii="Arial" w:cs="Arial" w:eastAsia="Arial" w:hAnsi="Arial"/>
          <w:sz w:val="18"/>
          <w:szCs w:val="18"/>
          <w:color w:val="auto"/>
        </w:rPr>
        <w:t>If you want to receive a paper or e-mail copy of these materials, you must request one. There is NO charge for requesting a copy. Please choose one of the following methods to make your request:</w:t>
      </w:r>
    </w:p>
    <w:p>
      <w:pPr>
        <w:spacing w:after="0" w:line="1" w:lineRule="exact"/>
        <w:rPr>
          <w:sz w:val="20"/>
          <w:szCs w:val="20"/>
          <w:color w:val="auto"/>
        </w:rPr>
      </w:pPr>
    </w:p>
    <w:p>
      <w:pPr>
        <w:ind w:left="1520" w:hanging="186"/>
        <w:spacing w:after="0"/>
        <w:tabs>
          <w:tab w:leader="none" w:pos="1520" w:val="left"/>
        </w:tabs>
        <w:numPr>
          <w:ilvl w:val="1"/>
          <w:numId w:val="287"/>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6"/>
          <w:szCs w:val="16"/>
          <w:color w:val="auto"/>
        </w:rPr>
        <w:t>www.materialnotice.com</w:t>
      </w:r>
    </w:p>
    <w:p>
      <w:pPr>
        <w:spacing w:after="0" w:line="9" w:lineRule="exact"/>
        <w:rPr>
          <w:rFonts w:ascii="Arial" w:cs="Arial" w:eastAsia="Arial" w:hAnsi="Arial"/>
          <w:sz w:val="18"/>
          <w:szCs w:val="18"/>
          <w:color w:val="auto"/>
        </w:rPr>
      </w:pPr>
    </w:p>
    <w:p>
      <w:pPr>
        <w:ind w:left="1520" w:hanging="186"/>
        <w:spacing w:after="0"/>
        <w:tabs>
          <w:tab w:leader="none" w:pos="1520" w:val="left"/>
        </w:tabs>
        <w:numPr>
          <w:ilvl w:val="1"/>
          <w:numId w:val="28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520" w:hanging="186"/>
        <w:spacing w:after="0"/>
        <w:tabs>
          <w:tab w:leader="none" w:pos="1520" w:val="left"/>
        </w:tabs>
        <w:numPr>
          <w:ilvl w:val="1"/>
          <w:numId w:val="287"/>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sendmaterial@materialnotice.com</w:t>
      </w:r>
    </w:p>
    <w:p>
      <w:pPr>
        <w:spacing w:after="0" w:line="318"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337945" cy="11176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1337945"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E79504-P26019</w:t>
      </w:r>
    </w:p>
    <w:p>
      <w:pPr>
        <w:sectPr>
          <w:pgSz w:w="11900" w:h="16838" w:orient="portrait"/>
          <w:cols w:equalWidth="0" w:num="1">
            <w:col w:w="10780"/>
          </w:cols>
          <w:pgMar w:left="440" w:top="270" w:right="679" w:bottom="1440" w:gutter="0" w:footer="0" w:header="0"/>
        </w:sectPr>
      </w:pPr>
    </w:p>
    <w:bookmarkStart w:id="357" w:name="page358"/>
    <w:bookmarkEnd w:id="3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THIS NOTICE WILL ENABLE YOU TO ACCESS</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MATERIALS FOR INFORMATIONAL PURPOSES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E79505-P26019</w:t>
      </w:r>
    </w:p>
    <w:p>
      <w:pPr>
        <w:sectPr>
          <w:pgSz w:w="11900" w:h="16838" w:orient="portrait"/>
          <w:cols w:equalWidth="0" w:num="1">
            <w:col w:w="10019"/>
          </w:cols>
          <w:pgMar w:left="440" w:top="1440" w:right="1440" w:bottom="1440" w:gutter="0" w:footer="0" w:header="0"/>
        </w:sectPr>
      </w:pPr>
    </w:p>
    <w:bookmarkStart w:id="358" w:name="page359"/>
    <w:bookmarkEnd w:id="358"/>
    <w:p>
      <w:pPr>
        <w:jc w:val="right"/>
        <w:ind w:right="2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PAGE WAS INTENTIONALLY LEFT BLANK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E79506-P26019</w:t>
      </w:r>
    </w:p>
    <w:sectPr>
      <w:pgSz w:w="11900" w:h="16838" w:orient="portrait"/>
      <w:cols w:equalWidth="0" w:num="1">
        <w:col w:w="10019"/>
      </w:cols>
      <w:pgMar w:left="440" w:top="5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9F82CD"/>
    <w:multiLevelType w:val="hybridMultilevel"/>
    <w:lvl w:ilvl="0">
      <w:lvlJc w:val="left"/>
      <w:lvlText w:val="*"/>
      <w:numFmt w:val="bullet"/>
      <w:start w:val="1"/>
    </w:lvl>
  </w:abstractNum>
  <w:abstractNum w:abstractNumId="1">
    <w:nsid w:val="61E74EA3"/>
    <w:multiLevelType w:val="hybridMultilevel"/>
    <w:lvl w:ilvl="0">
      <w:lvlJc w:val="left"/>
      <w:lvlText w:val="**"/>
      <w:numFmt w:val="bullet"/>
      <w:start w:val="1"/>
    </w:lvl>
  </w:abstractNum>
  <w:abstractNum w:abstractNumId="2">
    <w:nsid w:val="597B4D84"/>
    <w:multiLevelType w:val="hybridMultilevel"/>
    <w:lvl w:ilvl="0">
      <w:lvlJc w:val="left"/>
      <w:lvlText w:val="†"/>
      <w:numFmt w:val="bullet"/>
      <w:start w:val="1"/>
    </w:lvl>
  </w:abstractNum>
  <w:abstractNum w:abstractNumId="3">
    <w:nsid w:val="F819E7F"/>
    <w:multiLevelType w:val="hybridMultilevel"/>
    <w:lvl w:ilvl="0">
      <w:lvlJc w:val="left"/>
      <w:lvlText w:val="%1."/>
      <w:numFmt w:val="upperLetter"/>
      <w:start w:val="1"/>
    </w:lvl>
    <w:lvl w:ilvl="1">
      <w:lvlJc w:val="left"/>
      <w:lvlText w:val="%2."/>
      <w:numFmt w:val="decimal"/>
      <w:start w:val="1"/>
    </w:lvl>
  </w:abstractNum>
  <w:abstractNum w:abstractNumId="4">
    <w:nsid w:val="57C7D42D"/>
    <w:multiLevelType w:val="hybridMultilevel"/>
    <w:lvl w:ilvl="0">
      <w:lvlJc w:val="left"/>
      <w:lvlText w:val="%1."/>
      <w:numFmt w:val="upperLetter"/>
      <w:start w:val="3"/>
    </w:lvl>
    <w:lvl w:ilvl="1">
      <w:lvlJc w:val="left"/>
      <w:lvlText w:val="%2."/>
      <w:numFmt w:val="decimal"/>
      <w:start w:val="1"/>
    </w:lvl>
  </w:abstractNum>
  <w:abstractNum w:abstractNumId="5">
    <w:nsid w:val="312167AD"/>
    <w:multiLevelType w:val="hybridMultilevel"/>
    <w:lvl w:ilvl="0">
      <w:lvlJc w:val="left"/>
      <w:lvlText w:val="%1."/>
      <w:numFmt w:val="decimal"/>
      <w:start w:val="2"/>
    </w:lvl>
    <w:lvl w:ilvl="1">
      <w:lvlJc w:val="left"/>
      <w:lvlText w:val="%2."/>
      <w:numFmt w:val="lowerRoman"/>
      <w:start w:val="1"/>
    </w:lvl>
  </w:abstractNum>
  <w:abstractNum w:abstractNumId="6">
    <w:nsid w:val="631B64D4"/>
    <w:multiLevelType w:val="hybridMultilevel"/>
    <w:lvl w:ilvl="0">
      <w:lvlJc w:val="left"/>
      <w:lvlText w:val="%1."/>
      <w:numFmt w:val="lowerRoman"/>
      <w:start w:val="7"/>
    </w:lvl>
  </w:abstractNum>
  <w:abstractNum w:abstractNumId="7">
    <w:nsid w:val="78B5E776"/>
    <w:multiLevelType w:val="hybridMultilevel"/>
    <w:lvl w:ilvl="0">
      <w:lvlJc w:val="left"/>
      <w:lvlText w:val="%1."/>
      <w:numFmt w:val="upperLetter"/>
      <w:start w:val="1"/>
    </w:lvl>
    <w:lvl w:ilvl="1">
      <w:lvlJc w:val="left"/>
      <w:lvlText w:val="%2."/>
      <w:numFmt w:val="decimal"/>
      <w:start w:val="1"/>
    </w:lvl>
  </w:abstractNum>
  <w:abstractNum w:abstractNumId="8">
    <w:nsid w:val="75486E47"/>
    <w:multiLevelType w:val="hybridMultilevel"/>
    <w:lvl w:ilvl="0">
      <w:lvlJc w:val="left"/>
      <w:lvlText w:val="%1."/>
      <w:numFmt w:val="upperLetter"/>
      <w:start w:val="3"/>
    </w:lvl>
  </w:abstractNum>
  <w:abstractNum w:abstractNumId="9">
    <w:nsid w:val="6E534CDE"/>
    <w:multiLevelType w:val="hybridMultilevel"/>
    <w:lvl w:ilvl="0">
      <w:lvlJc w:val="left"/>
      <w:lvlText w:val="%1."/>
      <w:numFmt w:val="upperLetter"/>
      <w:start w:val="1"/>
    </w:lvl>
  </w:abstractNum>
  <w:abstractNum w:abstractNumId="10">
    <w:nsid w:val="1A0DDE32"/>
    <w:multiLevelType w:val="hybridMultilevel"/>
    <w:lvl w:ilvl="0">
      <w:lvlJc w:val="left"/>
      <w:lvlText w:val="%1."/>
      <w:numFmt w:val="upperLetter"/>
      <w:start w:val="1"/>
    </w:lvl>
  </w:abstractNum>
  <w:abstractNum w:abstractNumId="11">
    <w:nsid w:val="65968C1C"/>
    <w:multiLevelType w:val="hybridMultilevel"/>
    <w:lvl w:ilvl="0">
      <w:lvlJc w:val="left"/>
      <w:lvlText w:val="(%1)"/>
      <w:numFmt w:val="lowerLetter"/>
      <w:start w:val="1"/>
    </w:lvl>
  </w:abstractNum>
  <w:abstractNum w:abstractNumId="12">
    <w:nsid w:val="46263DEC"/>
    <w:multiLevelType w:val="hybridMultilevel"/>
    <w:lvl w:ilvl="0">
      <w:lvlJc w:val="left"/>
      <w:lvlText w:val="(%1)"/>
      <w:numFmt w:val="lowerLetter"/>
      <w:start w:val="2"/>
    </w:lvl>
  </w:abstractNum>
  <w:abstractNum w:abstractNumId="13">
    <w:nsid w:val="260D8C4A"/>
    <w:multiLevelType w:val="hybridMultilevel"/>
    <w:lvl w:ilvl="0">
      <w:lvlJc w:val="left"/>
      <w:lvlText w:val="(%1)"/>
      <w:numFmt w:val="lowerLetter"/>
      <w:start w:val="1"/>
    </w:lvl>
    <w:lvl w:ilvl="1">
      <w:lvlJc w:val="left"/>
      <w:lvlText w:val="(%2)"/>
      <w:numFmt w:val="lowerRoman"/>
      <w:start w:val="1"/>
    </w:lvl>
  </w:abstractNum>
  <w:abstractNum w:abstractNumId="14">
    <w:nsid w:val="73D4D3C4"/>
    <w:multiLevelType w:val="hybridMultilevel"/>
    <w:lvl w:ilvl="0">
      <w:lvlJc w:val="left"/>
      <w:lvlText w:val="(%1)"/>
      <w:numFmt w:val="lowerRoman"/>
      <w:start w:val="2"/>
    </w:lvl>
    <w:lvl w:ilvl="1">
      <w:lvlJc w:val="left"/>
      <w:lvlText w:val="(%2)"/>
      <w:numFmt w:val="upperLetter"/>
      <w:start w:val="1"/>
    </w:lvl>
  </w:abstractNum>
  <w:abstractNum w:abstractNumId="15">
    <w:nsid w:val="746F2E30"/>
    <w:multiLevelType w:val="hybridMultilevel"/>
    <w:lvl w:ilvl="0">
      <w:lvlJc w:val="left"/>
      <w:lvlText w:val="(%1)"/>
      <w:numFmt w:val="upperLetter"/>
      <w:start w:val="2"/>
    </w:lvl>
  </w:abstractNum>
  <w:abstractNum w:abstractNumId="16">
    <w:nsid w:val="6FDE8AF6"/>
    <w:multiLevelType w:val="hybridMultilevel"/>
    <w:lvl w:ilvl="0">
      <w:lvlJc w:val="left"/>
      <w:lvlText w:val="(%1)"/>
      <w:numFmt w:val="lowerRoman"/>
      <w:start w:val="3"/>
    </w:lvl>
  </w:abstractNum>
  <w:abstractNum w:abstractNumId="17">
    <w:nsid w:val="3FC32E20"/>
    <w:multiLevelType w:val="hybridMultilevel"/>
    <w:lvl w:ilvl="0">
      <w:lvlJc w:val="left"/>
      <w:lvlText w:val="%1"/>
      <w:numFmt w:val="lowerLetter"/>
      <w:start w:val="1"/>
    </w:lvl>
    <w:lvl w:ilvl="1">
      <w:lvlJc w:val="left"/>
      <w:lvlText w:val="(%2)"/>
      <w:numFmt w:val="lowerRoman"/>
      <w:start w:val="4"/>
    </w:lvl>
  </w:abstractNum>
  <w:abstractNum w:abstractNumId="18">
    <w:nsid w:val="49C0E823"/>
    <w:multiLevelType w:val="hybridMultilevel"/>
    <w:lvl w:ilvl="0">
      <w:lvlJc w:val="left"/>
      <w:lvlText w:val="(%1)"/>
      <w:numFmt w:val="lowerLetter"/>
      <w:start w:val="2"/>
    </w:lvl>
    <w:lvl w:ilvl="1">
      <w:lvlJc w:val="left"/>
      <w:lvlText w:val="(%2)"/>
      <w:numFmt w:val="lowerRoman"/>
      <w:start w:val="1"/>
    </w:lvl>
  </w:abstractNum>
  <w:abstractNum w:abstractNumId="19">
    <w:nsid w:val="14D53685"/>
    <w:multiLevelType w:val="hybridMultilevel"/>
    <w:lvl w:ilvl="0">
      <w:lvlJc w:val="left"/>
      <w:lvlText w:val="(%1)"/>
      <w:numFmt w:val="lowerRoman"/>
      <w:start w:val="2"/>
    </w:lvl>
  </w:abstractNum>
  <w:abstractNum w:abstractNumId="20">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1">
    <w:nsid w:val="6EAA85FB"/>
    <w:multiLevelType w:val="hybridMultilevel"/>
    <w:lvl w:ilvl="0">
      <w:lvlJc w:val="left"/>
      <w:lvlText w:val="(%1)"/>
      <w:numFmt w:val="lowerRoman"/>
      <w:start w:val="2"/>
    </w:lvl>
    <w:lvl w:ilvl="1">
      <w:lvlJc w:val="left"/>
      <w:lvlText w:val="(%2)"/>
      <w:numFmt w:val="upperLetter"/>
      <w:start w:val="1"/>
    </w:lvl>
  </w:abstractNum>
  <w:abstractNum w:abstractNumId="22">
    <w:nsid w:val="3F06ECB2"/>
    <w:multiLevelType w:val="hybridMultilevel"/>
    <w:lvl w:ilvl="0">
      <w:lvlJc w:val="left"/>
      <w:lvlText w:val="(%1)"/>
      <w:numFmt w:val="lowerRoman"/>
      <w:start w:val="3"/>
    </w:lvl>
    <w:lvl w:ilvl="1">
      <w:lvlJc w:val="left"/>
      <w:lvlText w:val="(%2)"/>
      <w:numFmt w:val="upperLetter"/>
      <w:start w:val="1"/>
    </w:lvl>
  </w:abstractNum>
  <w:abstractNum w:abstractNumId="23">
    <w:nsid w:val="3B594807"/>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abstractNum>
  <w:abstractNum w:abstractNumId="24">
    <w:nsid w:val="6CAA2304"/>
    <w:multiLevelType w:val="hybridMultilevel"/>
    <w:lvl w:ilvl="0">
      <w:lvlJc w:val="left"/>
      <w:lvlText w:val="%1"/>
      <w:numFmt w:val="lowerRoman"/>
      <w:start w:val="1"/>
    </w:lvl>
    <w:lvl w:ilvl="1">
      <w:lvlJc w:val="left"/>
      <w:lvlText w:val="(%2)"/>
      <w:numFmt w:val="upperLetter"/>
      <w:start w:val="2"/>
    </w:lvl>
    <w:lvl w:ilvl="2">
      <w:lvlJc w:val="left"/>
      <w:lvlText w:val="%3"/>
      <w:numFmt w:val="lowerLetter"/>
      <w:start w:val="1"/>
    </w:lvl>
  </w:abstractNum>
  <w:abstractNum w:abstractNumId="25">
    <w:nsid w:val="3F7C2FF4"/>
    <w:multiLevelType w:val="hybridMultilevel"/>
    <w:lvl w:ilvl="0">
      <w:lvlJc w:val="left"/>
      <w:lvlText w:val="(%1)"/>
      <w:numFmt w:val="lowerRoman"/>
      <w:start w:val="4"/>
    </w:lvl>
    <w:lvl w:ilvl="1">
      <w:lvlJc w:val="left"/>
      <w:lvlText w:val="(%2)"/>
      <w:numFmt w:val="upperLetter"/>
      <w:start w:val="1"/>
    </w:lvl>
    <w:lvl w:ilvl="2">
      <w:lvlJc w:val="left"/>
      <w:lvlText w:val="%3"/>
      <w:numFmt w:val="lowerLetter"/>
      <w:start w:val="1"/>
    </w:lvl>
  </w:abstractNum>
  <w:abstractNum w:abstractNumId="26">
    <w:nsid w:val="25413BEC"/>
    <w:multiLevelType w:val="hybridMultilevel"/>
    <w:lvl w:ilvl="0">
      <w:lvlJc w:val="left"/>
      <w:lvlText w:val="(%1)"/>
      <w:numFmt w:val="upperLetter"/>
      <w:start w:val="2"/>
    </w:lvl>
  </w:abstractNum>
  <w:abstractNum w:abstractNumId="27">
    <w:nsid w:val="17180B0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8">
    <w:nsid w:val="579328B9"/>
    <w:multiLevelType w:val="hybridMultilevel"/>
    <w:lvl w:ilvl="0">
      <w:lvlJc w:val="left"/>
      <w:lvlText w:val="(%1)"/>
      <w:numFmt w:val="decimal"/>
      <w:start w:val="1"/>
    </w:lvl>
  </w:abstractNum>
  <w:abstractNum w:abstractNumId="29">
    <w:nsid w:val="5D205E20"/>
    <w:multiLevelType w:val="hybridMultilevel"/>
    <w:lvl w:ilvl="0">
      <w:lvlJc w:val="left"/>
      <w:lvlText w:val="(%1)"/>
      <w:numFmt w:val="upperLetter"/>
      <w:start w:val="4"/>
    </w:lvl>
  </w:abstractNum>
  <w:abstractNum w:abstractNumId="30">
    <w:nsid w:val="11CCA8BA"/>
    <w:multiLevelType w:val="hybridMultilevel"/>
    <w:lvl w:ilvl="0">
      <w:lvlJc w:val="left"/>
      <w:lvlText w:val="(%1)"/>
      <w:numFmt w:val="lowerRoman"/>
      <w:start w:val="2"/>
    </w:lvl>
  </w:abstractNum>
  <w:abstractNum w:abstractNumId="31">
    <w:nsid w:val="4D32AB86"/>
    <w:multiLevelType w:val="hybridMultilevel"/>
    <w:lvl w:ilvl="0">
      <w:lvlJc w:val="left"/>
      <w:lvlText w:val="%1"/>
      <w:numFmt w:val="lowerLetter"/>
      <w:start w:val="1"/>
    </w:lvl>
    <w:lvl w:ilvl="1">
      <w:lvlJc w:val="left"/>
      <w:lvlText w:val="(%2)"/>
      <w:numFmt w:val="lowerRoman"/>
      <w:start w:val="3"/>
    </w:lvl>
  </w:abstractNum>
  <w:abstractNum w:abstractNumId="32">
    <w:nsid w:val="3F07ACC3"/>
    <w:multiLevelType w:val="hybridMultilevel"/>
    <w:lvl w:ilvl="0">
      <w:lvlJc w:val="left"/>
      <w:lvlText w:val="(%1)"/>
      <w:numFmt w:val="lowerLetter"/>
      <w:start w:val="4"/>
    </w:lvl>
    <w:lvl w:ilvl="1">
      <w:lvlJc w:val="left"/>
      <w:lvlText w:val="(%2)"/>
      <w:numFmt w:val="lowerRoman"/>
      <w:start w:val="1"/>
    </w:lvl>
  </w:abstractNum>
  <w:abstractNum w:abstractNumId="33">
    <w:nsid w:val="6B47F63E"/>
    <w:multiLevelType w:val="hybridMultilevel"/>
    <w:lvl w:ilvl="0">
      <w:lvlJc w:val="left"/>
      <w:lvlText w:val="%1"/>
      <w:numFmt w:val="lowerRoman"/>
      <w:start w:val="1"/>
    </w:lvl>
    <w:lvl w:ilvl="1">
      <w:lvlJc w:val="left"/>
      <w:lvlText w:val="(%2)"/>
      <w:numFmt w:val="upperLetter"/>
      <w:start w:val="1"/>
    </w:lvl>
  </w:abstractNum>
  <w:abstractNum w:abstractNumId="34">
    <w:nsid w:val="5CB44A05"/>
    <w:multiLevelType w:val="hybridMultilevel"/>
    <w:lvl w:ilvl="0">
      <w:lvlJc w:val="left"/>
      <w:lvlText w:val="(%1)"/>
      <w:numFmt w:val="lowerRoman"/>
      <w:start w:val="2"/>
    </w:lvl>
    <w:lvl w:ilvl="1">
      <w:lvlJc w:val="left"/>
      <w:lvlText w:val="%2"/>
      <w:numFmt w:val="upperLetter"/>
      <w:start w:val="1"/>
    </w:lvl>
  </w:abstractNum>
  <w:abstractNum w:abstractNumId="35">
    <w:nsid w:val="16CF80F1"/>
    <w:multiLevelType w:val="hybridMultilevel"/>
    <w:lvl w:ilvl="0">
      <w:lvlJc w:val="left"/>
      <w:lvlText w:val="(%1)"/>
      <w:numFmt w:val="lowerRoman"/>
      <w:start w:val="3"/>
    </w:lvl>
  </w:abstractNum>
  <w:abstractNum w:abstractNumId="36">
    <w:nsid w:val="1C695DEC"/>
    <w:multiLevelType w:val="hybridMultilevel"/>
    <w:lvl w:ilvl="0">
      <w:lvlJc w:val="left"/>
      <w:lvlText w:val="(%1)"/>
      <w:numFmt w:val="lowerRoman"/>
      <w:start w:val="5"/>
    </w:lvl>
  </w:abstractNum>
  <w:abstractNum w:abstractNumId="37">
    <w:nsid w:val="3FCFAED9"/>
    <w:multiLevelType w:val="hybridMultilevel"/>
    <w:lvl w:ilvl="0">
      <w:lvlJc w:val="left"/>
      <w:lvlText w:val="(%1)"/>
      <w:numFmt w:val="lowerLetter"/>
      <w:start w:val="1"/>
    </w:lvl>
  </w:abstractNum>
  <w:abstractNum w:abstractNumId="38">
    <w:nsid w:val="F856867"/>
    <w:multiLevelType w:val="hybridMultilevel"/>
    <w:lvl w:ilvl="0">
      <w:lvlJc w:val="left"/>
      <w:lvlText w:val="(%1)"/>
      <w:numFmt w:val="lowerLetter"/>
      <w:start w:val="3"/>
    </w:lvl>
  </w:abstractNum>
  <w:abstractNum w:abstractNumId="39">
    <w:nsid w:val="11B1CC33"/>
    <w:multiLevelType w:val="hybridMultilevel"/>
    <w:lvl w:ilvl="0">
      <w:lvlJc w:val="left"/>
      <w:lvlText w:val="(%1)"/>
      <w:numFmt w:val="lowerLetter"/>
      <w:start w:val="1"/>
    </w:lvl>
  </w:abstractNum>
  <w:abstractNum w:abstractNumId="40">
    <w:nsid w:val="2E22FBB7"/>
    <w:multiLevelType w:val="hybridMultilevel"/>
    <w:lvl w:ilvl="0">
      <w:lvlJc w:val="left"/>
      <w:lvlText w:val="(%1)"/>
      <w:numFmt w:val="decimal"/>
      <w:start w:val="1"/>
    </w:lvl>
  </w:abstractNum>
  <w:abstractNum w:abstractNumId="41">
    <w:nsid w:val="29934699"/>
    <w:multiLevelType w:val="hybridMultilevel"/>
    <w:lvl w:ilvl="0">
      <w:lvlJc w:val="left"/>
      <w:lvlText w:val="%1"/>
      <w:numFmt w:val="lowerLetter"/>
      <w:start w:val="1"/>
    </w:lvl>
    <w:lvl w:ilvl="1">
      <w:lvlJc w:val="left"/>
      <w:lvlText w:val="(%2)"/>
      <w:numFmt w:val="decimal"/>
      <w:start w:val="4"/>
    </w:lvl>
  </w:abstractNum>
  <w:abstractNum w:abstractNumId="42">
    <w:nsid w:val="77485850"/>
    <w:multiLevelType w:val="hybridMultilevel"/>
    <w:lvl w:ilvl="0">
      <w:lvlJc w:val="left"/>
      <w:lvlText w:val="(%1)"/>
      <w:numFmt w:val="lowerLetter"/>
      <w:start w:val="9"/>
    </w:lvl>
    <w:lvl w:ilvl="1">
      <w:lvlJc w:val="left"/>
      <w:lvlText w:val="(%2)"/>
      <w:numFmt w:val="decimal"/>
      <w:start w:val="5"/>
    </w:lvl>
  </w:abstractNum>
  <w:abstractNum w:abstractNumId="43">
    <w:nsid w:val="744939A3"/>
    <w:multiLevelType w:val="hybridMultilevel"/>
    <w:lvl w:ilvl="0">
      <w:lvlJc w:val="left"/>
      <w:lvlText w:val="(%1)"/>
      <w:numFmt w:val="lowerLetter"/>
      <w:start w:val="22"/>
    </w:lvl>
    <w:lvl w:ilvl="1">
      <w:lvlJc w:val="left"/>
      <w:lvlText w:val="(%2)"/>
      <w:numFmt w:val="decimal"/>
      <w:start w:val="9"/>
    </w:lvl>
  </w:abstractNum>
  <w:abstractNum w:abstractNumId="44">
    <w:nsid w:val="4FA0D2E3"/>
    <w:multiLevelType w:val="hybridMultilevel"/>
    <w:lvl w:ilvl="0">
      <w:lvlJc w:val="left"/>
      <w:lvlText w:val="(%1)"/>
      <w:numFmt w:val="lowerLetter"/>
      <w:start w:val="2"/>
    </w:lvl>
    <w:lvl w:ilvl="1">
      <w:lvlJc w:val="left"/>
      <w:lvlText w:val="(%2)"/>
      <w:numFmt w:val="decimal"/>
      <w:start w:val="11"/>
    </w:lvl>
  </w:abstractNum>
  <w:abstractNum w:abstractNumId="45">
    <w:nsid w:val="6B1D2C14"/>
    <w:multiLevelType w:val="hybridMultilevel"/>
    <w:lvl w:ilvl="0">
      <w:lvlJc w:val="left"/>
      <w:lvlText w:val="%1"/>
      <w:numFmt w:val="lowerRoman"/>
      <w:start w:val="1"/>
    </w:lvl>
    <w:lvl w:ilvl="1">
      <w:lvlJc w:val="left"/>
      <w:lvlText w:val="(%2)"/>
      <w:numFmt w:val="decimal"/>
      <w:start w:val="12"/>
    </w:lvl>
  </w:abstractNum>
  <w:abstractNum w:abstractNumId="46">
    <w:nsid w:val="68B867D3"/>
    <w:multiLevelType w:val="hybridMultilevel"/>
    <w:lvl w:ilvl="0">
      <w:lvlJc w:val="left"/>
      <w:lvlText w:val="(%1)"/>
      <w:numFmt w:val="lowerRoman"/>
      <w:start w:val="2"/>
    </w:lvl>
    <w:lvl w:ilvl="1">
      <w:lvlJc w:val="left"/>
      <w:lvlText w:val="(%2)"/>
      <w:numFmt w:val="decimal"/>
      <w:start w:val="14"/>
    </w:lvl>
  </w:abstractNum>
  <w:abstractNum w:abstractNumId="47">
    <w:nsid w:val="3F7F5DD9"/>
    <w:multiLevelType w:val="hybridMultilevel"/>
    <w:lvl w:ilvl="0">
      <w:lvlJc w:val="left"/>
      <w:lvlText w:val="%1"/>
      <w:numFmt w:val="lowerRoman"/>
      <w:start w:val="1"/>
    </w:lvl>
    <w:lvl w:ilvl="1">
      <w:lvlJc w:val="left"/>
      <w:lvlText w:val="(%2)"/>
      <w:numFmt w:val="decimal"/>
      <w:start w:val="20"/>
    </w:lvl>
  </w:abstractNum>
  <w:abstractNum w:abstractNumId="48">
    <w:nsid w:val="2AE05A34"/>
    <w:multiLevelType w:val="hybridMultilevel"/>
    <w:lvl w:ilvl="0">
      <w:lvlJc w:val="left"/>
      <w:lvlText w:val="(%1)"/>
      <w:numFmt w:val="lowerRoman"/>
      <w:start w:val="8"/>
    </w:lvl>
    <w:lvl w:ilvl="1">
      <w:lvlJc w:val="left"/>
      <w:lvlText w:val="(%2)"/>
      <w:numFmt w:val="decimal"/>
      <w:start w:val="22"/>
    </w:lvl>
  </w:abstractNum>
  <w:abstractNum w:abstractNumId="49">
    <w:nsid w:val="32794FF7"/>
    <w:multiLevelType w:val="hybridMultilevel"/>
    <w:lvl w:ilvl="0">
      <w:lvlJc w:val="left"/>
      <w:lvlText w:val="(%1)"/>
      <w:numFmt w:val="lowerRoman"/>
      <w:start w:val="1"/>
    </w:lvl>
  </w:abstractNum>
  <w:abstractNum w:abstractNumId="50">
    <w:nsid w:val="5454945E"/>
    <w:multiLevelType w:val="hybridMultilevel"/>
    <w:lvl w:ilvl="0">
      <w:lvlJc w:val="left"/>
      <w:lvlText w:val="(%1)"/>
      <w:numFmt w:val="lowerRoman"/>
      <w:start w:val="5"/>
    </w:lvl>
  </w:abstractNum>
  <w:abstractNum w:abstractNumId="51">
    <w:nsid w:val="4DEFDFA0"/>
    <w:multiLevelType w:val="hybridMultilevel"/>
    <w:lvl w:ilvl="0">
      <w:lvlJc w:val="left"/>
      <w:lvlText w:val="(%1)"/>
      <w:numFmt w:val="decimal"/>
      <w:start w:val="28"/>
    </w:lvl>
  </w:abstractNum>
  <w:abstractNum w:abstractNumId="52">
    <w:nsid w:val="2123D5F2"/>
    <w:multiLevelType w:val="hybridMultilevel"/>
    <w:lvl w:ilvl="0">
      <w:lvlJc w:val="left"/>
      <w:lvlText w:val="%1"/>
      <w:numFmt w:val="lowerRoman"/>
      <w:start w:val="1"/>
    </w:lvl>
    <w:lvl w:ilvl="1">
      <w:lvlJc w:val="left"/>
      <w:lvlText w:val="(%2)"/>
      <w:numFmt w:val="decimal"/>
      <w:start w:val="36"/>
    </w:lvl>
  </w:abstractNum>
  <w:abstractNum w:abstractNumId="53">
    <w:nsid w:val="135B8110"/>
    <w:multiLevelType w:val="hybridMultilevel"/>
    <w:lvl w:ilvl="0">
      <w:lvlJc w:val="left"/>
      <w:lvlText w:val="(%1)"/>
      <w:numFmt w:val="lowerRoman"/>
      <w:start w:val="1"/>
    </w:lvl>
    <w:lvl w:ilvl="1">
      <w:lvlJc w:val="left"/>
      <w:lvlText w:val="%2"/>
      <w:numFmt w:val="decimal"/>
      <w:start w:val="1"/>
    </w:lvl>
  </w:abstractNum>
  <w:abstractNum w:abstractNumId="54">
    <w:nsid w:val="94927A8"/>
    <w:multiLevelType w:val="hybridMultilevel"/>
    <w:lvl w:ilvl="0">
      <w:lvlJc w:val="left"/>
      <w:lvlText w:val="%1"/>
      <w:numFmt w:val="lowerLetter"/>
      <w:start w:val="1"/>
    </w:lvl>
    <w:lvl w:ilvl="1">
      <w:lvlJc w:val="left"/>
      <w:lvlText w:val="(%2)"/>
      <w:numFmt w:val="decimal"/>
      <w:start w:val="48"/>
    </w:lvl>
  </w:abstractNum>
  <w:abstractNum w:abstractNumId="55">
    <w:nsid w:val="DCDF8F6"/>
    <w:multiLevelType w:val="hybridMultilevel"/>
    <w:lvl w:ilvl="0">
      <w:lvlJc w:val="left"/>
      <w:lvlText w:val="(%1)"/>
      <w:numFmt w:val="lowerLetter"/>
      <w:start w:val="2"/>
    </w:lvl>
    <w:lvl w:ilvl="1">
      <w:lvlJc w:val="left"/>
      <w:lvlText w:val="(%2)"/>
      <w:numFmt w:val="decimal"/>
      <w:start w:val="54"/>
    </w:lvl>
  </w:abstractNum>
  <w:abstractNum w:abstractNumId="56">
    <w:nsid w:val="52D7B105"/>
    <w:multiLevelType w:val="hybridMultilevel"/>
    <w:lvl w:ilvl="0">
      <w:lvlJc w:val="left"/>
      <w:lvlText w:val="(%1)"/>
      <w:numFmt w:val="decimal"/>
      <w:start w:val="56"/>
    </w:lvl>
  </w:abstractNum>
  <w:abstractNum w:abstractNumId="57">
    <w:nsid w:val="2E8A6394"/>
    <w:multiLevelType w:val="hybridMultilevel"/>
    <w:lvl w:ilvl="0">
      <w:lvlJc w:val="left"/>
      <w:lvlText w:val="(%1)"/>
      <w:numFmt w:val="lowerLetter"/>
      <w:start w:val="8"/>
    </w:lvl>
  </w:abstractNum>
  <w:abstractNum w:abstractNumId="58">
    <w:nsid w:val="24E60401"/>
    <w:multiLevelType w:val="hybridMultilevel"/>
    <w:lvl w:ilvl="0">
      <w:lvlJc w:val="left"/>
      <w:lvlText w:val="(%1)"/>
      <w:numFmt w:val="lowerLetter"/>
      <w:start w:val="12"/>
    </w:lvl>
  </w:abstractNum>
  <w:abstractNum w:abstractNumId="59">
    <w:nsid w:val="2A6AD9BE"/>
    <w:multiLevelType w:val="hybridMultilevel"/>
    <w:lvl w:ilvl="0">
      <w:lvlJc w:val="left"/>
      <w:lvlText w:val="(%1)"/>
      <w:numFmt w:val="lowerLetter"/>
      <w:start w:val="1"/>
    </w:lvl>
  </w:abstractNum>
  <w:abstractNum w:abstractNumId="60">
    <w:nsid w:val="BAAC1B4"/>
    <w:multiLevelType w:val="hybridMultilevel"/>
    <w:lvl w:ilvl="0">
      <w:lvlJc w:val="left"/>
      <w:lvlText w:val="(%1)"/>
      <w:numFmt w:val="lowerLetter"/>
      <w:start w:val="1"/>
    </w:lvl>
  </w:abstractNum>
  <w:abstractNum w:abstractNumId="61">
    <w:nsid w:val="36B2ACBC"/>
    <w:multiLevelType w:val="hybridMultilevel"/>
    <w:lvl w:ilvl="0">
      <w:lvlJc w:val="left"/>
      <w:lvlText w:val="(%1)"/>
      <w:numFmt w:val="lowerLetter"/>
      <w:start w:val="1"/>
    </w:lvl>
  </w:abstractNum>
  <w:abstractNum w:abstractNumId="62">
    <w:nsid w:val="779D8544"/>
    <w:multiLevelType w:val="hybridMultilevel"/>
    <w:lvl w:ilvl="0">
      <w:lvlJc w:val="left"/>
      <w:lvlText w:val="(%1)"/>
      <w:numFmt w:val="lowerLetter"/>
      <w:start w:val="3"/>
    </w:lvl>
  </w:abstractNum>
  <w:abstractNum w:abstractNumId="63">
    <w:nsid w:val="4AB26E78"/>
    <w:multiLevelType w:val="hybridMultilevel"/>
    <w:lvl w:ilvl="0">
      <w:lvlJc w:val="left"/>
      <w:lvlText w:val="(%1)"/>
      <w:numFmt w:val="lowerLetter"/>
      <w:start w:val="1"/>
    </w:lvl>
    <w:lvl w:ilvl="1">
      <w:lvlJc w:val="left"/>
      <w:lvlText w:val="(%2)"/>
      <w:numFmt w:val="lowerRoman"/>
      <w:start w:val="1"/>
    </w:lvl>
  </w:abstractNum>
  <w:abstractNum w:abstractNumId="64">
    <w:nsid w:val="21FAA2FA"/>
    <w:multiLevelType w:val="hybridMultilevel"/>
    <w:lvl w:ilvl="0">
      <w:lvlJc w:val="left"/>
      <w:lvlText w:val="(%1)"/>
      <w:numFmt w:val="lowerRoman"/>
      <w:start w:val="1"/>
    </w:lvl>
  </w:abstractNum>
  <w:abstractNum w:abstractNumId="65">
    <w:nsid w:val="5451CF4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6">
    <w:nsid w:val="6181EF69"/>
    <w:multiLevelType w:val="hybridMultilevel"/>
    <w:lvl w:ilvl="0">
      <w:lvlJc w:val="left"/>
      <w:lvlText w:val="(%1)"/>
      <w:numFmt w:val="decimal"/>
      <w:start w:val="2"/>
    </w:lvl>
    <w:lvl w:ilvl="1">
      <w:lvlJc w:val="left"/>
      <w:lvlText w:val="(%2)"/>
      <w:numFmt w:val="lowerLetter"/>
      <w:start w:val="5"/>
    </w:lvl>
    <w:lvl w:ilvl="2">
      <w:lvlJc w:val="left"/>
      <w:lvlText w:val="(%3)"/>
      <w:numFmt w:val="lowerRoman"/>
      <w:start w:val="1"/>
    </w:lvl>
  </w:abstractNum>
  <w:abstractNum w:abstractNumId="67">
    <w:nsid w:val="3E6400E6"/>
    <w:multiLevelType w:val="hybridMultilevel"/>
    <w:lvl w:ilvl="0">
      <w:lvlJc w:val="left"/>
      <w:lvlText w:val="(%1)"/>
      <w:numFmt w:val="lowerLetter"/>
      <w:start w:val="6"/>
    </w:lvl>
  </w:abstractNum>
  <w:abstractNum w:abstractNumId="68">
    <w:nsid w:val="14217E23"/>
    <w:multiLevelType w:val="hybridMultilevel"/>
    <w:lvl w:ilvl="0">
      <w:lvlJc w:val="left"/>
      <w:lvlText w:val="(%1)"/>
      <w:numFmt w:val="lowerLetter"/>
      <w:start w:val="1"/>
    </w:lvl>
  </w:abstractNum>
  <w:abstractNum w:abstractNumId="69">
    <w:nsid w:val="710757D0"/>
    <w:multiLevelType w:val="hybridMultilevel"/>
    <w:lvl w:ilvl="0">
      <w:lvlJc w:val="left"/>
      <w:lvlText w:val="(%1)"/>
      <w:numFmt w:val="lowerLetter"/>
      <w:start w:val="2"/>
    </w:lvl>
  </w:abstractNum>
  <w:abstractNum w:abstractNumId="70">
    <w:nsid w:val="5015CD1A"/>
    <w:multiLevelType w:val="hybridMultilevel"/>
    <w:lvl w:ilvl="0">
      <w:lvlJc w:val="left"/>
      <w:lvlText w:val="(%1)"/>
      <w:numFmt w:val="lowerLetter"/>
      <w:start w:val="1"/>
    </w:lvl>
  </w:abstractNum>
  <w:abstractNum w:abstractNumId="71">
    <w:nsid w:val="424479DA"/>
    <w:multiLevelType w:val="hybridMultilevel"/>
    <w:lvl w:ilvl="0">
      <w:lvlJc w:val="left"/>
      <w:lvlText w:val="%1"/>
      <w:numFmt w:val="decimal"/>
      <w:start w:val="1"/>
    </w:lvl>
    <w:lvl w:ilvl="1">
      <w:lvlJc w:val="left"/>
      <w:lvlText w:val="(%2)"/>
      <w:numFmt w:val="lowerLetter"/>
      <w:start w:val="1"/>
    </w:lvl>
  </w:abstractNum>
  <w:abstractNum w:abstractNumId="72">
    <w:nsid w:val="1A9A9E69"/>
    <w:multiLevelType w:val="hybridMultilevel"/>
    <w:lvl w:ilvl="0">
      <w:lvlJc w:val="left"/>
      <w:lvlText w:val="(%1)"/>
      <w:numFmt w:val="decimal"/>
      <w:start w:val="30"/>
    </w:lvl>
    <w:lvl w:ilvl="1">
      <w:lvlJc w:val="left"/>
      <w:lvlText w:val="%2"/>
      <w:numFmt w:val="lowerLetter"/>
      <w:start w:val="1"/>
    </w:lvl>
  </w:abstractNum>
  <w:abstractNum w:abstractNumId="73">
    <w:nsid w:val="475E256A"/>
    <w:multiLevelType w:val="hybridMultilevel"/>
    <w:lvl w:ilvl="0">
      <w:lvlJc w:val="left"/>
      <w:lvlText w:val="(%1)"/>
      <w:numFmt w:val="lowerLetter"/>
      <w:start w:val="2"/>
    </w:lvl>
  </w:abstractNum>
  <w:abstractNum w:abstractNumId="74">
    <w:nsid w:val="368DB37E"/>
    <w:multiLevelType w:val="hybridMultilevel"/>
    <w:lvl w:ilvl="0">
      <w:lvlJc w:val="left"/>
      <w:lvlText w:val="(%1)"/>
      <w:numFmt w:val="lowerLetter"/>
      <w:start w:val="2"/>
    </w:lvl>
  </w:abstractNum>
  <w:abstractNum w:abstractNumId="75">
    <w:nsid w:val="6A3B714C"/>
    <w:multiLevelType w:val="hybridMultilevel"/>
    <w:lvl w:ilvl="0">
      <w:lvlJc w:val="left"/>
      <w:lvlText w:val="(%1)"/>
      <w:numFmt w:val="lowerLetter"/>
      <w:start w:val="1"/>
    </w:lvl>
  </w:abstractNum>
  <w:abstractNum w:abstractNumId="76">
    <w:nsid w:val="327B517E"/>
    <w:multiLevelType w:val="hybridMultilevel"/>
    <w:lvl w:ilvl="0">
      <w:lvlJc w:val="left"/>
      <w:lvlText w:val="(%1)"/>
      <w:numFmt w:val="lowerLetter"/>
      <w:start w:val="3"/>
    </w:lvl>
  </w:abstractNum>
  <w:abstractNum w:abstractNumId="77">
    <w:nsid w:val="1F461B51"/>
    <w:multiLevelType w:val="hybridMultilevel"/>
    <w:lvl w:ilvl="0">
      <w:lvlJc w:val="left"/>
      <w:lvlText w:val="(%1)"/>
      <w:numFmt w:val="lowerLetter"/>
      <w:start w:val="1"/>
    </w:lvl>
  </w:abstractNum>
  <w:abstractNum w:abstractNumId="78">
    <w:nsid w:val="29BACF25"/>
    <w:multiLevelType w:val="hybridMultilevel"/>
    <w:lvl w:ilvl="0">
      <w:lvlJc w:val="left"/>
      <w:lvlText w:val="(%1)"/>
      <w:numFmt w:val="lowerLetter"/>
      <w:start w:val="2"/>
    </w:lvl>
  </w:abstractNum>
  <w:abstractNum w:abstractNumId="79">
    <w:nsid w:val="5D5BABB3"/>
    <w:multiLevelType w:val="hybridMultilevel"/>
    <w:lvl w:ilvl="0">
      <w:lvlJc w:val="left"/>
      <w:lvlText w:val="(%1)"/>
      <w:numFmt w:val="lowerLetter"/>
      <w:start w:val="1"/>
    </w:lvl>
  </w:abstractNum>
  <w:abstractNum w:abstractNumId="80">
    <w:nsid w:val="51BF6B48"/>
    <w:multiLevelType w:val="hybridMultilevel"/>
    <w:lvl w:ilvl="0">
      <w:lvlJc w:val="left"/>
      <w:lvlText w:val="(%1)"/>
      <w:numFmt w:val="lowerLetter"/>
      <w:start w:val="1"/>
    </w:lvl>
  </w:abstractNum>
  <w:abstractNum w:abstractNumId="81">
    <w:nsid w:val="7E0F6384"/>
    <w:multiLevelType w:val="hybridMultilevel"/>
    <w:lvl w:ilvl="0">
      <w:lvlJc w:val="left"/>
      <w:lvlText w:val="(%1)"/>
      <w:numFmt w:val="lowerLetter"/>
      <w:start w:val="1"/>
    </w:lvl>
  </w:abstractNum>
  <w:abstractNum w:abstractNumId="82">
    <w:nsid w:val="2B4B8B53"/>
    <w:multiLevelType w:val="hybridMultilevel"/>
    <w:lvl w:ilvl="0">
      <w:lvlJc w:val="left"/>
      <w:lvlText w:val="(%1)"/>
      <w:numFmt w:val="lowerLetter"/>
      <w:start w:val="1"/>
    </w:lvl>
  </w:abstractNum>
  <w:abstractNum w:abstractNumId="83">
    <w:nsid w:val="72E3413A"/>
    <w:multiLevelType w:val="hybridMultilevel"/>
    <w:lvl w:ilvl="0">
      <w:lvlJc w:val="left"/>
      <w:lvlText w:val="%1"/>
      <w:numFmt w:val="lowerRoman"/>
      <w:start w:val="1"/>
    </w:lvl>
    <w:lvl w:ilvl="1">
      <w:lvlJc w:val="left"/>
      <w:lvlText w:val="(%2)"/>
      <w:numFmt w:val="lowerLetter"/>
      <w:start w:val="7"/>
    </w:lvl>
    <w:lvl w:ilvl="2">
      <w:lvlJc w:val="left"/>
      <w:lvlText w:val="%3"/>
      <w:numFmt w:val="decimal"/>
      <w:start w:val="1"/>
    </w:lvl>
  </w:abstractNum>
  <w:abstractNum w:abstractNumId="84">
    <w:nsid w:val="116AE494"/>
    <w:multiLevelType w:val="hybridMultilevel"/>
    <w:lvl w:ilvl="0">
      <w:lvlJc w:val="left"/>
      <w:lvlText w:val="(%1)"/>
      <w:numFmt w:val="lowerRoman"/>
      <w:start w:val="4"/>
    </w:lvl>
    <w:lvl w:ilvl="1">
      <w:lvlJc w:val="left"/>
      <w:lvlText w:val="(%2)"/>
      <w:numFmt w:val="lowerLetter"/>
      <w:start w:val="12"/>
    </w:lvl>
    <w:lvl w:ilvl="2">
      <w:lvlJc w:val="left"/>
      <w:lvlText w:val="(%3)"/>
      <w:numFmt w:val="decimal"/>
      <w:start w:val="1"/>
    </w:lvl>
  </w:abstractNum>
  <w:abstractNum w:abstractNumId="85">
    <w:nsid w:val="3494B2FB"/>
    <w:multiLevelType w:val="hybridMultilevel"/>
    <w:lvl w:ilvl="0">
      <w:lvlJc w:val="left"/>
      <w:lvlText w:val="(%1)"/>
      <w:numFmt w:val="decimal"/>
      <w:start w:val="3"/>
    </w:lvl>
  </w:abstractNum>
  <w:abstractNum w:abstractNumId="86">
    <w:nsid w:val="B13A31"/>
    <w:multiLevelType w:val="hybridMultilevel"/>
    <w:lvl w:ilvl="0">
      <w:lvlJc w:val="left"/>
      <w:lvlText w:val="(%1)"/>
      <w:numFmt w:val="lowerLetter"/>
      <w:start w:val="13"/>
    </w:lvl>
  </w:abstractNum>
  <w:abstractNum w:abstractNumId="87">
    <w:nsid w:val="64429599"/>
    <w:multiLevelType w:val="hybridMultilevel"/>
    <w:lvl w:ilvl="0">
      <w:lvlJc w:val="left"/>
      <w:lvlText w:val="(%1)"/>
      <w:numFmt w:val="lowerLetter"/>
      <w:start w:val="22"/>
    </w:lvl>
    <w:lvl w:ilvl="1">
      <w:lvlJc w:val="left"/>
      <w:lvlText w:val="(%2)"/>
      <w:numFmt w:val="decimal"/>
      <w:start w:val="1"/>
    </w:lvl>
  </w:abstractNum>
  <w:abstractNum w:abstractNumId="88">
    <w:nsid w:val="631F1690"/>
    <w:multiLevelType w:val="hybridMultilevel"/>
    <w:lvl w:ilvl="0">
      <w:lvlJc w:val="left"/>
      <w:lvlText w:val="(%1)"/>
      <w:numFmt w:val="lowerLetter"/>
      <w:start w:val="27"/>
    </w:lvl>
  </w:abstractNum>
  <w:abstractNum w:abstractNumId="89">
    <w:nsid w:val="25973E32"/>
    <w:multiLevelType w:val="hybridMultilevel"/>
    <w:lvl w:ilvl="0">
      <w:lvlJc w:val="left"/>
      <w:lvlText w:val="(%1)"/>
      <w:numFmt w:val="lowerLetter"/>
      <w:start w:val="28"/>
    </w:lvl>
  </w:abstractNum>
  <w:abstractNum w:abstractNumId="90">
    <w:nsid w:val="EAD6F57"/>
    <w:multiLevelType w:val="hybridMultilevel"/>
    <w:lvl w:ilvl="0">
      <w:lvlJc w:val="left"/>
      <w:lvlText w:val="(%1)"/>
      <w:numFmt w:val="lowerLetter"/>
      <w:start w:val="41"/>
    </w:lvl>
  </w:abstractNum>
  <w:abstractNum w:abstractNumId="91">
    <w:nsid w:val="6EC9D844"/>
    <w:multiLevelType w:val="hybridMultilevel"/>
    <w:lvl w:ilvl="0">
      <w:lvlJc w:val="left"/>
      <w:lvlText w:val="(%1)"/>
      <w:numFmt w:val="lowerLetter"/>
      <w:start w:val="1"/>
    </w:lvl>
    <w:lvl w:ilvl="1">
      <w:lvlJc w:val="left"/>
      <w:lvlText w:val="(%2)"/>
      <w:numFmt w:val="decimal"/>
      <w:start w:val="1"/>
    </w:lvl>
  </w:abstractNum>
  <w:abstractNum w:abstractNumId="92">
    <w:nsid w:val="5C49EAEE"/>
    <w:multiLevelType w:val="hybridMultilevel"/>
    <w:lvl w:ilvl="0">
      <w:lvlJc w:val="left"/>
      <w:lvlText w:val="%1"/>
      <w:numFmt w:val="lowerLetter"/>
      <w:start w:val="1"/>
    </w:lvl>
    <w:lvl w:ilvl="1">
      <w:lvlJc w:val="left"/>
      <w:lvlText w:val="(%2)"/>
      <w:numFmt w:val="decimal"/>
      <w:start w:val="6"/>
    </w:lvl>
  </w:abstractNum>
  <w:abstractNum w:abstractNumId="93">
    <w:nsid w:val="64AF49B"/>
    <w:multiLevelType w:val="hybridMultilevel"/>
    <w:lvl w:ilvl="0">
      <w:lvlJc w:val="left"/>
      <w:lvlText w:val="(%1)"/>
      <w:numFmt w:val="lowerLetter"/>
      <w:start w:val="3"/>
    </w:lvl>
    <w:lvl w:ilvl="1">
      <w:lvlJc w:val="left"/>
      <w:lvlText w:val="%2"/>
      <w:numFmt w:val="decimal"/>
      <w:start w:val="1"/>
    </w:lvl>
  </w:abstractNum>
  <w:abstractNum w:abstractNumId="94">
    <w:nsid w:val="397C46BC"/>
    <w:multiLevelType w:val="hybridMultilevel"/>
    <w:lvl w:ilvl="0">
      <w:lvlJc w:val="left"/>
      <w:lvlText w:val="(%1)"/>
      <w:numFmt w:val="lowerLetter"/>
      <w:start w:val="6"/>
    </w:lvl>
  </w:abstractNum>
  <w:abstractNum w:abstractNumId="95">
    <w:nsid w:val="7E448DE9"/>
    <w:multiLevelType w:val="hybridMultilevel"/>
    <w:lvl w:ilvl="0">
      <w:lvlJc w:val="left"/>
      <w:lvlText w:val="(%1)"/>
      <w:numFmt w:val="lowerLetter"/>
      <w:start w:val="1"/>
    </w:lvl>
  </w:abstractNum>
  <w:abstractNum w:abstractNumId="96">
    <w:nsid w:val="5A9CC3E5"/>
    <w:multiLevelType w:val="hybridMultilevel"/>
    <w:lvl w:ilvl="0">
      <w:lvlJc w:val="left"/>
      <w:lvlText w:val="%1"/>
      <w:numFmt w:val="decimal"/>
      <w:start w:val="1"/>
    </w:lvl>
    <w:lvl w:ilvl="1">
      <w:lvlJc w:val="left"/>
      <w:lvlText w:val="(%2)"/>
      <w:numFmt w:val="lowerLetter"/>
      <w:start w:val="1"/>
    </w:lvl>
  </w:abstractNum>
  <w:abstractNum w:abstractNumId="97">
    <w:nsid w:val="1AFE3625"/>
    <w:multiLevelType w:val="hybridMultilevel"/>
    <w:lvl w:ilvl="0">
      <w:lvlJc w:val="left"/>
      <w:lvlText w:val="(%1)"/>
      <w:numFmt w:val="decimal"/>
      <w:start w:val="10"/>
    </w:lvl>
    <w:lvl w:ilvl="1">
      <w:lvlJc w:val="left"/>
      <w:lvlText w:val="(%2)"/>
      <w:numFmt w:val="lowerLetter"/>
      <w:start w:val="4"/>
    </w:lvl>
  </w:abstractNum>
  <w:abstractNum w:abstractNumId="98">
    <w:nsid w:val="3CA88ECF"/>
    <w:multiLevelType w:val="hybridMultilevel"/>
    <w:lvl w:ilvl="0">
      <w:lvlJc w:val="left"/>
      <w:lvlText w:val="(%1)"/>
      <w:numFmt w:val="lowerLetter"/>
      <w:start w:val="6"/>
    </w:lvl>
    <w:lvl w:ilvl="1">
      <w:lvlJc w:val="left"/>
      <w:lvlText w:val="(%2)"/>
      <w:numFmt w:val="decimal"/>
      <w:start w:val="1"/>
    </w:lvl>
  </w:abstractNum>
  <w:abstractNum w:abstractNumId="99">
    <w:nsid w:val="6EBE4208"/>
    <w:multiLevelType w:val="hybridMultilevel"/>
    <w:lvl w:ilvl="0">
      <w:lvlJc w:val="left"/>
      <w:lvlText w:val="(%1)"/>
      <w:numFmt w:val="lowerLetter"/>
      <w:start w:val="1"/>
    </w:lvl>
    <w:lvl w:ilvl="1">
      <w:lvlJc w:val="left"/>
      <w:lvlText w:val="(%2)"/>
      <w:numFmt w:val="decimal"/>
      <w:start w:val="1"/>
    </w:lvl>
  </w:abstractNum>
  <w:abstractNum w:abstractNumId="100">
    <w:nsid w:val="C058DF5"/>
    <w:multiLevelType w:val="hybridMultilevel"/>
    <w:lvl w:ilvl="0">
      <w:lvlJc w:val="left"/>
      <w:lvlText w:val="%1"/>
      <w:numFmt w:val="lowerLetter"/>
      <w:start w:val="1"/>
    </w:lvl>
    <w:lvl w:ilvl="1">
      <w:lvlJc w:val="left"/>
      <w:lvlText w:val="(%2)"/>
      <w:numFmt w:val="decimal"/>
      <w:start w:val="2"/>
    </w:lvl>
  </w:abstractNum>
  <w:abstractNum w:abstractNumId="101">
    <w:nsid w:val="CBE5BE9"/>
    <w:multiLevelType w:val="hybridMultilevel"/>
    <w:lvl w:ilvl="0">
      <w:lvlJc w:val="left"/>
      <w:lvlText w:val="(%1)"/>
      <w:numFmt w:val="lowerLetter"/>
      <w:start w:val="6"/>
    </w:lvl>
    <w:lvl w:ilvl="1">
      <w:lvlJc w:val="left"/>
      <w:lvlText w:val="(%2)"/>
      <w:numFmt w:val="decimal"/>
      <w:start w:val="1"/>
    </w:lvl>
  </w:abstractNum>
  <w:abstractNum w:abstractNumId="102">
    <w:nsid w:val="3102BBE2"/>
    <w:multiLevelType w:val="hybridMultilevel"/>
    <w:lvl w:ilvl="0">
      <w:lvlJc w:val="left"/>
      <w:lvlText w:val="(%1)"/>
      <w:numFmt w:val="lowerLetter"/>
      <w:start w:val="1"/>
    </w:lvl>
  </w:abstractNum>
  <w:abstractNum w:abstractNumId="103">
    <w:nsid w:val="26A02C5E"/>
    <w:multiLevelType w:val="hybridMultilevel"/>
    <w:lvl w:ilvl="0">
      <w:lvlJc w:val="left"/>
      <w:lvlText w:val="(%1)"/>
      <w:numFmt w:val="lowerLetter"/>
      <w:start w:val="2"/>
    </w:lvl>
    <w:lvl w:ilvl="1">
      <w:lvlJc w:val="left"/>
      <w:lvlText w:val="(%2)"/>
      <w:numFmt w:val="decimal"/>
      <w:start w:val="1"/>
    </w:lvl>
  </w:abstractNum>
  <w:abstractNum w:abstractNumId="104">
    <w:nsid w:val="541C8153"/>
    <w:multiLevelType w:val="hybridMultilevel"/>
    <w:lvl w:ilvl="0">
      <w:lvlJc w:val="left"/>
      <w:lvlText w:val="(%1)"/>
      <w:numFmt w:val="lowerLetter"/>
      <w:start w:val="1"/>
    </w:lvl>
  </w:abstractNum>
  <w:abstractNum w:abstractNumId="105">
    <w:nsid w:val="67906F60"/>
    <w:multiLevelType w:val="hybridMultilevel"/>
    <w:lvl w:ilvl="0">
      <w:lvlJc w:val="left"/>
      <w:lvlText w:val="(%1)"/>
      <w:numFmt w:val="decimal"/>
      <w:start w:val="24"/>
    </w:lvl>
    <w:lvl w:ilvl="1">
      <w:lvlJc w:val="left"/>
      <w:lvlText w:val="(%2)"/>
      <w:numFmt w:val="lowerLetter"/>
      <w:start w:val="2"/>
    </w:lvl>
  </w:abstractNum>
  <w:abstractNum w:abstractNumId="106">
    <w:nsid w:val="10DB9DAA"/>
    <w:multiLevelType w:val="hybridMultilevel"/>
    <w:lvl w:ilvl="0">
      <w:lvlJc w:val="left"/>
      <w:lvlText w:val="(%1)"/>
      <w:numFmt w:val="lowerLetter"/>
      <w:start w:val="1"/>
    </w:lvl>
  </w:abstractNum>
  <w:abstractNum w:abstractNumId="107">
    <w:nsid w:val="697D2D2"/>
    <w:multiLevelType w:val="hybridMultilevel"/>
    <w:lvl w:ilvl="0">
      <w:lvlJc w:val="left"/>
      <w:lvlText w:val="%1)"/>
      <w:numFmt w:val="lowerLetter"/>
      <w:start w:val="1"/>
    </w:lvl>
  </w:abstractNum>
  <w:abstractNum w:abstractNumId="108">
    <w:nsid w:val="6D68AB2"/>
    <w:multiLevelType w:val="hybridMultilevel"/>
    <w:lvl w:ilvl="0">
      <w:lvlJc w:val="left"/>
      <w:lvlText w:val="%1)"/>
      <w:numFmt w:val="lowerLetter"/>
      <w:start w:val="2"/>
    </w:lvl>
  </w:abstractNum>
  <w:abstractNum w:abstractNumId="109">
    <w:nsid w:val="3A966CD0"/>
    <w:multiLevelType w:val="hybridMultilevel"/>
    <w:lvl w:ilvl="0">
      <w:lvlJc w:val="left"/>
      <w:lvlText w:val="%1."/>
      <w:numFmt w:val="upperLetter"/>
      <w:start w:val="1"/>
    </w:lvl>
  </w:abstractNum>
  <w:abstractNum w:abstractNumId="110">
    <w:nsid w:val="63F37E85"/>
    <w:multiLevelType w:val="hybridMultilevel"/>
    <w:lvl w:ilvl="0">
      <w:lvlJc w:val="left"/>
      <w:lvlText w:val="%1."/>
      <w:numFmt w:val="upperLetter"/>
      <w:start w:val="1"/>
    </w:lvl>
    <w:lvl w:ilvl="1">
      <w:lvlJc w:val="left"/>
      <w:lvlText w:val="%2)"/>
      <w:numFmt w:val="lowerLetter"/>
      <w:start w:val="1"/>
    </w:lvl>
  </w:abstractNum>
  <w:abstractNum w:abstractNumId="111">
    <w:nsid w:val="5895F5FA"/>
    <w:multiLevelType w:val="hybridMultilevel"/>
    <w:lvl w:ilvl="0">
      <w:lvlJc w:val="left"/>
      <w:lvlText w:val="%1."/>
      <w:numFmt w:val="upperLetter"/>
      <w:start w:val="3"/>
    </w:lvl>
    <w:lvl w:ilvl="1">
      <w:lvlJc w:val="left"/>
      <w:lvlText w:val="%2)"/>
      <w:numFmt w:val="lowerLetter"/>
      <w:start w:val="1"/>
    </w:lvl>
  </w:abstractNum>
  <w:abstractNum w:abstractNumId="112">
    <w:nsid w:val="38A5D054"/>
    <w:multiLevelType w:val="hybridMultilevel"/>
    <w:lvl w:ilvl="0">
      <w:lvlJc w:val="left"/>
      <w:lvlText w:val="%1."/>
      <w:numFmt w:val="upperLetter"/>
      <w:start w:val="4"/>
    </w:lvl>
    <w:lvl w:ilvl="1">
      <w:lvlJc w:val="left"/>
      <w:lvlText w:val="%2)"/>
      <w:numFmt w:val="lowerLetter"/>
      <w:start w:val="1"/>
    </w:lvl>
  </w:abstractNum>
  <w:abstractNum w:abstractNumId="113">
    <w:nsid w:val="F3F09D8"/>
    <w:multiLevelType w:val="hybridMultilevel"/>
    <w:lvl w:ilvl="0">
      <w:lvlJc w:val="left"/>
      <w:lvlText w:val="%1."/>
      <w:numFmt w:val="upperLetter"/>
      <w:start w:val="1"/>
    </w:lvl>
    <w:lvl w:ilvl="1">
      <w:lvlJc w:val="left"/>
      <w:lvlText w:val="%2)"/>
      <w:numFmt w:val="lowerLetter"/>
      <w:start w:val="1"/>
    </w:lvl>
  </w:abstractNum>
  <w:abstractNum w:abstractNumId="114">
    <w:nsid w:val="4B793735"/>
    <w:multiLevelType w:val="hybridMultilevel"/>
    <w:lvl w:ilvl="0">
      <w:lvlJc w:val="left"/>
      <w:lvlText w:val="%1."/>
      <w:numFmt w:val="upperLetter"/>
      <w:start w:val="1"/>
    </w:lvl>
  </w:abstractNum>
  <w:abstractNum w:abstractNumId="115">
    <w:nsid w:val="4A10B4E8"/>
    <w:multiLevelType w:val="hybridMultilevel"/>
    <w:lvl w:ilvl="0">
      <w:lvlJc w:val="left"/>
      <w:lvlText w:val="%1."/>
      <w:numFmt w:val="upperLetter"/>
      <w:start w:val="4"/>
    </w:lvl>
    <w:lvl w:ilvl="1">
      <w:lvlJc w:val="left"/>
      <w:lvlText w:val="%2)"/>
      <w:numFmt w:val="lowerLetter"/>
      <w:start w:val="1"/>
    </w:lvl>
  </w:abstractNum>
  <w:abstractNum w:abstractNumId="116">
    <w:nsid w:val="43D3BCD4"/>
    <w:multiLevelType w:val="hybridMultilevel"/>
    <w:lvl w:ilvl="0">
      <w:lvlJc w:val="left"/>
      <w:lvlText w:val="%1."/>
      <w:numFmt w:val="upperLetter"/>
      <w:start w:val="1"/>
    </w:lvl>
  </w:abstractNum>
  <w:abstractNum w:abstractNumId="117">
    <w:nsid w:val="4C2A7166"/>
    <w:multiLevelType w:val="hybridMultilevel"/>
    <w:lvl w:ilvl="0">
      <w:lvlJc w:val="left"/>
      <w:lvlText w:val="%1."/>
      <w:numFmt w:val="decimal"/>
      <w:start w:val="1"/>
    </w:lvl>
  </w:abstractNum>
  <w:abstractNum w:abstractNumId="118">
    <w:nsid w:val="2E534A82"/>
    <w:multiLevelType w:val="hybridMultilevel"/>
    <w:lvl w:ilvl="0">
      <w:lvlJc w:val="left"/>
      <w:lvlText w:val="%1."/>
      <w:numFmt w:val="upperLetter"/>
      <w:start w:val="1"/>
    </w:lvl>
  </w:abstractNum>
  <w:abstractNum w:abstractNumId="119">
    <w:nsid w:val="26F2D364"/>
    <w:multiLevelType w:val="hybridMultilevel"/>
    <w:lvl w:ilvl="0">
      <w:lvlJc w:val="left"/>
      <w:lvlText w:val="%1."/>
      <w:numFmt w:val="upperLetter"/>
      <w:start w:val="1"/>
    </w:lvl>
    <w:lvl w:ilvl="1">
      <w:lvlJc w:val="left"/>
      <w:lvlText w:val="%2."/>
      <w:numFmt w:val="decimal"/>
      <w:start w:val="1"/>
    </w:lvl>
  </w:abstractNum>
  <w:abstractNum w:abstractNumId="120">
    <w:nsid w:val="71C1AF98"/>
    <w:multiLevelType w:val="hybridMultilevel"/>
    <w:lvl w:ilvl="0">
      <w:lvlJc w:val="left"/>
      <w:lvlText w:val="%1."/>
      <w:numFmt w:val="upperLetter"/>
      <w:start w:val="5"/>
    </w:lvl>
    <w:lvl w:ilvl="1">
      <w:lvlJc w:val="left"/>
      <w:lvlText w:val="%2)"/>
      <w:numFmt w:val="lowerLetter"/>
      <w:start w:val="1"/>
    </w:lvl>
  </w:abstractNum>
  <w:abstractNum w:abstractNumId="121">
    <w:nsid w:val="3D00B9D9"/>
    <w:multiLevelType w:val="hybridMultilevel"/>
    <w:lvl w:ilvl="0">
      <w:lvlJc w:val="left"/>
      <w:lvlText w:val="%1)"/>
      <w:numFmt w:val="lowerLetter"/>
      <w:start w:val="1"/>
    </w:lvl>
  </w:abstractNum>
  <w:abstractNum w:abstractNumId="122">
    <w:nsid w:val="15BCABA8"/>
    <w:multiLevelType w:val="hybridMultilevel"/>
    <w:lvl w:ilvl="0">
      <w:lvlJc w:val="left"/>
      <w:lvlText w:val="%1."/>
      <w:numFmt w:val="upperLetter"/>
      <w:start w:val="1"/>
    </w:lvl>
  </w:abstractNum>
  <w:abstractNum w:abstractNumId="123">
    <w:nsid w:val="4E0B9A87"/>
    <w:multiLevelType w:val="hybridMultilevel"/>
    <w:lvl w:ilvl="0">
      <w:lvlJc w:val="left"/>
      <w:lvlText w:val="%1."/>
      <w:numFmt w:val="upperLetter"/>
      <w:start w:val="1"/>
    </w:lvl>
  </w:abstractNum>
  <w:abstractNum w:abstractNumId="124">
    <w:nsid w:val="434BAE7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25">
    <w:nsid w:val="4F38F265"/>
    <w:multiLevelType w:val="hybridMultilevel"/>
    <w:lvl w:ilvl="0">
      <w:lvlJc w:val="left"/>
      <w:lvlText w:val="%1."/>
      <w:numFmt w:val="upperLetter"/>
      <w:start w:val="5"/>
    </w:lvl>
  </w:abstractNum>
  <w:abstractNum w:abstractNumId="126">
    <w:nsid w:val="4C502870"/>
    <w:multiLevelType w:val="hybridMultilevel"/>
    <w:lvl w:ilvl="0">
      <w:lvlJc w:val="left"/>
      <w:lvlText w:val="%1."/>
      <w:numFmt w:val="upperLetter"/>
      <w:start w:val="1"/>
    </w:lvl>
  </w:abstractNum>
  <w:abstractNum w:abstractNumId="127">
    <w:nsid w:val="1DE8725A"/>
    <w:multiLevelType w:val="hybridMultilevel"/>
    <w:lvl w:ilvl="0">
      <w:lvlJc w:val="left"/>
      <w:lvlText w:val="%1."/>
      <w:numFmt w:val="upperLetter"/>
      <w:start w:val="4"/>
    </w:lvl>
  </w:abstractNum>
  <w:abstractNum w:abstractNumId="128">
    <w:nsid w:val="6A37288A"/>
    <w:multiLevelType w:val="hybridMultilevel"/>
    <w:lvl w:ilvl="0">
      <w:lvlJc w:val="left"/>
      <w:lvlText w:val="%1)"/>
      <w:numFmt w:val="lowerLetter"/>
      <w:start w:val="1"/>
    </w:lvl>
  </w:abstractNum>
  <w:abstractNum w:abstractNumId="129">
    <w:nsid w:val="8F8B73F"/>
    <w:multiLevelType w:val="hybridMultilevel"/>
    <w:lvl w:ilvl="0">
      <w:lvlJc w:val="left"/>
      <w:lvlText w:val="%1."/>
      <w:numFmt w:val="upperLetter"/>
      <w:start w:val="1"/>
    </w:lvl>
    <w:lvl w:ilvl="1">
      <w:lvlJc w:val="left"/>
      <w:lvlText w:val="%2)"/>
      <w:numFmt w:val="lowerLetter"/>
      <w:start w:val="1"/>
    </w:lvl>
  </w:abstractNum>
  <w:abstractNum w:abstractNumId="130">
    <w:nsid w:val="CA6B462"/>
    <w:multiLevelType w:val="hybridMultilevel"/>
    <w:lvl w:ilvl="0">
      <w:lvlJc w:val="left"/>
      <w:lvlText w:val="%1)"/>
      <w:numFmt w:val="lowerLetter"/>
      <w:start w:val="1"/>
    </w:lvl>
  </w:abstractNum>
  <w:abstractNum w:abstractNumId="131">
    <w:nsid w:val="763CB680"/>
    <w:multiLevelType w:val="hybridMultilevel"/>
    <w:lvl w:ilvl="0">
      <w:lvlJc w:val="left"/>
      <w:lvlText w:val="%1)"/>
      <w:numFmt w:val="lowerLetter"/>
      <w:start w:val="2"/>
    </w:lvl>
  </w:abstractNum>
  <w:abstractNum w:abstractNumId="132">
    <w:nsid w:val="15B71329"/>
    <w:multiLevelType w:val="hybridMultilevel"/>
    <w:lvl w:ilvl="0">
      <w:lvlJc w:val="left"/>
      <w:lvlText w:val="%1."/>
      <w:numFmt w:val="upperLetter"/>
      <w:start w:val="2"/>
    </w:lvl>
  </w:abstractNum>
  <w:abstractNum w:abstractNumId="133">
    <w:nsid w:val="3DA97044"/>
    <w:multiLevelType w:val="hybridMultilevel"/>
    <w:lvl w:ilvl="0">
      <w:lvlJc w:val="left"/>
      <w:lvlText w:val="%1)"/>
      <w:numFmt w:val="lowerLetter"/>
      <w:start w:val="1"/>
    </w:lvl>
  </w:abstractNum>
  <w:abstractNum w:abstractNumId="134">
    <w:nsid w:val="1CDCE2DE"/>
    <w:multiLevelType w:val="hybridMultilevel"/>
    <w:lvl w:ilvl="0">
      <w:lvlJc w:val="left"/>
      <w:lvlText w:val="%1)"/>
      <w:numFmt w:val="lowerLetter"/>
      <w:start w:val="2"/>
    </w:lvl>
  </w:abstractNum>
  <w:abstractNum w:abstractNumId="135">
    <w:nsid w:val="69D3947C"/>
    <w:multiLevelType w:val="hybridMultilevel"/>
    <w:lvl w:ilvl="0">
      <w:lvlJc w:val="left"/>
      <w:lvlText w:val="%1)"/>
      <w:numFmt w:val="lowerLetter"/>
      <w:start w:val="1"/>
    </w:lvl>
  </w:abstractNum>
  <w:abstractNum w:abstractNumId="136">
    <w:nsid w:val="2539DFA5"/>
    <w:multiLevelType w:val="hybridMultilevel"/>
    <w:lvl w:ilvl="0">
      <w:lvlJc w:val="left"/>
      <w:lvlText w:val="%1)"/>
      <w:numFmt w:val="lowerLetter"/>
      <w:start w:val="1"/>
    </w:lvl>
  </w:abstractNum>
  <w:abstractNum w:abstractNumId="137">
    <w:nsid w:val="2DB88089"/>
    <w:multiLevelType w:val="hybridMultilevel"/>
    <w:lvl w:ilvl="0">
      <w:lvlJc w:val="left"/>
      <w:lvlText w:val="%1)"/>
      <w:numFmt w:val="lowerLetter"/>
      <w:start w:val="1"/>
    </w:lvl>
  </w:abstractNum>
  <w:abstractNum w:abstractNumId="138">
    <w:nsid w:val="706B674E"/>
    <w:multiLevelType w:val="hybridMultilevel"/>
    <w:lvl w:ilvl="0">
      <w:lvlJc w:val="left"/>
      <w:lvlText w:val="%1)"/>
      <w:numFmt w:val="lowerLetter"/>
      <w:start w:val="1"/>
    </w:lvl>
  </w:abstractNum>
  <w:abstractNum w:abstractNumId="139">
    <w:nsid w:val="2C106A57"/>
    <w:multiLevelType w:val="hybridMultilevel"/>
    <w:lvl w:ilvl="0">
      <w:lvlJc w:val="left"/>
      <w:lvlText w:val="%1)"/>
      <w:numFmt w:val="lowerLetter"/>
      <w:start w:val="1"/>
    </w:lvl>
  </w:abstractNum>
  <w:abstractNum w:abstractNumId="140">
    <w:nsid w:val="684EED59"/>
    <w:multiLevelType w:val="hybridMultilevel"/>
    <w:lvl w:ilvl="0">
      <w:lvlJc w:val="left"/>
      <w:lvlText w:val="%1)"/>
      <w:numFmt w:val="lowerLetter"/>
      <w:start w:val="2"/>
    </w:lvl>
  </w:abstractNum>
  <w:abstractNum w:abstractNumId="141">
    <w:nsid w:val="545EE5D3"/>
    <w:multiLevelType w:val="hybridMultilevel"/>
    <w:lvl w:ilvl="0">
      <w:lvlJc w:val="left"/>
      <w:lvlText w:val="%1."/>
      <w:numFmt w:val="lowerLetter"/>
      <w:start w:val="1"/>
    </w:lvl>
  </w:abstractNum>
  <w:abstractNum w:abstractNumId="142">
    <w:nsid w:val="4A66051"/>
    <w:multiLevelType w:val="hybridMultilevel"/>
    <w:lvl w:ilvl="0">
      <w:lvlJc w:val="left"/>
      <w:lvlText w:val="%1."/>
      <w:numFmt w:val="lowerLetter"/>
      <w:start w:val="1"/>
    </w:lvl>
  </w:abstractNum>
  <w:abstractNum w:abstractNumId="143">
    <w:nsid w:val="20F4BDAD"/>
    <w:multiLevelType w:val="hybridMultilevel"/>
    <w:lvl w:ilvl="0">
      <w:lvlJc w:val="left"/>
      <w:lvlText w:val="%1."/>
      <w:numFmt w:val="lowerLetter"/>
      <w:start w:val="2"/>
    </w:lvl>
  </w:abstractNum>
  <w:abstractNum w:abstractNumId="144">
    <w:nsid w:val="639DEFAC"/>
    <w:multiLevelType w:val="hybridMultilevel"/>
    <w:lvl w:ilvl="0">
      <w:lvlJc w:val="left"/>
      <w:lvlText w:val="%1."/>
      <w:numFmt w:val="lowerLetter"/>
      <w:start w:val="1"/>
    </w:lvl>
  </w:abstractNum>
  <w:abstractNum w:abstractNumId="145">
    <w:nsid w:val="501F9786"/>
    <w:multiLevelType w:val="hybridMultilevel"/>
    <w:lvl w:ilvl="0">
      <w:lvlJc w:val="left"/>
      <w:lvlText w:val="%1."/>
      <w:numFmt w:val="lowerLetter"/>
      <w:start w:val="1"/>
    </w:lvl>
  </w:abstractNum>
  <w:abstractNum w:abstractNumId="146">
    <w:nsid w:val="6B057295"/>
    <w:multiLevelType w:val="hybridMultilevel"/>
    <w:lvl w:ilvl="0">
      <w:lvlJc w:val="left"/>
      <w:lvlText w:val="(%1)"/>
      <w:numFmt w:val="decimal"/>
      <w:start w:val="4"/>
    </w:lvl>
  </w:abstractNum>
  <w:abstractNum w:abstractNumId="147">
    <w:nsid w:val="2771AC80"/>
    <w:multiLevelType w:val="hybridMultilevel"/>
    <w:lvl w:ilvl="0">
      <w:lvlJc w:val="left"/>
      <w:lvlText w:val="•"/>
      <w:numFmt w:val="bullet"/>
      <w:start w:val="1"/>
    </w:lvl>
  </w:abstractNum>
  <w:abstractNum w:abstractNumId="148">
    <w:nsid w:val="1C4A08EC"/>
    <w:multiLevelType w:val="hybridMultilevel"/>
    <w:lvl w:ilvl="0">
      <w:lvlJc w:val="left"/>
      <w:lvlText w:val="•"/>
      <w:numFmt w:val="bullet"/>
      <w:start w:val="1"/>
    </w:lvl>
  </w:abstractNum>
  <w:abstractNum w:abstractNumId="149">
    <w:nsid w:val="1958BD17"/>
    <w:multiLevelType w:val="hybridMultilevel"/>
    <w:lvl w:ilvl="0">
      <w:lvlJc w:val="left"/>
      <w:lvlText w:val="•"/>
      <w:numFmt w:val="bullet"/>
      <w:start w:val="1"/>
    </w:lvl>
  </w:abstractNum>
  <w:abstractNum w:abstractNumId="150">
    <w:nsid w:val="4E647FE4"/>
    <w:multiLevelType w:val="hybridMultilevel"/>
    <w:lvl w:ilvl="0">
      <w:lvlJc w:val="left"/>
      <w:lvlText w:val="•"/>
      <w:numFmt w:val="bullet"/>
      <w:start w:val="1"/>
    </w:lvl>
  </w:abstractNum>
  <w:abstractNum w:abstractNumId="151">
    <w:nsid w:val="E0BB885"/>
    <w:multiLevelType w:val="hybridMultilevel"/>
    <w:lvl w:ilvl="0">
      <w:lvlJc w:val="left"/>
      <w:lvlText w:val="•"/>
      <w:numFmt w:val="bullet"/>
      <w:start w:val="1"/>
    </w:lvl>
  </w:abstractNum>
  <w:abstractNum w:abstractNumId="152">
    <w:nsid w:val="565976F1"/>
    <w:multiLevelType w:val="hybridMultilevel"/>
    <w:lvl w:ilvl="0">
      <w:lvlJc w:val="left"/>
      <w:lvlText w:val="•"/>
      <w:numFmt w:val="bullet"/>
      <w:start w:val="1"/>
    </w:lvl>
  </w:abstractNum>
  <w:abstractNum w:abstractNumId="153">
    <w:nsid w:val="64212B8C"/>
    <w:multiLevelType w:val="hybridMultilevel"/>
    <w:lvl w:ilvl="0">
      <w:lvlJc w:val="left"/>
      <w:lvlText w:val="•"/>
      <w:numFmt w:val="bullet"/>
      <w:start w:val="1"/>
    </w:lvl>
  </w:abstractNum>
  <w:abstractNum w:abstractNumId="154">
    <w:nsid w:val="5C17530C"/>
    <w:multiLevelType w:val="hybridMultilevel"/>
    <w:lvl w:ilvl="0">
      <w:lvlJc w:val="left"/>
      <w:lvlText w:val="•"/>
      <w:numFmt w:val="bullet"/>
      <w:start w:val="1"/>
    </w:lvl>
  </w:abstractNum>
  <w:abstractNum w:abstractNumId="155">
    <w:nsid w:val="19A52566"/>
    <w:multiLevelType w:val="hybridMultilevel"/>
    <w:lvl w:ilvl="0">
      <w:lvlJc w:val="left"/>
      <w:lvlText w:val="•"/>
      <w:numFmt w:val="bullet"/>
      <w:start w:val="1"/>
    </w:lvl>
  </w:abstractNum>
  <w:abstractNum w:abstractNumId="156">
    <w:nsid w:val="335A1DF1"/>
    <w:multiLevelType w:val="hybridMultilevel"/>
    <w:lvl w:ilvl="0">
      <w:lvlJc w:val="left"/>
      <w:lvlText w:val="•"/>
      <w:numFmt w:val="bullet"/>
      <w:start w:val="1"/>
    </w:lvl>
  </w:abstractNum>
  <w:abstractNum w:abstractNumId="157">
    <w:nsid w:val="28677B7C"/>
    <w:multiLevelType w:val="hybridMultilevel"/>
    <w:lvl w:ilvl="0">
      <w:lvlJc w:val="left"/>
      <w:lvlText w:val="•"/>
      <w:numFmt w:val="bullet"/>
      <w:start w:val="1"/>
    </w:lvl>
  </w:abstractNum>
  <w:abstractNum w:abstractNumId="158">
    <w:nsid w:val="378D97C0"/>
    <w:multiLevelType w:val="hybridMultilevel"/>
    <w:lvl w:ilvl="0">
      <w:lvlJc w:val="left"/>
      <w:lvlText w:val="•"/>
      <w:numFmt w:val="bullet"/>
      <w:start w:val="1"/>
    </w:lvl>
  </w:abstractNum>
  <w:abstractNum w:abstractNumId="159">
    <w:nsid w:val="1D91467C"/>
    <w:multiLevelType w:val="hybridMultilevel"/>
    <w:lvl w:ilvl="0">
      <w:lvlJc w:val="left"/>
      <w:lvlText w:val="•"/>
      <w:numFmt w:val="bullet"/>
      <w:start w:val="1"/>
    </w:lvl>
  </w:abstractNum>
  <w:abstractNum w:abstractNumId="160">
    <w:nsid w:val="316032BB"/>
    <w:multiLevelType w:val="hybridMultilevel"/>
    <w:lvl w:ilvl="0">
      <w:lvlJc w:val="left"/>
      <w:lvlText w:val="•"/>
      <w:numFmt w:val="bullet"/>
      <w:start w:val="1"/>
    </w:lvl>
  </w:abstractNum>
  <w:abstractNum w:abstractNumId="161">
    <w:nsid w:val="44344C22"/>
    <w:multiLevelType w:val="hybridMultilevel"/>
    <w:lvl w:ilvl="0">
      <w:lvlJc w:val="left"/>
      <w:lvlText w:val="•"/>
      <w:numFmt w:val="bullet"/>
      <w:start w:val="1"/>
    </w:lvl>
  </w:abstractNum>
  <w:abstractNum w:abstractNumId="162">
    <w:nsid w:val="13CDFCFC"/>
    <w:multiLevelType w:val="hybridMultilevel"/>
    <w:lvl w:ilvl="0">
      <w:lvlJc w:val="left"/>
      <w:lvlText w:val="•"/>
      <w:numFmt w:val="bullet"/>
      <w:start w:val="1"/>
    </w:lvl>
  </w:abstractNum>
  <w:abstractNum w:abstractNumId="163">
    <w:nsid w:val="471745E4"/>
    <w:multiLevelType w:val="hybridMultilevel"/>
    <w:lvl w:ilvl="0">
      <w:lvlJc w:val="left"/>
      <w:lvlText w:val="•"/>
      <w:numFmt w:val="bullet"/>
      <w:start w:val="1"/>
    </w:lvl>
  </w:abstractNum>
  <w:abstractNum w:abstractNumId="164">
    <w:nsid w:val="1DDBC66"/>
    <w:multiLevelType w:val="hybridMultilevel"/>
    <w:lvl w:ilvl="0">
      <w:lvlJc w:val="left"/>
      <w:lvlText w:val="•"/>
      <w:numFmt w:val="bullet"/>
      <w:start w:val="1"/>
    </w:lvl>
  </w:abstractNum>
  <w:abstractNum w:abstractNumId="165">
    <w:nsid w:val="30AADFDA"/>
    <w:multiLevelType w:val="hybridMultilevel"/>
    <w:lvl w:ilvl="0">
      <w:lvlJc w:val="left"/>
      <w:lvlText w:val="•"/>
      <w:numFmt w:val="bullet"/>
      <w:start w:val="1"/>
    </w:lvl>
  </w:abstractNum>
  <w:abstractNum w:abstractNumId="166">
    <w:nsid w:val="30EADA61"/>
    <w:multiLevelType w:val="hybridMultilevel"/>
    <w:lvl w:ilvl="0">
      <w:lvlJc w:val="left"/>
      <w:lvlText w:val="•"/>
      <w:numFmt w:val="bullet"/>
      <w:start w:val="1"/>
    </w:lvl>
  </w:abstractNum>
  <w:abstractNum w:abstractNumId="167">
    <w:nsid w:val="27179C0B"/>
    <w:multiLevelType w:val="hybridMultilevel"/>
    <w:lvl w:ilvl="0">
      <w:lvlJc w:val="left"/>
      <w:lvlText w:val="•"/>
      <w:numFmt w:val="bullet"/>
      <w:start w:val="1"/>
    </w:lvl>
  </w:abstractNum>
  <w:abstractNum w:abstractNumId="168">
    <w:nsid w:val="5E636063"/>
    <w:multiLevelType w:val="hybridMultilevel"/>
    <w:lvl w:ilvl="0">
      <w:lvlJc w:val="left"/>
      <w:lvlText w:val="•"/>
      <w:numFmt w:val="bullet"/>
      <w:start w:val="1"/>
    </w:lvl>
  </w:abstractNum>
  <w:abstractNum w:abstractNumId="169">
    <w:nsid w:val="215641AF"/>
    <w:multiLevelType w:val="hybridMultilevel"/>
    <w:lvl w:ilvl="0">
      <w:lvlJc w:val="left"/>
      <w:lvlText w:val="•"/>
      <w:numFmt w:val="bullet"/>
      <w:start w:val="1"/>
    </w:lvl>
  </w:abstractNum>
  <w:abstractNum w:abstractNumId="170">
    <w:nsid w:val="53280662"/>
    <w:multiLevelType w:val="hybridMultilevel"/>
    <w:lvl w:ilvl="0">
      <w:lvlJc w:val="left"/>
      <w:lvlText w:val="•"/>
      <w:numFmt w:val="bullet"/>
      <w:start w:val="1"/>
    </w:lvl>
  </w:abstractNum>
  <w:abstractNum w:abstractNumId="171">
    <w:nsid w:val="46B24DBC"/>
    <w:multiLevelType w:val="hybridMultilevel"/>
    <w:lvl w:ilvl="0">
      <w:lvlJc w:val="left"/>
      <w:lvlText w:val="•"/>
      <w:numFmt w:val="bullet"/>
      <w:start w:val="1"/>
    </w:lvl>
  </w:abstractNum>
  <w:abstractNum w:abstractNumId="172">
    <w:nsid w:val="75B52783"/>
    <w:multiLevelType w:val="hybridMultilevel"/>
    <w:lvl w:ilvl="0">
      <w:lvlJc w:val="left"/>
      <w:lvlText w:val="(%1)"/>
      <w:numFmt w:val="decimal"/>
      <w:start w:val="1"/>
    </w:lvl>
  </w:abstractNum>
  <w:abstractNum w:abstractNumId="173">
    <w:nsid w:val="57CE66B4"/>
    <w:multiLevelType w:val="hybridMultilevel"/>
    <w:lvl w:ilvl="0">
      <w:lvlJc w:val="left"/>
      <w:lvlText w:val="•"/>
      <w:numFmt w:val="bullet"/>
      <w:start w:val="1"/>
    </w:lvl>
  </w:abstractNum>
  <w:abstractNum w:abstractNumId="174">
    <w:nsid w:val="67A70B69"/>
    <w:multiLevelType w:val="hybridMultilevel"/>
    <w:lvl w:ilvl="0">
      <w:lvlJc w:val="left"/>
      <w:lvlText w:val="•"/>
      <w:numFmt w:val="bullet"/>
      <w:start w:val="1"/>
    </w:lvl>
  </w:abstractNum>
  <w:abstractNum w:abstractNumId="175">
    <w:nsid w:val="5953172F"/>
    <w:multiLevelType w:val="hybridMultilevel"/>
    <w:lvl w:ilvl="0">
      <w:lvlJc w:val="left"/>
      <w:lvlText w:val="(%1)"/>
      <w:numFmt w:val="decimal"/>
      <w:start w:val="1"/>
    </w:lvl>
  </w:abstractNum>
  <w:abstractNum w:abstractNumId="176">
    <w:nsid w:val="27EDFE3A"/>
    <w:multiLevelType w:val="hybridMultilevel"/>
    <w:lvl w:ilvl="0">
      <w:lvlJc w:val="left"/>
      <w:lvlText w:val="(%1)"/>
      <w:numFmt w:val="decimal"/>
      <w:start w:val="1"/>
    </w:lvl>
  </w:abstractNum>
  <w:abstractNum w:abstractNumId="177">
    <w:nsid w:val="52AC7DFF"/>
    <w:multiLevelType w:val="hybridMultilevel"/>
    <w:lvl w:ilvl="0">
      <w:lvlJc w:val="left"/>
      <w:lvlText w:val="(%1)"/>
      <w:numFmt w:val="decimal"/>
      <w:start w:val="1"/>
    </w:lvl>
  </w:abstractNum>
  <w:abstractNum w:abstractNumId="178">
    <w:nsid w:val="C4C3AF"/>
    <w:multiLevelType w:val="hybridMultilevel"/>
    <w:lvl w:ilvl="0">
      <w:lvlJc w:val="left"/>
      <w:lvlText w:val="(%1)"/>
      <w:numFmt w:val="decimal"/>
      <w:start w:val="1"/>
    </w:lvl>
  </w:abstractNum>
  <w:abstractNum w:abstractNumId="179">
    <w:nsid w:val="44380727"/>
    <w:multiLevelType w:val="hybridMultilevel"/>
    <w:lvl w:ilvl="0">
      <w:lvlJc w:val="left"/>
      <w:lvlText w:val="(%1)"/>
      <w:numFmt w:val="decimal"/>
      <w:start w:val="2"/>
    </w:lvl>
  </w:abstractNum>
  <w:abstractNum w:abstractNumId="180">
    <w:nsid w:val="6C053B16"/>
    <w:multiLevelType w:val="hybridMultilevel"/>
    <w:lvl w:ilvl="0">
      <w:lvlJc w:val="left"/>
      <w:lvlText w:val="(%1)"/>
      <w:numFmt w:val="decimal"/>
      <w:start w:val="1"/>
    </w:lvl>
  </w:abstractNum>
  <w:abstractNum w:abstractNumId="181">
    <w:nsid w:val="4F294393"/>
    <w:multiLevelType w:val="hybridMultilevel"/>
    <w:lvl w:ilvl="0">
      <w:lvlJc w:val="left"/>
      <w:lvlText w:val="(%1)"/>
      <w:numFmt w:val="lowerLetter"/>
      <w:start w:val="1"/>
    </w:lvl>
  </w:abstractNum>
  <w:abstractNum w:abstractNumId="182">
    <w:nsid w:val="5243BFAC"/>
    <w:multiLevelType w:val="hybridMultilevel"/>
    <w:lvl w:ilvl="0">
      <w:lvlJc w:val="left"/>
      <w:lvlText w:val="(%1)"/>
      <w:numFmt w:val="decimal"/>
      <w:start w:val="1"/>
    </w:lvl>
  </w:abstractNum>
  <w:abstractNum w:abstractNumId="183">
    <w:nsid w:val="425EB207"/>
    <w:multiLevelType w:val="hybridMultilevel"/>
    <w:lvl w:ilvl="0">
      <w:lvlJc w:val="left"/>
      <w:lvlText w:val="%1"/>
      <w:numFmt w:val="lowerLetter"/>
      <w:start w:val="1"/>
    </w:lvl>
    <w:lvl w:ilvl="1">
      <w:lvlJc w:val="left"/>
      <w:lvlText w:val="(%2)"/>
      <w:numFmt w:val="decimal"/>
      <w:start w:val="1"/>
    </w:lvl>
  </w:abstractNum>
  <w:abstractNum w:abstractNumId="184">
    <w:nsid w:val="334A6F1F"/>
    <w:multiLevelType w:val="hybridMultilevel"/>
    <w:lvl w:ilvl="0">
      <w:lvlJc w:val="left"/>
      <w:lvlText w:val="(%1)"/>
      <w:numFmt w:val="lowerLetter"/>
      <w:start w:val="2"/>
    </w:lvl>
    <w:lvl w:ilvl="1">
      <w:lvlJc w:val="left"/>
      <w:lvlText w:val="%2"/>
      <w:numFmt w:val="decimal"/>
      <w:start w:val="1"/>
    </w:lvl>
  </w:abstractNum>
  <w:abstractNum w:abstractNumId="185">
    <w:nsid w:val="2E5B12B8"/>
    <w:multiLevelType w:val="hybridMultilevel"/>
    <w:lvl w:ilvl="0">
      <w:lvlJc w:val="left"/>
      <w:lvlText w:val="%1"/>
      <w:numFmt w:val="lowerLetter"/>
      <w:start w:val="1"/>
    </w:lvl>
    <w:lvl w:ilvl="1">
      <w:lvlJc w:val="left"/>
      <w:lvlText w:val="(%2)"/>
      <w:numFmt w:val="decimal"/>
      <w:start w:val="1"/>
    </w:lvl>
  </w:abstractNum>
  <w:abstractNum w:abstractNumId="186">
    <w:nsid w:val="5C03D76D"/>
    <w:multiLevelType w:val="hybridMultilevel"/>
    <w:lvl w:ilvl="0">
      <w:lvlJc w:val="left"/>
      <w:lvlText w:val="(%1)"/>
      <w:numFmt w:val="lowerLetter"/>
      <w:start w:val="8"/>
    </w:lvl>
    <w:lvl w:ilvl="1">
      <w:lvlJc w:val="left"/>
      <w:lvlText w:val="%2"/>
      <w:numFmt w:val="decimal"/>
      <w:start w:val="1"/>
    </w:lvl>
  </w:abstractNum>
  <w:abstractNum w:abstractNumId="187">
    <w:nsid w:val="66A48D11"/>
    <w:multiLevelType w:val="hybridMultilevel"/>
    <w:lvl w:ilvl="0">
      <w:lvlJc w:val="left"/>
      <w:lvlText w:val="%1"/>
      <w:numFmt w:val="lowerRoman"/>
      <w:start w:val="1"/>
    </w:lvl>
    <w:lvl w:ilvl="1">
      <w:lvlJc w:val="left"/>
      <w:lvlText w:val="(%2)"/>
      <w:numFmt w:val="decimal"/>
      <w:start w:val="1"/>
    </w:lvl>
  </w:abstractNum>
  <w:abstractNum w:abstractNumId="188">
    <w:nsid w:val="56C28E34"/>
    <w:multiLevelType w:val="hybridMultilevel"/>
    <w:lvl w:ilvl="0">
      <w:lvlJc w:val="left"/>
      <w:lvlText w:val="(%1)"/>
      <w:numFmt w:val="lowerRoman"/>
      <w:start w:val="1"/>
    </w:lvl>
    <w:lvl w:ilvl="1">
      <w:lvlJc w:val="left"/>
      <w:lvlText w:val="%2"/>
      <w:numFmt w:val="decimal"/>
      <w:start w:val="1"/>
    </w:lvl>
  </w:abstractNum>
  <w:abstractNum w:abstractNumId="189">
    <w:nsid w:val="13916F2D"/>
    <w:multiLevelType w:val="hybridMultilevel"/>
    <w:lvl w:ilvl="0">
      <w:lvlJc w:val="left"/>
      <w:lvlText w:val="(%1)"/>
      <w:numFmt w:val="lowerLetter"/>
      <w:start w:val="10"/>
    </w:lvl>
  </w:abstractNum>
  <w:abstractNum w:abstractNumId="190">
    <w:nsid w:val="435D38D"/>
    <w:multiLevelType w:val="hybridMultilevel"/>
    <w:lvl w:ilvl="0">
      <w:lvlJc w:val="left"/>
      <w:lvlText w:val="(%1)"/>
      <w:numFmt w:val="lowerLetter"/>
      <w:start w:val="11"/>
    </w:lvl>
  </w:abstractNum>
  <w:abstractNum w:abstractNumId="191">
    <w:nsid w:val="822C0EF"/>
    <w:multiLevelType w:val="hybridMultilevel"/>
    <w:lvl w:ilvl="0">
      <w:lvlJc w:val="left"/>
      <w:lvlText w:val="(%1)"/>
      <w:numFmt w:val="lowerLetter"/>
      <w:start w:val="12"/>
    </w:lvl>
  </w:abstractNum>
  <w:abstractNum w:abstractNumId="192">
    <w:nsid w:val="57C5BB4F"/>
    <w:multiLevelType w:val="hybridMultilevel"/>
    <w:lvl w:ilvl="0">
      <w:lvlJc w:val="left"/>
      <w:lvlText w:val="(%1)"/>
      <w:numFmt w:val="decimal"/>
      <w:start w:val="1"/>
    </w:lvl>
  </w:abstractNum>
  <w:abstractNum w:abstractNumId="193">
    <w:nsid w:val="1803D089"/>
    <w:multiLevelType w:val="hybridMultilevel"/>
    <w:lvl w:ilvl="0">
      <w:lvlJc w:val="left"/>
      <w:lvlText w:val="(%1)"/>
      <w:numFmt w:val="lowerLetter"/>
      <w:start w:val="16"/>
    </w:lvl>
  </w:abstractNum>
  <w:abstractNum w:abstractNumId="194">
    <w:nsid w:val="4F3A06D4"/>
    <w:multiLevelType w:val="hybridMultilevel"/>
    <w:lvl w:ilvl="0">
      <w:lvlJc w:val="left"/>
      <w:lvlText w:val="(%1)"/>
      <w:numFmt w:val="lowerLetter"/>
      <w:start w:val="1"/>
    </w:lvl>
  </w:abstractNum>
  <w:abstractNum w:abstractNumId="195">
    <w:nsid w:val="59A377B6"/>
    <w:multiLevelType w:val="hybridMultilevel"/>
    <w:lvl w:ilvl="0">
      <w:lvlJc w:val="left"/>
      <w:lvlText w:val="(%1)"/>
      <w:numFmt w:val="lowerLetter"/>
      <w:start w:val="4"/>
    </w:lvl>
  </w:abstractNum>
  <w:abstractNum w:abstractNumId="196">
    <w:nsid w:val="48AEB063"/>
    <w:multiLevelType w:val="hybridMultilevel"/>
    <w:lvl w:ilvl="0">
      <w:lvlJc w:val="left"/>
      <w:lvlText w:val="(%1)"/>
      <w:numFmt w:val="decimal"/>
      <w:start w:val="1"/>
    </w:lvl>
  </w:abstractNum>
  <w:abstractNum w:abstractNumId="197">
    <w:nsid w:val="24E135"/>
    <w:multiLevelType w:val="hybridMultilevel"/>
    <w:lvl w:ilvl="0">
      <w:lvlJc w:val="left"/>
      <w:lvlText w:val="(%1)"/>
      <w:numFmt w:val="decimal"/>
      <w:start w:val="3"/>
    </w:lvl>
  </w:abstractNum>
  <w:abstractNum w:abstractNumId="198">
    <w:nsid w:val="BB13C1"/>
    <w:multiLevelType w:val="hybridMultilevel"/>
    <w:lvl w:ilvl="0">
      <w:lvlJc w:val="left"/>
      <w:lvlText w:val="•"/>
      <w:numFmt w:val="bullet"/>
      <w:start w:val="1"/>
    </w:lvl>
  </w:abstractNum>
  <w:abstractNum w:abstractNumId="199">
    <w:nsid w:val="271210C7"/>
    <w:multiLevelType w:val="hybridMultilevel"/>
    <w:lvl w:ilvl="0">
      <w:lvlJc w:val="left"/>
      <w:lvlText w:val="(%1)"/>
      <w:numFmt w:val="decimal"/>
      <w:start w:val="1"/>
    </w:lvl>
  </w:abstractNum>
  <w:abstractNum w:abstractNumId="200">
    <w:nsid w:val="217B22E4"/>
    <w:multiLevelType w:val="hybridMultilevel"/>
    <w:lvl w:ilvl="0">
      <w:lvlJc w:val="left"/>
      <w:lvlText w:val="(%1)"/>
      <w:numFmt w:val="decimal"/>
      <w:start w:val="1"/>
    </w:lvl>
  </w:abstractNum>
  <w:abstractNum w:abstractNumId="201">
    <w:nsid w:val="53E31A24"/>
    <w:multiLevelType w:val="hybridMultilevel"/>
    <w:lvl w:ilvl="0">
      <w:lvlJc w:val="left"/>
      <w:lvlText w:val="(%1)"/>
      <w:numFmt w:val="decimal"/>
      <w:start w:val="1"/>
    </w:lvl>
  </w:abstractNum>
  <w:abstractNum w:abstractNumId="202">
    <w:nsid w:val="6DC45E83"/>
    <w:multiLevelType w:val="hybridMultilevel"/>
    <w:lvl w:ilvl="0">
      <w:lvlJc w:val="left"/>
      <w:lvlText w:val="(%1)"/>
      <w:numFmt w:val="decimal"/>
      <w:start w:val="1"/>
    </w:lvl>
  </w:abstractNum>
  <w:abstractNum w:abstractNumId="203">
    <w:nsid w:val="17304A67"/>
    <w:multiLevelType w:val="hybridMultilevel"/>
    <w:lvl w:ilvl="0">
      <w:lvlJc w:val="left"/>
      <w:lvlText w:val="(%1)"/>
      <w:numFmt w:val="decimal"/>
      <w:start w:val="1"/>
    </w:lvl>
  </w:abstractNum>
  <w:abstractNum w:abstractNumId="204">
    <w:nsid w:val="2BB180D8"/>
    <w:multiLevelType w:val="hybridMultilevel"/>
    <w:lvl w:ilvl="0">
      <w:lvlJc w:val="left"/>
      <w:lvlText w:val="(%1)"/>
      <w:numFmt w:val="decimal"/>
      <w:start w:val="2"/>
    </w:lvl>
  </w:abstractNum>
  <w:abstractNum w:abstractNumId="205">
    <w:nsid w:val="556B69ED"/>
    <w:multiLevelType w:val="hybridMultilevel"/>
    <w:lvl w:ilvl="0">
      <w:lvlJc w:val="left"/>
      <w:lvlText w:val="(%1)"/>
      <w:numFmt w:val="lowerLetter"/>
      <w:start w:val="1"/>
    </w:lvl>
  </w:abstractNum>
  <w:abstractNum w:abstractNumId="206">
    <w:nsid w:val="70836196"/>
    <w:multiLevelType w:val="hybridMultilevel"/>
    <w:lvl w:ilvl="0">
      <w:lvlJc w:val="left"/>
      <w:lvlText w:val="%1"/>
      <w:numFmt w:val="lowerLetter"/>
      <w:start w:val="1"/>
    </w:lvl>
    <w:lvl w:ilvl="1">
      <w:lvlJc w:val="left"/>
      <w:lvlText w:val="(%2)"/>
      <w:numFmt w:val="decimal"/>
      <w:start w:val="1"/>
    </w:lvl>
  </w:abstractNum>
  <w:abstractNum w:abstractNumId="207">
    <w:nsid w:val="539F7F12"/>
    <w:multiLevelType w:val="hybridMultilevel"/>
    <w:lvl w:ilvl="0">
      <w:lvlJc w:val="left"/>
      <w:lvlText w:val="(%1)"/>
      <w:numFmt w:val="lowerLetter"/>
      <w:start w:val="2"/>
    </w:lvl>
    <w:lvl w:ilvl="1">
      <w:lvlJc w:val="left"/>
      <w:lvlText w:val="%2"/>
      <w:numFmt w:val="decimal"/>
      <w:start w:val="1"/>
    </w:lvl>
  </w:abstractNum>
  <w:abstractNum w:abstractNumId="208">
    <w:nsid w:val="2817E7EC"/>
    <w:multiLevelType w:val="hybridMultilevel"/>
    <w:lvl w:ilvl="0">
      <w:lvlJc w:val="left"/>
      <w:lvlText w:val="(%1)"/>
      <w:numFmt w:val="lowerLetter"/>
      <w:start w:val="5"/>
    </w:lvl>
  </w:abstractNum>
  <w:abstractNum w:abstractNumId="209">
    <w:nsid w:val="71482545"/>
    <w:multiLevelType w:val="hybridMultilevel"/>
    <w:lvl w:ilvl="0">
      <w:lvlJc w:val="left"/>
      <w:lvlText w:val="(%1)"/>
      <w:numFmt w:val="decimal"/>
      <w:start w:val="1"/>
    </w:lvl>
  </w:abstractNum>
  <w:abstractNum w:abstractNumId="210">
    <w:nsid w:val="17D78639"/>
    <w:multiLevelType w:val="hybridMultilevel"/>
    <w:lvl w:ilvl="0">
      <w:lvlJc w:val="left"/>
      <w:lvlText w:val="(%1)"/>
      <w:numFmt w:val="decimal"/>
      <w:start w:val="1"/>
    </w:lvl>
  </w:abstractNum>
  <w:abstractNum w:abstractNumId="211">
    <w:nsid w:val="141D2302"/>
    <w:multiLevelType w:val="hybridMultilevel"/>
    <w:lvl w:ilvl="0">
      <w:lvlJc w:val="left"/>
      <w:lvlText w:val="(%1)"/>
      <w:numFmt w:val="decimal"/>
      <w:start w:val="1"/>
    </w:lvl>
  </w:abstractNum>
  <w:abstractNum w:abstractNumId="212">
    <w:nsid w:val="407168D8"/>
    <w:multiLevelType w:val="hybridMultilevel"/>
    <w:lvl w:ilvl="0">
      <w:lvlJc w:val="left"/>
      <w:lvlText w:val="•"/>
      <w:numFmt w:val="bullet"/>
      <w:start w:val="1"/>
    </w:lvl>
  </w:abstractNum>
  <w:abstractNum w:abstractNumId="213">
    <w:nsid w:val="6A1B45E5"/>
    <w:multiLevelType w:val="hybridMultilevel"/>
    <w:lvl w:ilvl="0">
      <w:lvlJc w:val="left"/>
      <w:lvlText w:val="•"/>
      <w:numFmt w:val="bullet"/>
      <w:start w:val="1"/>
    </w:lvl>
  </w:abstractNum>
  <w:abstractNum w:abstractNumId="214">
    <w:nsid w:val="567BD50A"/>
    <w:multiLevelType w:val="hybridMultilevel"/>
    <w:lvl w:ilvl="0">
      <w:lvlJc w:val="left"/>
      <w:lvlText w:val="(%1)"/>
      <w:numFmt w:val="decimal"/>
      <w:start w:val="1"/>
    </w:lvl>
  </w:abstractNum>
  <w:abstractNum w:abstractNumId="215">
    <w:nsid w:val="73BBD7F8"/>
    <w:multiLevelType w:val="hybridMultilevel"/>
    <w:lvl w:ilvl="0">
      <w:lvlJc w:val="left"/>
      <w:lvlText w:val="(%1)"/>
      <w:numFmt w:val="decimal"/>
      <w:start w:val="1"/>
    </w:lvl>
  </w:abstractNum>
  <w:abstractNum w:abstractNumId="216">
    <w:nsid w:val="1876589D"/>
    <w:multiLevelType w:val="hybridMultilevel"/>
    <w:lvl w:ilvl="0">
      <w:lvlJc w:val="left"/>
      <w:lvlText w:val="(%1)"/>
      <w:numFmt w:val="decimal"/>
      <w:start w:val="1"/>
    </w:lvl>
  </w:abstractNum>
  <w:abstractNum w:abstractNumId="217">
    <w:nsid w:val="327FAC77"/>
    <w:multiLevelType w:val="hybridMultilevel"/>
    <w:lvl w:ilvl="0">
      <w:lvlJc w:val="left"/>
      <w:lvlText w:val="(%1)"/>
      <w:numFmt w:val="decimal"/>
      <w:start w:val="1"/>
    </w:lvl>
  </w:abstractNum>
  <w:abstractNum w:abstractNumId="218">
    <w:nsid w:val="5A606509"/>
    <w:multiLevelType w:val="hybridMultilevel"/>
    <w:lvl w:ilvl="0">
      <w:lvlJc w:val="left"/>
      <w:lvlText w:val="•"/>
      <w:numFmt w:val="bullet"/>
      <w:start w:val="1"/>
    </w:lvl>
  </w:abstractNum>
  <w:abstractNum w:abstractNumId="219">
    <w:nsid w:val="6F38E6D1"/>
    <w:multiLevelType w:val="hybridMultilevel"/>
    <w:lvl w:ilvl="0">
      <w:lvlJc w:val="left"/>
      <w:lvlText w:val="(%1)"/>
      <w:numFmt w:val="decimal"/>
      <w:start w:val="1"/>
    </w:lvl>
  </w:abstractNum>
  <w:abstractNum w:abstractNumId="220">
    <w:nsid w:val="46111BA5"/>
    <w:multiLevelType w:val="hybridMultilevel"/>
    <w:lvl w:ilvl="0">
      <w:lvlJc w:val="left"/>
      <w:lvlText w:val="(%1)"/>
      <w:numFmt w:val="decimal"/>
      <w:start w:val="2"/>
    </w:lvl>
  </w:abstractNum>
  <w:abstractNum w:abstractNumId="221">
    <w:nsid w:val="5E963896"/>
    <w:multiLevelType w:val="hybridMultilevel"/>
    <w:lvl w:ilvl="0">
      <w:lvlJc w:val="left"/>
      <w:lvlText w:val="(%1)"/>
      <w:numFmt w:val="decimal"/>
      <w:start w:val="3"/>
    </w:lvl>
  </w:abstractNum>
  <w:abstractNum w:abstractNumId="222">
    <w:nsid w:val="775BA7C1"/>
    <w:multiLevelType w:val="hybridMultilevel"/>
    <w:lvl w:ilvl="0">
      <w:lvlJc w:val="left"/>
      <w:lvlText w:val="(%1)"/>
      <w:numFmt w:val="decimal"/>
      <w:start w:val="4"/>
    </w:lvl>
  </w:abstractNum>
  <w:abstractNum w:abstractNumId="223">
    <w:nsid w:val="1DD6D6F4"/>
    <w:multiLevelType w:val="hybridMultilevel"/>
    <w:lvl w:ilvl="0">
      <w:lvlJc w:val="left"/>
      <w:lvlText w:val="(%1)"/>
      <w:numFmt w:val="decimal"/>
      <w:start w:val="1"/>
    </w:lvl>
  </w:abstractNum>
  <w:abstractNum w:abstractNumId="224">
    <w:nsid w:val="769A091F"/>
    <w:multiLevelType w:val="hybridMultilevel"/>
    <w:lvl w:ilvl="0">
      <w:lvlJc w:val="left"/>
      <w:lvlText w:val="(%1)"/>
      <w:numFmt w:val="decimal"/>
      <w:start w:val="2"/>
    </w:lvl>
  </w:abstractNum>
  <w:abstractNum w:abstractNumId="225">
    <w:nsid w:val="4695AE95"/>
    <w:multiLevelType w:val="hybridMultilevel"/>
    <w:lvl w:ilvl="0">
      <w:lvlJc w:val="left"/>
      <w:lvlText w:val="•"/>
      <w:numFmt w:val="bullet"/>
      <w:start w:val="1"/>
    </w:lvl>
  </w:abstractNum>
  <w:abstractNum w:abstractNumId="226">
    <w:nsid w:val="777A4EAA"/>
    <w:multiLevelType w:val="hybridMultilevel"/>
    <w:lvl w:ilvl="0">
      <w:lvlJc w:val="left"/>
      <w:lvlText w:val="(%1)"/>
      <w:numFmt w:val="decimal"/>
      <w:start w:val="3"/>
    </w:lvl>
  </w:abstractNum>
  <w:abstractNum w:abstractNumId="227">
    <w:nsid w:val="3F48B982"/>
    <w:multiLevelType w:val="hybridMultilevel"/>
    <w:lvl w:ilvl="0">
      <w:lvlJc w:val="left"/>
      <w:lvlText w:val="(%1)"/>
      <w:numFmt w:val="decimal"/>
      <w:start w:val="4"/>
    </w:lvl>
  </w:abstractNum>
  <w:abstractNum w:abstractNumId="228">
    <w:nsid w:val="46BA8FCA"/>
    <w:multiLevelType w:val="hybridMultilevel"/>
    <w:lvl w:ilvl="0">
      <w:lvlJc w:val="left"/>
      <w:lvlText w:val="*"/>
      <w:numFmt w:val="bullet"/>
      <w:start w:val="1"/>
    </w:lvl>
  </w:abstractNum>
  <w:abstractNum w:abstractNumId="229">
    <w:nsid w:val="7835626C"/>
    <w:multiLevelType w:val="hybridMultilevel"/>
    <w:lvl w:ilvl="0">
      <w:lvlJc w:val="left"/>
      <w:lvlText w:val="•"/>
      <w:numFmt w:val="bullet"/>
      <w:start w:val="1"/>
    </w:lvl>
  </w:abstractNum>
  <w:abstractNum w:abstractNumId="230">
    <w:nsid w:val="665ACA49"/>
    <w:multiLevelType w:val="hybridMultilevel"/>
    <w:lvl w:ilvl="0">
      <w:lvlJc w:val="left"/>
      <w:lvlText w:val="•"/>
      <w:numFmt w:val="bullet"/>
      <w:start w:val="1"/>
    </w:lvl>
  </w:abstractNum>
  <w:abstractNum w:abstractNumId="231">
    <w:nsid w:val="6835B2AE"/>
    <w:multiLevelType w:val="hybridMultilevel"/>
    <w:lvl w:ilvl="0">
      <w:lvlJc w:val="left"/>
      <w:lvlText w:val="•"/>
      <w:numFmt w:val="bullet"/>
      <w:start w:val="1"/>
    </w:lvl>
  </w:abstractNum>
  <w:abstractNum w:abstractNumId="232">
    <w:nsid w:val="4C187C90"/>
    <w:multiLevelType w:val="hybridMultilevel"/>
    <w:lvl w:ilvl="0">
      <w:lvlJc w:val="left"/>
      <w:lvlText w:val="•"/>
      <w:numFmt w:val="bullet"/>
      <w:start w:val="1"/>
    </w:lvl>
  </w:abstractNum>
  <w:abstractNum w:abstractNumId="233">
    <w:nsid w:val="541F28CD"/>
    <w:multiLevelType w:val="hybridMultilevel"/>
    <w:lvl w:ilvl="0">
      <w:lvlJc w:val="left"/>
      <w:lvlText w:val="•"/>
      <w:numFmt w:val="bullet"/>
      <w:start w:val="1"/>
    </w:lvl>
  </w:abstractNum>
  <w:abstractNum w:abstractNumId="234">
    <w:nsid w:val="7F65FD16"/>
    <w:multiLevelType w:val="hybridMultilevel"/>
    <w:lvl w:ilvl="0">
      <w:lvlJc w:val="left"/>
      <w:lvlText w:val="•"/>
      <w:numFmt w:val="bullet"/>
      <w:start w:val="1"/>
    </w:lvl>
  </w:abstractNum>
  <w:abstractNum w:abstractNumId="235">
    <w:nsid w:val="77C9FD68"/>
    <w:multiLevelType w:val="hybridMultilevel"/>
    <w:lvl w:ilvl="0">
      <w:lvlJc w:val="left"/>
      <w:lvlText w:val="•"/>
      <w:numFmt w:val="bullet"/>
      <w:start w:val="1"/>
    </w:lvl>
  </w:abstractNum>
  <w:abstractNum w:abstractNumId="236">
    <w:nsid w:val="298A92BA"/>
    <w:multiLevelType w:val="hybridMultilevel"/>
    <w:lvl w:ilvl="0">
      <w:lvlJc w:val="left"/>
      <w:lvlText w:val="•"/>
      <w:numFmt w:val="bullet"/>
      <w:start w:val="1"/>
    </w:lvl>
  </w:abstractNum>
  <w:abstractNum w:abstractNumId="237">
    <w:nsid w:val="6FE95EAC"/>
    <w:multiLevelType w:val="hybridMultilevel"/>
    <w:lvl w:ilvl="0">
      <w:lvlJc w:val="left"/>
      <w:lvlText w:val="•"/>
      <w:numFmt w:val="bullet"/>
      <w:start w:val="1"/>
    </w:lvl>
  </w:abstractNum>
  <w:abstractNum w:abstractNumId="238">
    <w:nsid w:val="4B697C7A"/>
    <w:multiLevelType w:val="hybridMultilevel"/>
    <w:lvl w:ilvl="0">
      <w:lvlJc w:val="left"/>
      <w:lvlText w:val="•"/>
      <w:numFmt w:val="bullet"/>
      <w:start w:val="1"/>
    </w:lvl>
  </w:abstractNum>
  <w:abstractNum w:abstractNumId="239">
    <w:nsid w:val="51A27AA6"/>
    <w:multiLevelType w:val="hybridMultilevel"/>
    <w:lvl w:ilvl="0">
      <w:lvlJc w:val="left"/>
      <w:lvlText w:val="•"/>
      <w:numFmt w:val="bullet"/>
      <w:start w:val="1"/>
    </w:lvl>
  </w:abstractNum>
  <w:abstractNum w:abstractNumId="240">
    <w:nsid w:val="613183F2"/>
    <w:multiLevelType w:val="hybridMultilevel"/>
    <w:lvl w:ilvl="0">
      <w:lvlJc w:val="left"/>
      <w:lvlText w:val="•"/>
      <w:numFmt w:val="bullet"/>
      <w:start w:val="1"/>
    </w:lvl>
  </w:abstractNum>
  <w:abstractNum w:abstractNumId="241">
    <w:nsid w:val="634102B4"/>
    <w:multiLevelType w:val="hybridMultilevel"/>
    <w:lvl w:ilvl="0">
      <w:lvlJc w:val="left"/>
      <w:lvlText w:val="•"/>
      <w:numFmt w:val="bullet"/>
      <w:start w:val="1"/>
    </w:lvl>
  </w:abstractNum>
  <w:abstractNum w:abstractNumId="242">
    <w:nsid w:val="65BF9DA8"/>
    <w:multiLevelType w:val="hybridMultilevel"/>
    <w:lvl w:ilvl="0">
      <w:lvlJc w:val="left"/>
      <w:lvlText w:val="•"/>
      <w:numFmt w:val="bullet"/>
      <w:start w:val="1"/>
    </w:lvl>
  </w:abstractNum>
  <w:abstractNum w:abstractNumId="243">
    <w:nsid w:val="21A2ECCA"/>
    <w:multiLevelType w:val="hybridMultilevel"/>
    <w:lvl w:ilvl="0">
      <w:lvlJc w:val="left"/>
      <w:lvlText w:val="•"/>
      <w:numFmt w:val="bullet"/>
      <w:start w:val="1"/>
    </w:lvl>
  </w:abstractNum>
  <w:abstractNum w:abstractNumId="244">
    <w:nsid w:val="4D5C4899"/>
    <w:multiLevelType w:val="hybridMultilevel"/>
    <w:lvl w:ilvl="0">
      <w:lvlJc w:val="left"/>
      <w:lvlText w:val="(%1)"/>
      <w:numFmt w:val="decimal"/>
      <w:start w:val="1"/>
    </w:lvl>
  </w:abstractNum>
  <w:abstractNum w:abstractNumId="245">
    <w:nsid w:val="3C3B72B2"/>
    <w:multiLevelType w:val="hybridMultilevel"/>
    <w:lvl w:ilvl="0">
      <w:lvlJc w:val="left"/>
      <w:lvlText w:val="(%1)"/>
      <w:numFmt w:val="decimal"/>
      <w:start w:val="1"/>
    </w:lvl>
  </w:abstractNum>
  <w:abstractNum w:abstractNumId="246">
    <w:nsid w:val="155EC4C2"/>
    <w:multiLevelType w:val="hybridMultilevel"/>
    <w:lvl w:ilvl="0">
      <w:lvlJc w:val="left"/>
      <w:lvlText w:val="•"/>
      <w:numFmt w:val="bullet"/>
      <w:start w:val="1"/>
    </w:lvl>
  </w:abstractNum>
  <w:abstractNum w:abstractNumId="247">
    <w:nsid w:val="65D2A137"/>
    <w:multiLevelType w:val="hybridMultilevel"/>
    <w:lvl w:ilvl="0">
      <w:lvlJc w:val="left"/>
      <w:lvlText w:val="(%1)"/>
      <w:numFmt w:val="decimal"/>
      <w:start w:val="1"/>
    </w:lvl>
  </w:abstractNum>
  <w:abstractNum w:abstractNumId="248">
    <w:nsid w:val="6EBB1F2A"/>
    <w:multiLevelType w:val="hybridMultilevel"/>
    <w:lvl w:ilvl="0">
      <w:lvlJc w:val="left"/>
      <w:lvlText w:val="•"/>
      <w:numFmt w:val="bullet"/>
      <w:start w:val="1"/>
    </w:lvl>
  </w:abstractNum>
  <w:abstractNum w:abstractNumId="249">
    <w:nsid w:val="6FBF29CB"/>
    <w:multiLevelType w:val="hybridMultilevel"/>
    <w:lvl w:ilvl="0">
      <w:lvlJc w:val="left"/>
      <w:lvlText w:val="(%1)"/>
      <w:numFmt w:val="decimal"/>
      <w:start w:val="1"/>
    </w:lvl>
  </w:abstractNum>
  <w:abstractNum w:abstractNumId="250">
    <w:nsid w:val="550B8808"/>
    <w:multiLevelType w:val="hybridMultilevel"/>
    <w:lvl w:ilvl="0">
      <w:lvlJc w:val="left"/>
      <w:lvlText w:val="•"/>
      <w:numFmt w:val="bullet"/>
      <w:start w:val="1"/>
    </w:lvl>
  </w:abstractNum>
  <w:abstractNum w:abstractNumId="251">
    <w:nsid w:val="34CC3ACF"/>
    <w:multiLevelType w:val="hybridMultilevel"/>
    <w:lvl w:ilvl="0">
      <w:lvlJc w:val="left"/>
      <w:lvlText w:val="•"/>
      <w:numFmt w:val="bullet"/>
      <w:start w:val="1"/>
    </w:lvl>
  </w:abstractNum>
  <w:abstractNum w:abstractNumId="252">
    <w:nsid w:val="4E556261"/>
    <w:multiLevelType w:val="hybridMultilevel"/>
    <w:lvl w:ilvl="0">
      <w:lvlJc w:val="left"/>
      <w:lvlText w:val="•"/>
      <w:numFmt w:val="bullet"/>
      <w:start w:val="1"/>
    </w:lvl>
  </w:abstractNum>
  <w:abstractNum w:abstractNumId="253">
    <w:nsid w:val="4C672FC9"/>
    <w:multiLevelType w:val="hybridMultilevel"/>
    <w:lvl w:ilvl="0">
      <w:lvlJc w:val="left"/>
      <w:lvlText w:val="•"/>
      <w:numFmt w:val="bullet"/>
      <w:start w:val="1"/>
    </w:lvl>
  </w:abstractNum>
  <w:abstractNum w:abstractNumId="254">
    <w:nsid w:val="52A311C3"/>
    <w:multiLevelType w:val="hybridMultilevel"/>
    <w:lvl w:ilvl="0">
      <w:lvlJc w:val="left"/>
      <w:lvlText w:val="•"/>
      <w:numFmt w:val="bullet"/>
      <w:start w:val="1"/>
    </w:lvl>
  </w:abstractNum>
  <w:abstractNum w:abstractNumId="255">
    <w:nsid w:val="44EF6B80"/>
    <w:multiLevelType w:val="hybridMultilevel"/>
    <w:lvl w:ilvl="0">
      <w:lvlJc w:val="left"/>
      <w:lvlText w:val="•"/>
      <w:numFmt w:val="bullet"/>
      <w:start w:val="1"/>
    </w:lvl>
  </w:abstractNum>
  <w:abstractNum w:abstractNumId="256">
    <w:nsid w:val="12FCDE5E"/>
    <w:multiLevelType w:val="hybridMultilevel"/>
    <w:lvl w:ilvl="0">
      <w:lvlJc w:val="left"/>
      <w:lvlText w:val="•"/>
      <w:numFmt w:val="bullet"/>
      <w:start w:val="1"/>
    </w:lvl>
  </w:abstractNum>
  <w:abstractNum w:abstractNumId="257">
    <w:nsid w:val="4A1D606E"/>
    <w:multiLevelType w:val="hybridMultilevel"/>
    <w:lvl w:ilvl="0">
      <w:lvlJc w:val="left"/>
      <w:lvlText w:val="(%1)"/>
      <w:numFmt w:val="lowerLetter"/>
      <w:start w:val="1"/>
    </w:lvl>
  </w:abstractNum>
  <w:abstractNum w:abstractNumId="258">
    <w:nsid w:val="4382503"/>
    <w:multiLevelType w:val="hybridMultilevel"/>
    <w:lvl w:ilvl="0">
      <w:lvlJc w:val="left"/>
      <w:lvlText w:val="(%1)"/>
      <w:numFmt w:val="lowerLetter"/>
      <w:start w:val="3"/>
    </w:lvl>
  </w:abstractNum>
  <w:abstractNum w:abstractNumId="259">
    <w:nsid w:val="59B76E28"/>
    <w:multiLevelType w:val="hybridMultilevel"/>
    <w:lvl w:ilvl="0">
      <w:lvlJc w:val="left"/>
      <w:lvlText w:val="%1."/>
      <w:numFmt w:val="upperLetter"/>
      <w:start w:val="9"/>
    </w:lvl>
  </w:abstractNum>
  <w:abstractNum w:abstractNumId="260">
    <w:nsid w:val="4252C2DA"/>
    <w:multiLevelType w:val="hybridMultilevel"/>
    <w:lvl w:ilvl="0">
      <w:lvlJc w:val="left"/>
      <w:lvlText w:val="%1."/>
      <w:numFmt w:val="upperLetter"/>
      <w:start w:val="35"/>
    </w:lvl>
  </w:abstractNum>
  <w:abstractNum w:abstractNumId="261">
    <w:nsid w:val="6A92EF4C"/>
    <w:multiLevelType w:val="hybridMultilevel"/>
    <w:lvl w:ilvl="0">
      <w:lvlJc w:val="left"/>
      <w:lvlText w:val="%1."/>
      <w:numFmt w:val="upperLetter"/>
      <w:start w:val="61"/>
    </w:lvl>
  </w:abstractNum>
  <w:abstractNum w:abstractNumId="262">
    <w:nsid w:val="41ED20D7"/>
    <w:multiLevelType w:val="hybridMultilevel"/>
    <w:lvl w:ilvl="0">
      <w:lvlJc w:val="left"/>
      <w:lvlText w:val="(%1)"/>
      <w:numFmt w:val="lowerLetter"/>
      <w:start w:val="1"/>
    </w:lvl>
  </w:abstractNum>
  <w:abstractNum w:abstractNumId="263">
    <w:nsid w:val="E6B3F6A"/>
    <w:multiLevelType w:val="hybridMultilevel"/>
    <w:lvl w:ilvl="0">
      <w:lvlJc w:val="left"/>
      <w:lvlText w:val="(%1)"/>
      <w:numFmt w:val="lowerLetter"/>
      <w:start w:val="1"/>
    </w:lvl>
  </w:abstractNum>
  <w:abstractNum w:abstractNumId="264">
    <w:nsid w:val="3EB21819"/>
    <w:multiLevelType w:val="hybridMultilevel"/>
    <w:lvl w:ilvl="0">
      <w:lvlJc w:val="left"/>
      <w:lvlText w:val="(%1)"/>
      <w:numFmt w:val="lowerLetter"/>
      <w:start w:val="1"/>
    </w:lvl>
  </w:abstractNum>
  <w:abstractNum w:abstractNumId="265">
    <w:nsid w:val="41531DED"/>
    <w:multiLevelType w:val="hybridMultilevel"/>
    <w:lvl w:ilvl="0">
      <w:lvlJc w:val="left"/>
      <w:lvlText w:val="•"/>
      <w:numFmt w:val="bullet"/>
      <w:start w:val="1"/>
    </w:lvl>
  </w:abstractNum>
  <w:abstractNum w:abstractNumId="266">
    <w:nsid w:val="6353CD2"/>
    <w:multiLevelType w:val="hybridMultilevel"/>
    <w:lvl w:ilvl="0">
      <w:lvlJc w:val="left"/>
      <w:lvlText w:val="•"/>
      <w:numFmt w:val="bullet"/>
      <w:start w:val="1"/>
    </w:lvl>
  </w:abstractNum>
  <w:abstractNum w:abstractNumId="267">
    <w:nsid w:val="683CAAD3"/>
    <w:multiLevelType w:val="hybridMultilevel"/>
    <w:lvl w:ilvl="0">
      <w:lvlJc w:val="left"/>
      <w:lvlText w:val="•"/>
      <w:numFmt w:val="bullet"/>
      <w:start w:val="1"/>
    </w:lvl>
  </w:abstractNum>
  <w:abstractNum w:abstractNumId="268">
    <w:nsid w:val="313C7C99"/>
    <w:multiLevelType w:val="hybridMultilevel"/>
    <w:lvl w:ilvl="0">
      <w:lvlJc w:val="left"/>
      <w:lvlText w:val="(%1)"/>
      <w:numFmt w:val="lowerLetter"/>
      <w:start w:val="1"/>
    </w:lvl>
  </w:abstractNum>
  <w:abstractNum w:abstractNumId="269">
    <w:nsid w:val="519EB94C"/>
    <w:multiLevelType w:val="hybridMultilevel"/>
    <w:lvl w:ilvl="0">
      <w:lvlJc w:val="left"/>
      <w:lvlText w:val="(%1)"/>
      <w:numFmt w:val="lowerLetter"/>
      <w:start w:val="1"/>
    </w:lvl>
  </w:abstractNum>
  <w:abstractNum w:abstractNumId="270">
    <w:nsid w:val="39DF2579"/>
    <w:multiLevelType w:val="hybridMultilevel"/>
    <w:lvl w:ilvl="0">
      <w:lvlJc w:val="left"/>
      <w:lvlText w:val="(%1)"/>
      <w:numFmt w:val="lowerLetter"/>
      <w:start w:val="1"/>
    </w:lvl>
  </w:abstractNum>
  <w:abstractNum w:abstractNumId="271">
    <w:nsid w:val="126E008B"/>
    <w:multiLevelType w:val="hybridMultilevel"/>
    <w:lvl w:ilvl="0">
      <w:lvlJc w:val="left"/>
      <w:lvlText w:val="*"/>
      <w:numFmt w:val="bullet"/>
      <w:start w:val="1"/>
    </w:lvl>
  </w:abstractNum>
  <w:abstractNum w:abstractNumId="272">
    <w:nsid w:val="34DFBC00"/>
    <w:multiLevelType w:val="hybridMultilevel"/>
    <w:lvl w:ilvl="0">
      <w:lvlJc w:val="left"/>
      <w:lvlText w:val="(%1)"/>
      <w:numFmt w:val="lowerLetter"/>
      <w:start w:val="1"/>
    </w:lvl>
  </w:abstractNum>
  <w:abstractNum w:abstractNumId="273">
    <w:nsid w:val="1F9EC322"/>
    <w:multiLevelType w:val="hybridMultilevel"/>
    <w:lvl w:ilvl="0">
      <w:lvlJc w:val="left"/>
      <w:lvlText w:val="•"/>
      <w:numFmt w:val="bullet"/>
      <w:start w:val="1"/>
    </w:lvl>
  </w:abstractNum>
  <w:abstractNum w:abstractNumId="274">
    <w:nsid w:val="3410ED56"/>
    <w:multiLevelType w:val="hybridMultilevel"/>
    <w:lvl w:ilvl="0">
      <w:lvlJc w:val="left"/>
      <w:lvlText w:val="•"/>
      <w:numFmt w:val="bullet"/>
      <w:start w:val="1"/>
    </w:lvl>
  </w:abstractNum>
  <w:abstractNum w:abstractNumId="275">
    <w:nsid w:val="23C049A"/>
    <w:multiLevelType w:val="hybridMultilevel"/>
    <w:lvl w:ilvl="0">
      <w:lvlJc w:val="left"/>
      <w:lvlText w:val="•"/>
      <w:numFmt w:val="bullet"/>
      <w:start w:val="1"/>
    </w:lvl>
    <w:lvl w:ilvl="1">
      <w:lvlJc w:val="left"/>
      <w:lvlText w:val="(%2)"/>
      <w:numFmt w:val="lowerRoman"/>
      <w:start w:val="2"/>
    </w:lvl>
  </w:abstractNum>
  <w:abstractNum w:abstractNumId="276">
    <w:nsid w:val="5BDA35D4"/>
    <w:multiLevelType w:val="hybridMultilevel"/>
    <w:lvl w:ilvl="0">
      <w:lvlJc w:val="left"/>
      <w:lvlText w:val="•"/>
      <w:numFmt w:val="bullet"/>
      <w:start w:val="1"/>
    </w:lvl>
  </w:abstractNum>
  <w:abstractNum w:abstractNumId="277">
    <w:nsid w:val="496FB218"/>
    <w:multiLevelType w:val="hybridMultilevel"/>
    <w:lvl w:ilvl="0">
      <w:lvlJc w:val="left"/>
      <w:lvlText w:val="•"/>
      <w:numFmt w:val="bullet"/>
      <w:start w:val="1"/>
    </w:lvl>
  </w:abstractNum>
  <w:abstractNum w:abstractNumId="278">
    <w:nsid w:val="680EA5D1"/>
    <w:multiLevelType w:val="hybridMultilevel"/>
    <w:lvl w:ilvl="0">
      <w:lvlJc w:val="left"/>
      <w:lvlText w:val="•"/>
      <w:numFmt w:val="bullet"/>
      <w:start w:val="1"/>
    </w:lvl>
  </w:abstractNum>
  <w:abstractNum w:abstractNumId="279">
    <w:nsid w:val="4A9554FE"/>
    <w:multiLevelType w:val="hybridMultilevel"/>
    <w:lvl w:ilvl="0">
      <w:lvlJc w:val="left"/>
      <w:lvlText w:val="•"/>
      <w:numFmt w:val="bullet"/>
      <w:start w:val="1"/>
    </w:lvl>
    <w:lvl w:ilvl="1">
      <w:lvlJc w:val="left"/>
      <w:lvlText w:val="(%2)"/>
      <w:numFmt w:val="lowerRoman"/>
      <w:start w:val="3"/>
    </w:lvl>
  </w:abstractNum>
  <w:abstractNum w:abstractNumId="280">
    <w:nsid w:val="392EDBE4"/>
    <w:multiLevelType w:val="hybridMultilevel"/>
    <w:lvl w:ilvl="0">
      <w:lvlJc w:val="left"/>
      <w:lvlText w:val="•"/>
      <w:numFmt w:val="bullet"/>
      <w:start w:val="1"/>
    </w:lvl>
    <w:lvl w:ilvl="1">
      <w:lvlJc w:val="left"/>
      <w:lvlText w:val="(%2)"/>
      <w:numFmt w:val="lowerRoman"/>
      <w:start w:val="2"/>
    </w:lvl>
  </w:abstractNum>
  <w:abstractNum w:abstractNumId="281">
    <w:nsid w:val="3D1A2DD9"/>
    <w:multiLevelType w:val="hybridMultilevel"/>
    <w:lvl w:ilvl="0">
      <w:lvlJc w:val="left"/>
      <w:lvlText w:val="•"/>
      <w:numFmt w:val="bullet"/>
      <w:start w:val="1"/>
    </w:lvl>
  </w:abstractNum>
  <w:abstractNum w:abstractNumId="282">
    <w:nsid w:val="7F618FCD"/>
    <w:multiLevelType w:val="hybridMultilevel"/>
    <w:lvl w:ilvl="0">
      <w:lvlJc w:val="left"/>
      <w:lvlText w:val="(%1)"/>
      <w:numFmt w:val="lowerRoman"/>
      <w:start w:val="3"/>
    </w:lvl>
  </w:abstractNum>
  <w:abstractNum w:abstractNumId="283">
    <w:nsid w:val="7843E45"/>
    <w:multiLevelType w:val="hybridMultilevel"/>
    <w:lvl w:ilvl="0">
      <w:lvlJc w:val="left"/>
      <w:lvlText w:val="•"/>
      <w:numFmt w:val="bullet"/>
      <w:start w:val="1"/>
    </w:lvl>
  </w:abstractNum>
  <w:abstractNum w:abstractNumId="284">
    <w:nsid w:val="9815DA3"/>
    <w:multiLevelType w:val="hybridMultilevel"/>
    <w:lvl w:ilvl="0">
      <w:lvlJc w:val="left"/>
      <w:lvlText w:val="•"/>
      <w:numFmt w:val="bullet"/>
      <w:start w:val="1"/>
    </w:lvl>
  </w:abstractNum>
  <w:abstractNum w:abstractNumId="285">
    <w:nsid w:val="5204A191"/>
    <w:multiLevelType w:val="hybridMultilevel"/>
    <w:lvl w:ilvl="0">
      <w:lvlJc w:val="left"/>
      <w:lvlText w:val="•"/>
      <w:numFmt w:val="bullet"/>
      <w:start w:val="1"/>
    </w:lvl>
  </w:abstractNum>
  <w:abstractNum w:abstractNumId="286">
    <w:nsid w:val="4C73A9C6"/>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2"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jpe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jpe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jpeg"/><Relationship Id="rId180" Type="http://schemas.openxmlformats.org/officeDocument/2006/relationships/image" Target="media/image156.png"/><Relationship Id="rId181" Type="http://schemas.openxmlformats.org/officeDocument/2006/relationships/image" Target="media/image157.jpeg"/><Relationship Id="rId182" Type="http://schemas.openxmlformats.org/officeDocument/2006/relationships/image" Target="media/image158.jpe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jpe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jpe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jpeg"/><Relationship Id="rId371" Type="http://schemas.openxmlformats.org/officeDocument/2006/relationships/image" Target="media/image347.jpe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jpeg"/><Relationship Id="rId413" Type="http://schemas.openxmlformats.org/officeDocument/2006/relationships/image" Target="media/image389.png"/><Relationship Id="rId414" Type="http://schemas.openxmlformats.org/officeDocument/2006/relationships/image" Target="media/image390.jpe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jpe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jpeg"/><Relationship Id="rId461" Type="http://schemas.openxmlformats.org/officeDocument/2006/relationships/image" Target="media/image437.jpeg"/><Relationship Id="rId462" Type="http://schemas.openxmlformats.org/officeDocument/2006/relationships/image" Target="media/image438.png"/><Relationship Id="rId463" Type="http://schemas.openxmlformats.org/officeDocument/2006/relationships/image" Target="media/image439.png"/><Relationship Id="rId19" Type="http://schemas.openxmlformats.org/officeDocument/2006/relationships/hyperlink" Target="http://www.sec.gov/Archives/edgar/data/0001755672/000119312519106808/d615112dex21.htm" TargetMode="External"/><Relationship Id="rId20" Type="http://schemas.openxmlformats.org/officeDocument/2006/relationships/hyperlink" Target="http://www.sec.gov/Archives/edgar/data/0001755672/000119312519106808/d615112dex101.htm" TargetMode="External"/><Relationship Id="rId21" Type="http://schemas.openxmlformats.org/officeDocument/2006/relationships/hyperlink" Target="http://www.sec.gov/Archives/edgar/data/0001755672/000119312519106808/d615112dex102.htm" TargetMode="External"/><Relationship Id="rId22" Type="http://schemas.openxmlformats.org/officeDocument/2006/relationships/hyperlink" Target="http://www.sec.gov/Archives/edgar/data/0001755672/000119312519106808/d615112dex104.htm" TargetMode="External"/><Relationship Id="rId23" Type="http://schemas.openxmlformats.org/officeDocument/2006/relationships/hyperlink" Target="http://www.sec.gov/Archives/edgar/data/1666700/000119312517275738/d447567dex43.htm" TargetMode="External"/><Relationship Id="rId24" Type="http://schemas.openxmlformats.org/officeDocument/2006/relationships/hyperlink" Target="http://www.sec.gov/Archives/edgar/data/1666700/000119312517275738/d447567dex44.htm" TargetMode="External"/><Relationship Id="rId25" Type="http://schemas.openxmlformats.org/officeDocument/2006/relationships/hyperlink" Target="http://www.sec.gov/Archives/edgar/data/30554/000003055415000070/dd-ex103_2015630xq2.htm" TargetMode="External"/><Relationship Id="rId26" Type="http://schemas.openxmlformats.org/officeDocument/2006/relationships/hyperlink" Target="http://www.sec.gov/Archives/edgar/data/30554/000003055415000070/dd-ex104_2015630xq2.htm" TargetMode="External"/><Relationship Id="rId27" Type="http://schemas.openxmlformats.org/officeDocument/2006/relationships/hyperlink" Target="http://www.sec.gov/Archives/edgar/data/30554/000003055414000043/dd-ex108_2014630xq2.htm" TargetMode="External"/><Relationship Id="rId28" Type="http://schemas.openxmlformats.org/officeDocument/2006/relationships/hyperlink" Target="http://www.sec.gov/Archives/edgar/data/30554/000003055412000011/dd-ex109xretirementincomep.htm" TargetMode="External"/><Relationship Id="rId29" Type="http://schemas.openxmlformats.org/officeDocument/2006/relationships/hyperlink" Target="http://www.sec.gov/Archives/edgar/data/30554/000003055416000106/dd-12312015xex1010.htm" TargetMode="External"/><Relationship Id="rId30" Type="http://schemas.openxmlformats.org/officeDocument/2006/relationships/hyperlink" Target="http://www.sec.gov/Archives/edgar/data/30554/000003055415000065/exhibit21separationagreeme.htm" TargetMode="External"/><Relationship Id="rId31" Type="http://schemas.openxmlformats.org/officeDocument/2006/relationships/hyperlink" Target="http://www.sec.gov/Archives/edgar/data/30554/000003055417000037/exhibit_2x1.htm" TargetMode="External"/><Relationship Id="rId33" Type="http://schemas.openxmlformats.org/officeDocument/2006/relationships/hyperlink" Target="http://www.sec.gov/Archives/edgar/data/30554/000003055415000065/exhibit22taxmattersagreeme.htm" TargetMode="External"/><Relationship Id="rId34" Type="http://schemas.openxmlformats.org/officeDocument/2006/relationships/hyperlink" Target="http://www.sec.gov/Archives/edgar/data/30554/000003055417000016/dd-ex1025_2017331xq1.htm" TargetMode="External"/><Relationship Id="rId35" Type="http://schemas.openxmlformats.org/officeDocument/2006/relationships/hyperlink" Target="http://www.sec.gov/Archives/edgar/data/0001755672/000119312519078888/d615112dex992.htm" TargetMode="External"/><Relationship Id="rId36" Type="http://schemas.openxmlformats.org/officeDocument/2006/relationships/hyperlink" Target="http://www.sec.gov/Archives/edgar/data/0001755672/000119312519078888/d615112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2019-12-03T00:20:03Z</dcterms:created>
  <dcterms:modified xsi:type="dcterms:W3CDTF">2019-12-03T00:20:03Z</dcterms:modified>
</cp:coreProperties>
</file>