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55672-20261001.htm"/>
      <w:bookmarkStart w:id="1" w:name="ksck000175567220261001"/>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 OF</w:t>
      </w:r>
    </w:p>
    <w:p>
      <w:pPr>
        <w:pStyle w:val="TextBody"/>
        <w:bidi w:val="0"/>
        <w:jc w:val="center"/>
        <w:rPr>
          <w:rFonts w:ascii="Times New Roman" w:hAnsi="Times New Roman"/>
          <w:b/>
          <w:color w:val="000000"/>
          <w:sz w:val="22"/>
        </w:rPr>
      </w:pPr>
      <w:r>
        <w:rPr>
          <w:rFonts w:ascii="Times New Roman" w:hAnsi="Times New Roman"/>
          <w:b/>
          <w:color w:val="000000"/>
          <w:sz w:val="22"/>
        </w:rPr>
        <w:t>THE SECURITIES EXCHANGE ACT OF 1934</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Date of Report (Date of Earliest Event Reported): October 1, 2026</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Corteva, Inc.</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EIDP,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5380" w:type="dxa"/>
        <w:jc w:val="left"/>
        <w:tblInd w:w="0" w:type="dxa"/>
        <w:tblLayout w:type="fixed"/>
        <w:tblCellMar>
          <w:top w:w="28" w:type="dxa"/>
          <w:left w:w="28" w:type="dxa"/>
          <w:bottom w:w="28" w:type="dxa"/>
          <w:right w:w="28" w:type="dxa"/>
        </w:tblCellMar>
      </w:tblPr>
      <w:tblGrid>
        <w:gridCol w:w="2251"/>
        <w:gridCol w:w="146"/>
        <w:gridCol w:w="1186"/>
        <w:gridCol w:w="14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001-38710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82-4979096</w:t>
            </w:r>
          </w:p>
        </w:tc>
      </w:tr>
      <w:tr>
        <w:trPr/>
        <w:tc>
          <w:tcPr>
            <w:tcW w:w="22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001-00815</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51-0014090</w:t>
            </w:r>
          </w:p>
          <w:p>
            <w:pPr>
              <w:pStyle w:val="TableContents"/>
              <w:bidi w:val="0"/>
              <w:spacing w:before="0" w:after="283"/>
              <w:jc w:val="center"/>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4741"/>
        <w:gridCol w:w="1036"/>
      </w:tblGrid>
      <w:tr>
        <w:trPr/>
        <w:tc>
          <w:tcPr>
            <w:tcW w:w="47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9330 Zionsville Road, Indianapolis, Indiana</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46268</w:t>
            </w:r>
          </w:p>
        </w:tc>
      </w:tr>
      <w:tr>
        <w:trPr/>
        <w:tc>
          <w:tcPr>
            <w:tcW w:w="4741" w:type="dxa"/>
            <w:tcBorders/>
            <w:tcMar>
              <w:top w:w="0" w:type="dxa"/>
              <w:left w:w="0" w:type="dxa"/>
              <w:bottom w:w="0" w:type="dxa"/>
              <w:right w:w="0" w:type="dxa"/>
            </w:tcMar>
            <w:vAlign w:val="center"/>
          </w:tcPr>
          <w:p>
            <w:pPr>
              <w:pStyle w:val="TableContents"/>
              <w:bidi w:val="0"/>
              <w:spacing w:before="0" w:after="283"/>
              <w:ind w:left="0" w:right="0" w:firstLine="90"/>
              <w:jc w:val="left"/>
              <w:rPr>
                <w:rFonts w:ascii="Times New Roman" w:hAnsi="Times New Roman"/>
                <w:b/>
                <w:color w:val="000000"/>
                <w:sz w:val="20"/>
              </w:rPr>
            </w:pPr>
            <w:r>
              <w:rPr>
                <w:rFonts w:ascii="Times New Roman" w:hAnsi="Times New Roman"/>
                <w:b/>
                <w:color w:val="000000"/>
                <w:sz w:val="20"/>
              </w:rPr>
              <w:t>1000 N. West Street, Suite 800, Wilmington, Delaware</w:t>
            </w:r>
          </w:p>
        </w:tc>
        <w:tc>
          <w:tcPr>
            <w:tcW w:w="1036" w:type="dxa"/>
            <w:tcBorders/>
            <w:tcMar>
              <w:top w:w="0" w:type="dxa"/>
              <w:left w:w="0" w:type="dxa"/>
              <w:bottom w:w="0" w:type="dxa"/>
              <w:right w:w="0" w:type="dxa"/>
            </w:tcMar>
            <w:vAlign w:val="center"/>
          </w:tcPr>
          <w:p>
            <w:pPr>
              <w:pStyle w:val="TableContents"/>
              <w:bidi w:val="0"/>
              <w:spacing w:before="0" w:after="283"/>
              <w:ind w:left="0" w:right="0" w:firstLine="90"/>
              <w:jc w:val="center"/>
              <w:rPr>
                <w:rFonts w:ascii="Times New Roman" w:hAnsi="Times New Roman"/>
                <w:b/>
                <w:color w:val="000000"/>
                <w:sz w:val="20"/>
              </w:rPr>
            </w:pPr>
            <w:r>
              <w:rPr>
                <w:rFonts w:ascii="Times New Roman" w:hAnsi="Times New Roman"/>
                <w:b/>
                <w:color w:val="000000"/>
                <w:sz w:val="20"/>
              </w:rPr>
              <w:t>19801</w:t>
            </w:r>
          </w:p>
        </w:tc>
      </w:tr>
      <w:tr>
        <w:trPr/>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(Address of principal executive offices)</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(833) 267-8382</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917" w:type="dxa"/>
        <w:jc w:val="left"/>
        <w:tblInd w:w="0" w:type="dxa"/>
        <w:tblLayout w:type="fixed"/>
        <w:tblCellMar>
          <w:top w:w="28" w:type="dxa"/>
          <w:left w:w="28" w:type="dxa"/>
          <w:bottom w:w="28" w:type="dxa"/>
          <w:right w:w="28" w:type="dxa"/>
        </w:tblCellMar>
      </w:tblPr>
      <w:tblGrid>
        <w:gridCol w:w="1036"/>
        <w:gridCol w:w="146"/>
        <w:gridCol w:w="2401"/>
        <w:gridCol w:w="146"/>
        <w:gridCol w:w="1561"/>
        <w:gridCol w:w="146"/>
        <w:gridCol w:w="348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Registrant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Corteva, Inc.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CTVA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EIDP, Inc.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$3.50 Series Preferred Stock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CTAPrA</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r>
        <w:trPr/>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EIDP, Inc.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$4.50 Series Preferred Stock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CTAPrB</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00" w:after="283"/>
        <w:jc w:val="left"/>
        <w:rPr>
          <w:rFonts w:ascii="Times New Roman" w:hAnsi="Times New Roman"/>
          <w:sz w:val="18"/>
        </w:rPr>
      </w:pPr>
      <w:r>
        <w:rPr>
          <w:rFonts w:ascii="Times New Roman" w:hAnsi="Times New Roman"/>
          <w:color w:val="000000"/>
          <w:sz w:val="20"/>
        </w:rPr>
        <w:t>Emerging growth company</w:t>
      </w:r>
      <w:r>
        <w:rPr>
          <w:rFonts w:ascii="Times New Roman" w:hAnsi="Times New Roman"/>
          <w:color w:val="000000"/>
          <w:sz w:val="18"/>
        </w:rPr>
        <w:t xml:space="preserve"> ☐ </w:t>
      </w:r>
    </w:p>
    <w:p>
      <w:pPr>
        <w:pStyle w:val="TextBody"/>
        <w:bidi w:val="0"/>
        <w:spacing w:before="100" w:after="283"/>
        <w:jc w:val="left"/>
        <w:rPr>
          <w:rFonts w:ascii="Times New Roman" w:hAnsi="Times New Roman"/>
          <w:sz w:val="18"/>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18"/>
        </w:rPr>
        <w:t xml:space="preserve"> </w:t>
      </w:r>
      <w:r>
        <w:rPr>
          <w:rFonts w:ascii="Wingdings;serif" w:hAnsi="Wingdings;serif"/>
          <w:color w:val="000000"/>
          <w:sz w:val="20"/>
        </w:rPr>
        <w:t>o</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Introductory Note.</w:t>
      </w:r>
    </w:p>
    <w:p>
      <w:pPr>
        <w:pStyle w:val="TextBody"/>
        <w:bidi w:val="0"/>
        <w:jc w:val="left"/>
        <w:rPr>
          <w:rFonts w:ascii="Times New Roman" w:hAnsi="Times New Roman"/>
          <w:color w:val="000000"/>
          <w:sz w:val="20"/>
        </w:rPr>
      </w:pPr>
      <w:r>
        <w:rPr>
          <w:rFonts w:ascii="Times New Roman" w:hAnsi="Times New Roman"/>
          <w:color w:val="000000"/>
          <w:sz w:val="20"/>
        </w:rPr>
        <w:t xml:space="preserve">At 12:03 a.m., New York City time, on October 1, 2026 (the “Effective Time”), Corteva, Inc. (the “Company”) completed its previously announced separation into two independent, publicly traded companies through the separation (“Separation”) of the Company’s seed operating segment into an independent, publicly traded company, Vylor Inc. (“Vylor”).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9"/>
        <w:gridCol w:w="9456"/>
      </w:tblGrid>
      <w:tr>
        <w:trPr/>
        <w:tc>
          <w:tcPr>
            <w:tcW w:w="749" w:type="dxa"/>
            <w:tcBorders/>
            <w:vAlign w:val="center"/>
          </w:tcPr>
          <w:p>
            <w:pPr>
              <w:pStyle w:val="TableContents"/>
              <w:bidi w:val="0"/>
              <w:spacing w:before="0" w:after="283"/>
              <w:jc w:val="left"/>
              <w:rPr>
                <w:sz w:val="4"/>
                <w:szCs w:val="4"/>
              </w:rPr>
            </w:pPr>
            <w:r>
              <w:rPr>
                <w:sz w:val="4"/>
                <w:szCs w:val="4"/>
              </w:rPr>
            </w:r>
          </w:p>
        </w:tc>
        <w:tc>
          <w:tcPr>
            <w:tcW w:w="9456" w:type="dxa"/>
            <w:tcBorders/>
            <w:vAlign w:val="center"/>
          </w:tcPr>
          <w:p>
            <w:pPr>
              <w:pStyle w:val="TableContents"/>
              <w:bidi w:val="0"/>
              <w:spacing w:before="0" w:after="283"/>
              <w:jc w:val="left"/>
              <w:rPr>
                <w:sz w:val="4"/>
                <w:szCs w:val="4"/>
              </w:rPr>
            </w:pPr>
            <w:r>
              <w:rPr>
                <w:sz w:val="4"/>
                <w:szCs w:val="4"/>
              </w:rPr>
            </w:r>
          </w:p>
        </w:tc>
      </w:tr>
      <w:tr>
        <w:trPr/>
        <w:tc>
          <w:tcPr>
            <w:tcW w:w="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Departure of Directors and Certain Officers; Election of Directors; Appointment of Certain Officers; Compensatory Arrangements of Certain Officers. Appointment and Resignation of Directors</w:t>
            </w:r>
          </w:p>
        </w:tc>
      </w:tr>
    </w:tbl>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Appointment and Resignation of Directors</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Separation, Charles V. Magro resigned from his position as a member of the Company’s Board of Directors (the “Board”) effective as of the Effective Time. Additionally, each of Kerry J. Preete, Marcos M. Lutz and Karen H. Grimes resigned from their respective positions as members of the Board, as well as their respective positions as members of various Committees thereof, in each case, effective as of the Effective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immediately prior to the Effective Time, Ms. Grimes and Messrs. Lutz and Preete served on the following Committees: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Ms. Grimes served on the Audit Committee;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Messrs. Lutz and Preete and Ms. Grimes served on the People and Compensation Committee;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Messrs. Lutz and Preete served on the Science and Innovation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Messrs. Lutz’s, Magro’s and Preete’s and Ms. Grimes’ decision to resign from the Board is in connection with the Separation, and is not the result of any disagreement relating to the Company’s operations, policies or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Separation, the Board appointed Luther (“Luke”) Kissam as a director of the Company effective as of the Effective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as of the Effective Time, the Committees of the Board were comprised of the following members:</w:t>
      </w:r>
    </w:p>
    <w:p>
      <w:pPr>
        <w:pStyle w:val="TextBody"/>
        <w:bidi w:val="0"/>
        <w:jc w:val="left"/>
        <w:rPr/>
      </w:pPr>
      <w:r>
        <w:rPr/>
        <w:t> </w:t>
      </w:r>
    </w:p>
    <w:tbl>
      <w:tblPr>
        <w:tblW w:w="5927" w:type="dxa"/>
        <w:jc w:val="left"/>
        <w:tblInd w:w="0" w:type="dxa"/>
        <w:tblLayout w:type="fixed"/>
        <w:tblCellMar>
          <w:top w:w="28" w:type="dxa"/>
          <w:left w:w="28" w:type="dxa"/>
          <w:bottom w:w="28" w:type="dxa"/>
          <w:right w:w="28" w:type="dxa"/>
        </w:tblCellMar>
      </w:tblPr>
      <w:tblGrid>
        <w:gridCol w:w="3421"/>
        <w:gridCol w:w="2506"/>
      </w:tblGrid>
      <w:tr>
        <w:trPr/>
        <w:tc>
          <w:tcPr>
            <w:tcW w:w="342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u w:val="single"/>
              </w:rPr>
            </w:pPr>
            <w:r>
              <w:rPr>
                <w:rFonts w:ascii="Times New Roman" w:hAnsi="Times New Roman"/>
                <w:color w:val="000000"/>
                <w:sz w:val="20"/>
                <w:u w:val="single"/>
              </w:rPr>
              <w:t>Committee</w:t>
            </w:r>
          </w:p>
        </w:tc>
        <w:tc>
          <w:tcPr>
            <w:tcW w:w="2506"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u w:val="single"/>
              </w:rPr>
            </w:pPr>
            <w:r>
              <w:rPr>
                <w:rFonts w:ascii="Times New Roman" w:hAnsi="Times New Roman"/>
                <w:color w:val="000000"/>
                <w:sz w:val="20"/>
                <w:u w:val="single"/>
              </w:rPr>
              <w:t>Members</w:t>
            </w:r>
          </w:p>
        </w:tc>
      </w:tr>
      <w:tr>
        <w:trPr/>
        <w:tc>
          <w:tcPr>
            <w:tcW w:w="342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Audit Committee</w:t>
            </w:r>
          </w:p>
        </w:tc>
        <w:tc>
          <w:tcPr>
            <w:tcW w:w="25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Patrick J. Ward (Chair)</w:t>
            </w:r>
          </w:p>
          <w:p>
            <w:pPr>
              <w:pStyle w:val="TableContents"/>
              <w:bidi w:val="0"/>
              <w:jc w:val="left"/>
              <w:rPr>
                <w:rFonts w:ascii="Times New Roman" w:hAnsi="Times New Roman"/>
                <w:color w:val="000000"/>
                <w:sz w:val="20"/>
              </w:rPr>
            </w:pPr>
            <w:r>
              <w:rPr>
                <w:rFonts w:ascii="Times New Roman" w:hAnsi="Times New Roman"/>
                <w:color w:val="000000"/>
                <w:sz w:val="20"/>
              </w:rPr>
              <w:t>Gregory R. Page</w:t>
            </w:r>
          </w:p>
          <w:p>
            <w:pPr>
              <w:pStyle w:val="TableContents"/>
              <w:bidi w:val="0"/>
              <w:jc w:val="left"/>
              <w:rPr>
                <w:rFonts w:ascii="Times New Roman" w:hAnsi="Times New Roman"/>
                <w:color w:val="000000"/>
                <w:sz w:val="20"/>
              </w:rPr>
            </w:pPr>
            <w:r>
              <w:rPr>
                <w:rFonts w:ascii="Times New Roman" w:hAnsi="Times New Roman"/>
                <w:color w:val="000000"/>
                <w:sz w:val="20"/>
              </w:rPr>
              <w:t>Nayaki R. Nayyar</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Christopher J. Policinski</w:t>
            </w:r>
          </w:p>
        </w:tc>
      </w:tr>
      <w:tr>
        <w:trPr/>
        <w:tc>
          <w:tcPr>
            <w:tcW w:w="342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Governance and Compliance Committee</w:t>
            </w:r>
          </w:p>
        </w:tc>
        <w:tc>
          <w:tcPr>
            <w:tcW w:w="25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Janet P. Giesselman (Chair)</w:t>
            </w:r>
          </w:p>
          <w:p>
            <w:pPr>
              <w:pStyle w:val="TableContents"/>
              <w:bidi w:val="0"/>
              <w:jc w:val="left"/>
              <w:rPr>
                <w:rFonts w:ascii="Times New Roman" w:hAnsi="Times New Roman"/>
                <w:color w:val="000000"/>
                <w:sz w:val="20"/>
              </w:rPr>
            </w:pPr>
            <w:r>
              <w:rPr>
                <w:rFonts w:ascii="Times New Roman" w:hAnsi="Times New Roman"/>
                <w:color w:val="000000"/>
                <w:sz w:val="20"/>
              </w:rPr>
              <w:t>Gregory R. Page</w:t>
            </w:r>
          </w:p>
          <w:p>
            <w:pPr>
              <w:pStyle w:val="TableContents"/>
              <w:bidi w:val="0"/>
              <w:jc w:val="left"/>
              <w:rPr>
                <w:rFonts w:ascii="Times New Roman" w:hAnsi="Times New Roman"/>
                <w:color w:val="000000"/>
                <w:sz w:val="20"/>
              </w:rPr>
            </w:pPr>
            <w:r>
              <w:rPr>
                <w:rFonts w:ascii="Times New Roman" w:hAnsi="Times New Roman"/>
                <w:color w:val="000000"/>
                <w:sz w:val="20"/>
              </w:rPr>
              <w:t>Klaus A. Engel, Ph.D.</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Christopher J. Policinski</w:t>
            </w:r>
          </w:p>
        </w:tc>
      </w:tr>
      <w:tr>
        <w:trPr/>
        <w:tc>
          <w:tcPr>
            <w:tcW w:w="342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People and Compensation Committee</w:t>
            </w:r>
          </w:p>
        </w:tc>
        <w:tc>
          <w:tcPr>
            <w:tcW w:w="25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David C. Everitt (Chair)</w:t>
            </w:r>
          </w:p>
          <w:p>
            <w:pPr>
              <w:pStyle w:val="TableContents"/>
              <w:bidi w:val="0"/>
              <w:jc w:val="left"/>
              <w:rPr>
                <w:rFonts w:ascii="Times New Roman" w:hAnsi="Times New Roman"/>
                <w:color w:val="000000"/>
                <w:sz w:val="20"/>
              </w:rPr>
            </w:pPr>
            <w:r>
              <w:rPr>
                <w:rFonts w:ascii="Times New Roman" w:hAnsi="Times New Roman"/>
                <w:color w:val="000000"/>
                <w:sz w:val="20"/>
              </w:rPr>
              <w:t>Jean-Marc Gilson</w:t>
            </w:r>
          </w:p>
          <w:p>
            <w:pPr>
              <w:pStyle w:val="TableContents"/>
              <w:bidi w:val="0"/>
              <w:jc w:val="left"/>
              <w:rPr>
                <w:rFonts w:ascii="Times New Roman" w:hAnsi="Times New Roman"/>
                <w:color w:val="000000"/>
                <w:sz w:val="20"/>
              </w:rPr>
            </w:pPr>
            <w:r>
              <w:rPr>
                <w:rFonts w:ascii="Times New Roman" w:hAnsi="Times New Roman"/>
                <w:color w:val="000000"/>
                <w:sz w:val="20"/>
              </w:rPr>
              <w:t>Nayaki R. Nayyar</w:t>
            </w:r>
          </w:p>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Patrick J. Ward</w:t>
            </w:r>
          </w:p>
        </w:tc>
      </w:tr>
      <w:tr>
        <w:trPr/>
        <w:tc>
          <w:tcPr>
            <w:tcW w:w="342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Science and Innovation Committee</w:t>
            </w:r>
          </w:p>
        </w:tc>
        <w:tc>
          <w:tcPr>
            <w:tcW w:w="25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Klaus A. Engel, Ph.D. (Chair)</w:t>
            </w:r>
          </w:p>
          <w:p>
            <w:pPr>
              <w:pStyle w:val="TableContents"/>
              <w:bidi w:val="0"/>
              <w:jc w:val="left"/>
              <w:rPr>
                <w:rFonts w:ascii="Times New Roman" w:hAnsi="Times New Roman"/>
                <w:color w:val="000000"/>
                <w:sz w:val="20"/>
              </w:rPr>
            </w:pPr>
            <w:r>
              <w:rPr>
                <w:rFonts w:ascii="Times New Roman" w:hAnsi="Times New Roman"/>
                <w:color w:val="000000"/>
                <w:sz w:val="20"/>
              </w:rPr>
              <w:t>David C. Everitt</w:t>
            </w:r>
          </w:p>
          <w:p>
            <w:pPr>
              <w:pStyle w:val="TableContents"/>
              <w:bidi w:val="0"/>
              <w:jc w:val="left"/>
              <w:rPr>
                <w:rFonts w:ascii="Times New Roman" w:hAnsi="Times New Roman"/>
                <w:color w:val="000000"/>
                <w:sz w:val="20"/>
              </w:rPr>
            </w:pPr>
            <w:r>
              <w:rPr>
                <w:rFonts w:ascii="Times New Roman" w:hAnsi="Times New Roman"/>
                <w:color w:val="000000"/>
                <w:sz w:val="20"/>
              </w:rPr>
              <w:t>Janet P. Giesselman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Jean-Marc Gilson</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 of the foregoing directors is a party to any transaction required to be disclosed pursuant to Item 404(a) of Regulation S-K. There are no arrangements or understandings between any of such directors and any other person or the Company pursuant to which such directors were appointed to serve in his or her respective role.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Appointment and Resignation of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the Company’s Current Report on Form 8-K filed with the SEC on April 14, 2026 (the “April 8-K”), in connection with the Separation, each of Mr. Magro, David P. Johnson, Samuel R. Eathington, Ph.D. and Judd M. O’Connor resigned from their respective positions as officers of the Company, effective as of the Effective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the April 8-K, in connection with the Separation, (i) Mr. Kissam was appointed as Chief Executive Officer of the Company, (ii) Jeff Rudolph was appointed as Chief Financial Officer of the Company, (iii) Brook Cunningham was appointed as Chief Commercial Officer of the Company and (iv) Ralph Ford was appointed as Chief Integrated Operations Officer of the Company, in each case, effective as of the Effective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Biographical information for each of Mr. Kissam, Mr. Rudolph, Ms. Cunningham and Mr. Ford and a description of Mr. Kissam’s employment agreement were previously reported in the April 8-K and are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Messrs. Kissam, Rudolph and Ford or Ms. Cunningham has any family relationship with any director or executive officer of the Company, and none is a party to any transaction required to be disclosed pursuant to Item 404(a) of Regulation S-K. There are no arrangements or understandings between any of them and any other person pursuant to which he or she was appointed.</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each registrant has duly caused this report to be signed on its behalf by the undersigned hereunto duly authorized.</w:t>
      </w:r>
    </w:p>
    <w:p>
      <w:pPr>
        <w:pStyle w:val="TextBody"/>
        <w:bidi w:val="0"/>
        <w:spacing w:before="17" w:after="283"/>
        <w:jc w:val="left"/>
        <w:rPr/>
      </w:pPr>
      <w:r>
        <w:rPr/>
        <w:t> </w:t>
      </w:r>
    </w:p>
    <w:tbl>
      <w:tblPr>
        <w:tblW w:w="12439" w:type="dxa"/>
        <w:jc w:val="left"/>
        <w:tblInd w:w="0" w:type="dxa"/>
        <w:tblLayout w:type="fixed"/>
        <w:tblCellMar>
          <w:top w:w="28" w:type="dxa"/>
          <w:left w:w="28" w:type="dxa"/>
          <w:bottom w:w="28" w:type="dxa"/>
          <w:right w:w="28" w:type="dxa"/>
        </w:tblCellMar>
      </w:tblPr>
      <w:tblGrid>
        <w:gridCol w:w="291"/>
        <w:gridCol w:w="265"/>
        <w:gridCol w:w="146"/>
        <w:gridCol w:w="5606"/>
        <w:gridCol w:w="6131"/>
      </w:tblGrid>
      <w:tr>
        <w:trPr/>
        <w:tc>
          <w:tcPr>
            <w:tcW w:w="29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06" w:type="dxa"/>
            <w:tcBorders/>
            <w:vAlign w:val="center"/>
          </w:tcPr>
          <w:p>
            <w:pPr>
              <w:pStyle w:val="TableContents"/>
              <w:bidi w:val="0"/>
              <w:spacing w:before="0" w:after="283"/>
              <w:jc w:val="left"/>
              <w:rPr>
                <w:sz w:val="4"/>
                <w:szCs w:val="4"/>
              </w:rPr>
            </w:pPr>
            <w:r>
              <w:rPr>
                <w:sz w:val="4"/>
                <w:szCs w:val="4"/>
              </w:rPr>
            </w:r>
          </w:p>
        </w:tc>
        <w:tc>
          <w:tcPr>
            <w:tcW w:w="6131"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CORTEVA, INC.</w:t>
            </w:r>
          </w:p>
        </w:tc>
      </w:tr>
      <w:tr>
        <w:trPr/>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6" w:type="dxa"/>
            <w:tcBorders/>
            <w:tcMar>
              <w:top w:w="0" w:type="dxa"/>
              <w:left w:w="0" w:type="dxa"/>
              <w:bottom w:w="0" w:type="dxa"/>
              <w:right w:w="0" w:type="dxa"/>
            </w:tcMar>
            <w:vAlign w:val="center"/>
          </w:tcPr>
          <w:p>
            <w:pPr>
              <w:pStyle w:val="TableContents"/>
              <w:bidi w:val="0"/>
              <w:spacing w:before="0" w:after="283"/>
              <w:ind w:left="0" w:right="0" w:firstLine="5260"/>
              <w:jc w:val="left"/>
              <w:rPr>
                <w:rFonts w:ascii="Times New Roman" w:hAnsi="Times New Roman"/>
                <w:color w:val="000000"/>
                <w:sz w:val="20"/>
              </w:rPr>
            </w:pPr>
            <w:r>
              <w:rPr>
                <w:rFonts w:ascii="Times New Roman" w:hAnsi="Times New Roman"/>
                <w:color w:val="000000"/>
                <w:sz w:val="20"/>
              </w:rPr>
              <w:t>By:</w:t>
            </w:r>
          </w:p>
        </w:tc>
        <w:tc>
          <w:tcPr>
            <w:tcW w:w="6131" w:type="dxa"/>
            <w:tcBorders>
              <w:bottom w:val="single" w:sz="4" w:space="0" w:color="000000"/>
            </w:tcBorders>
            <w:tcMar>
              <w:top w:w="0" w:type="dxa"/>
              <w:left w:w="0" w:type="dxa"/>
              <w:right w:w="0" w:type="dxa"/>
            </w:tcMar>
            <w:vAlign w:val="center"/>
          </w:tcPr>
          <w:p>
            <w:pPr>
              <w:pStyle w:val="TableContents"/>
              <w:bidi w:val="0"/>
              <w:spacing w:before="0" w:after="283"/>
              <w:ind w:left="0" w:right="0" w:firstLine="5260"/>
              <w:jc w:val="left"/>
              <w:rPr>
                <w:rFonts w:ascii="Times New Roman" w:hAnsi="Times New Roman"/>
                <w:color w:val="000000"/>
                <w:sz w:val="20"/>
              </w:rPr>
            </w:pPr>
            <w:r>
              <w:rPr>
                <w:rFonts w:ascii="Times New Roman" w:hAnsi="Times New Roman"/>
                <w:color w:val="000000"/>
                <w:sz w:val="20"/>
              </w:rPr>
              <w:t>/s/Jeff Rudolph</w:t>
            </w:r>
          </w:p>
        </w:tc>
      </w:tr>
      <w:tr>
        <w:trPr/>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Jeff Rudolph</w:t>
            </w:r>
          </w:p>
        </w:tc>
      </w:tr>
      <w:tr>
        <w:trPr/>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EIDP, INC.</w:t>
            </w:r>
          </w:p>
        </w:tc>
      </w:tr>
      <w:tr>
        <w:trPr/>
        <w:tc>
          <w:tcPr>
            <w:tcW w:w="55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06" w:type="dxa"/>
            <w:tcBorders/>
            <w:tcMar>
              <w:top w:w="0" w:type="dxa"/>
              <w:left w:w="0" w:type="dxa"/>
              <w:bottom w:w="0" w:type="dxa"/>
              <w:right w:w="0" w:type="dxa"/>
            </w:tcMar>
            <w:vAlign w:val="center"/>
          </w:tcPr>
          <w:p>
            <w:pPr>
              <w:pStyle w:val="TableContents"/>
              <w:bidi w:val="0"/>
              <w:spacing w:before="0" w:after="283"/>
              <w:ind w:left="0" w:right="0" w:firstLine="5260"/>
              <w:jc w:val="left"/>
              <w:rPr>
                <w:rFonts w:ascii="Times New Roman" w:hAnsi="Times New Roman"/>
                <w:color w:val="000000"/>
                <w:sz w:val="20"/>
              </w:rPr>
            </w:pPr>
            <w:r>
              <w:rPr>
                <w:rFonts w:ascii="Times New Roman" w:hAnsi="Times New Roman"/>
                <w:color w:val="000000"/>
                <w:sz w:val="20"/>
              </w:rPr>
              <w:t>By:</w:t>
            </w:r>
          </w:p>
        </w:tc>
        <w:tc>
          <w:tcPr>
            <w:tcW w:w="6131" w:type="dxa"/>
            <w:tcBorders>
              <w:bottom w:val="single" w:sz="4" w:space="0" w:color="000000"/>
            </w:tcBorders>
            <w:tcMar>
              <w:top w:w="0" w:type="dxa"/>
              <w:left w:w="0" w:type="dxa"/>
              <w:right w:w="0" w:type="dxa"/>
            </w:tcMar>
            <w:vAlign w:val="center"/>
          </w:tcPr>
          <w:p>
            <w:pPr>
              <w:pStyle w:val="TableContents"/>
              <w:bidi w:val="0"/>
              <w:spacing w:before="0" w:after="283"/>
              <w:ind w:left="0" w:right="0" w:firstLine="5260"/>
              <w:jc w:val="left"/>
              <w:rPr>
                <w:rFonts w:ascii="Times New Roman" w:hAnsi="Times New Roman"/>
                <w:color w:val="000000"/>
                <w:sz w:val="20"/>
              </w:rPr>
            </w:pPr>
            <w:r>
              <w:rPr>
                <w:rFonts w:ascii="Times New Roman" w:hAnsi="Times New Roman"/>
                <w:color w:val="000000"/>
                <w:sz w:val="20"/>
              </w:rPr>
              <w:t>/s/ Jeff Rudolph</w:t>
            </w:r>
          </w:p>
        </w:tc>
      </w:tr>
      <w:tr>
        <w:trPr/>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Jeff Rudolph</w:t>
            </w:r>
          </w:p>
        </w:tc>
      </w:tr>
      <w:tr>
        <w:trPr/>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 Chief Financial Officer</w:t>
            </w:r>
          </w:p>
        </w:tc>
      </w:tr>
    </w:tbl>
    <w:p>
      <w:pPr>
        <w:pStyle w:val="TextBody"/>
        <w:bidi w:val="0"/>
        <w:spacing w:before="17"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1032</Words>
  <Characters>5638</Characters>
  <CharactersWithSpaces>6639</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