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3420d8k.htm"/>
      <w:bookmarkStart w:id="1" w:name="ksd16342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14,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Corteva, Inc. </w:t>
      </w:r>
    </w:p>
    <w:p>
      <w:pPr>
        <w:pStyle w:val="TextBody"/>
        <w:bidi w:val="0"/>
        <w:spacing w:before="0" w:after="0"/>
        <w:jc w:val="center"/>
        <w:rPr>
          <w:rFonts w:ascii="Times New Roman" w:hAnsi="Times New Roman"/>
          <w:b/>
          <w:sz w:val="48"/>
        </w:rPr>
      </w:pPr>
      <w:r>
        <w:rPr>
          <w:rFonts w:ascii="Times New Roman" w:hAnsi="Times New Roman"/>
          <w:b/>
          <w:sz w:val="48"/>
        </w:rPr>
        <w:t xml:space="preserve">EIDP,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993" w:type="dxa"/>
        <w:jc w:val="left"/>
        <w:tblInd w:w="0" w:type="dxa"/>
        <w:tblLayout w:type="fixed"/>
        <w:tblCellMar>
          <w:top w:w="0" w:type="dxa"/>
          <w:left w:w="0" w:type="dxa"/>
          <w:bottom w:w="0" w:type="dxa"/>
          <w:right w:w="0" w:type="dxa"/>
        </w:tblCellMar>
      </w:tblPr>
      <w:tblGrid>
        <w:gridCol w:w="2961"/>
        <w:gridCol w:w="86"/>
        <w:gridCol w:w="1516"/>
        <w:gridCol w:w="60"/>
        <w:gridCol w:w="1370"/>
      </w:tblGrid>
      <w:tr>
        <w:trPr/>
        <w:tc>
          <w:tcPr>
            <w:tcW w:w="2961"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961" w:type="dxa"/>
            <w:tcBorders/>
            <w:vAlign w:val="center"/>
          </w:tcPr>
          <w:p>
            <w:pPr>
              <w:pStyle w:val="TableContents"/>
              <w:bidi w:val="0"/>
              <w:spacing w:before="0" w:after="0"/>
              <w:jc w:val="center"/>
              <w:rPr>
                <w:b/>
              </w:rPr>
            </w:pPr>
            <w:r>
              <w:rPr>
                <w:b/>
              </w:rPr>
              <w:t>Delaware</w:t>
            </w:r>
          </w:p>
        </w:tc>
        <w:tc>
          <w:tcPr>
            <w:tcW w:w="8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0"/>
              <w:jc w:val="center"/>
              <w:rPr>
                <w:b/>
              </w:rPr>
            </w:pPr>
            <w:r>
              <w:rPr>
                <w:b/>
              </w:rPr>
              <w:t>001-38710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82-4979096</w:t>
            </w:r>
          </w:p>
        </w:tc>
      </w:tr>
      <w:tr>
        <w:trPr/>
        <w:tc>
          <w:tcPr>
            <w:tcW w:w="2961" w:type="dxa"/>
            <w:tcBorders/>
            <w:vAlign w:val="center"/>
          </w:tcPr>
          <w:p>
            <w:pPr>
              <w:pStyle w:val="TableContents"/>
              <w:bidi w:val="0"/>
              <w:spacing w:before="0" w:after="0"/>
              <w:jc w:val="center"/>
              <w:rPr>
                <w:b/>
              </w:rPr>
            </w:pPr>
            <w:r>
              <w:rPr>
                <w:b/>
              </w:rPr>
              <w:t>Delaware</w:t>
            </w:r>
          </w:p>
        </w:tc>
        <w:tc>
          <w:tcPr>
            <w:tcW w:w="8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0"/>
              <w:jc w:val="center"/>
              <w:rPr>
                <w:b/>
              </w:rPr>
            </w:pPr>
            <w:r>
              <w:rPr>
                <w:b/>
              </w:rPr>
              <w:t>001-00815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51-0014090</w:t>
            </w:r>
          </w:p>
        </w:tc>
      </w:tr>
      <w:tr>
        <w:trPr/>
        <w:tc>
          <w:tcPr>
            <w:tcW w:w="296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86"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563"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563"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9330 Zionsville Road, Indianapolis, Indiana</w:t>
            </w:r>
          </w:p>
          <w:p>
            <w:pPr>
              <w:pStyle w:val="TableContents"/>
              <w:bidi w:val="0"/>
              <w:spacing w:before="0" w:after="20"/>
              <w:jc w:val="center"/>
              <w:rPr>
                <w:rFonts w:ascii="Times New Roman" w:hAnsi="Times New Roman"/>
                <w:b/>
                <w:sz w:val="20"/>
              </w:rPr>
            </w:pPr>
            <w:r>
              <w:rPr>
                <w:rFonts w:ascii="Times New Roman" w:hAnsi="Times New Roman"/>
                <w:b/>
                <w:sz w:val="20"/>
              </w:rPr>
              <w:t>1000 N. West Street, Suite 900, Wilmington, 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46268</w:t>
            </w:r>
          </w:p>
          <w:p>
            <w:pPr>
              <w:pStyle w:val="TableContents"/>
              <w:bidi w:val="0"/>
              <w:spacing w:before="0" w:after="20"/>
              <w:jc w:val="center"/>
              <w:rPr>
                <w:rFonts w:ascii="Times New Roman" w:hAnsi="Times New Roman"/>
                <w:b/>
                <w:sz w:val="20"/>
              </w:rPr>
            </w:pPr>
            <w:r>
              <w:rPr>
                <w:rFonts w:ascii="Times New Roman" w:hAnsi="Times New Roman"/>
                <w:b/>
                <w:sz w:val="20"/>
              </w:rPr>
              <w:t>19801</w:t>
            </w:r>
          </w:p>
        </w:tc>
      </w:tr>
      <w:tr>
        <w:trPr/>
        <w:tc>
          <w:tcPr>
            <w:tcW w:w="4563" w:type="dxa"/>
            <w:gridSpan w:val="3"/>
            <w:tcBorders/>
            <w:vAlign w:val="center"/>
          </w:tcPr>
          <w:p>
            <w:pPr>
              <w:pStyle w:val="TableContents"/>
              <w:bidi w:val="0"/>
              <w:spacing w:before="0" w:after="0"/>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(833) 267-8382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z w:val="20"/>
        </w:rPr>
      </w:pPr>
      <w:r>
        <w:rPr>
          <w:rFonts w:ascii="Times New Roman" w:hAnsi="Times New Roman"/>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245"/>
        <w:gridCol w:w="3800"/>
      </w:tblGrid>
      <w:tr>
        <w:trPr/>
        <w:tc>
          <w:tcPr>
            <w:tcW w:w="245"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z w:val="20"/>
              </w:rPr>
            </w:pPr>
            <w:r>
              <w:rPr>
                <w:rFonts w:ascii="Times New Roman" w:hAnsi="Times New Roman"/>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240.14a-12)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240.14d-2(b)) </w:t>
            </w:r>
          </w:p>
        </w:tc>
      </w:tr>
    </w:tbl>
    <w:p>
      <w:pPr>
        <w:pStyle w:val="TextBody"/>
        <w:bidi w:val="0"/>
        <w:spacing w:before="0" w:after="0"/>
        <w:jc w:val="left"/>
        <w:rPr/>
      </w:pPr>
      <w:r>
        <w:rPr/>
        <w:t> </w:t>
      </w:r>
    </w:p>
    <w:tbl>
      <w:tblPr>
        <w:tblW w:w="4960" w:type="dxa"/>
        <w:jc w:val="left"/>
        <w:tblInd w:w="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z w:val="20"/>
              </w:rPr>
            </w:pPr>
            <w:r>
              <w:rPr>
                <w:rFonts w:ascii="Times New Roman" w:hAnsi="Times New Roman"/>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z w:val="20"/>
              </w:rPr>
            </w:pPr>
            <w:r>
              <w:rPr>
                <w:rFonts w:ascii="Times New Roman" w:hAnsi="Times New Roman"/>
                <w:sz w:val="20"/>
              </w:rPr>
              <w:t>240.13e-4(c))</w:t>
            </w:r>
          </w:p>
          <w:p>
            <w:pPr>
              <w:pStyle w:val="TableContents"/>
              <w:bidi w:val="0"/>
              <w:spacing w:before="0" w:after="0"/>
              <w:jc w:val="left"/>
              <w:rPr>
                <w:rFonts w:ascii="Times New Roman" w:hAnsi="Times New Roman"/>
                <w:sz w:val="20"/>
              </w:rPr>
            </w:pPr>
            <w:r>
              <w:rPr>
                <w:rFonts w:ascii="Times New Roman" w:hAnsi="Times New Roman"/>
                <w:sz w:val="20"/>
              </w:rPr>
              <w:t xml:space="preserve">Securities registered pursuant to Section 12(b) of the Act: </w:t>
            </w:r>
          </w:p>
        </w:tc>
      </w:tr>
    </w:tbl>
    <w:p>
      <w:pPr>
        <w:pStyle w:val="TextBody"/>
        <w:bidi w:val="0"/>
        <w:spacing w:before="0" w:after="0"/>
        <w:jc w:val="left"/>
        <w:rPr/>
      </w:pPr>
      <w:r>
        <w:rPr/>
        <w:t> </w:t>
      </w:r>
    </w:p>
    <w:tbl>
      <w:tblPr>
        <w:tblW w:w="8570" w:type="dxa"/>
        <w:jc w:val="left"/>
        <w:tblInd w:w="0" w:type="dxa"/>
        <w:tblLayout w:type="fixed"/>
        <w:tblCellMar>
          <w:top w:w="0" w:type="dxa"/>
          <w:left w:w="0" w:type="dxa"/>
          <w:bottom w:w="0" w:type="dxa"/>
          <w:right w:w="0" w:type="dxa"/>
        </w:tblCellMar>
      </w:tblPr>
      <w:tblGrid>
        <w:gridCol w:w="1265"/>
        <w:gridCol w:w="60"/>
        <w:gridCol w:w="3095"/>
        <w:gridCol w:w="60"/>
        <w:gridCol w:w="1370"/>
        <w:gridCol w:w="60"/>
        <w:gridCol w:w="2660"/>
      </w:tblGrid>
      <w:tr>
        <w:trPr/>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Registrant</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 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265" w:type="dxa"/>
            <w:tcBorders/>
            <w:vAlign w:val="center"/>
          </w:tcPr>
          <w:p>
            <w:pPr>
              <w:pStyle w:val="TableContents"/>
              <w:bidi w:val="0"/>
              <w:spacing w:before="0" w:after="283"/>
              <w:jc w:val="center"/>
              <w:rPr/>
            </w:pPr>
            <w:r>
              <w:rPr/>
              <w:t>Corteva,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CTVA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$3.50 Series Preferred Stock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CTAPrA</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1265" w:type="dxa"/>
            <w:tcBorders/>
            <w:vAlign w:val="center"/>
          </w:tcPr>
          <w:p>
            <w:pPr>
              <w:pStyle w:val="TableContents"/>
              <w:bidi w:val="0"/>
              <w:spacing w:before="0" w:after="283"/>
              <w:jc w:val="center"/>
              <w:rPr/>
            </w:pPr>
            <w:r>
              <w:rPr/>
              <w:t>EIDP, Inc.</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$4.50 Series Preferred Stock</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pPr>
            <w:r>
              <w:rPr/>
              <w:t>CTAPrB</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z w:val="20"/>
        </w:rPr>
      </w:pPr>
      <w:r>
        <w:rPr>
          <w:rFonts w:ascii="Times New Roman" w:hAnsi="Times New Roman"/>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14, 2026, Vylor, Inc., a subsidiary of Corteva, Inc. (“Corteva” or the “Company”) filed its first amendment to its Form 10 registration statement (“Form 10”) with the U.S. Securities and Exchange Commission in connection with Corteva’s previously announced separation of the seed business into an independent, public company. The filing provides detailed information on Vylor’s business, strategy and historical financial results. The Form 10 registration statement is available at www.sec.gov under “Vylor Inc.” and on Corteva’s investor relations website, investors.corteva.com under “Financial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on Forward-Looking Statements </w:t>
      </w:r>
    </w:p>
    <w:p>
      <w:pPr>
        <w:pStyle w:val="TextBody"/>
        <w:bidi w:val="0"/>
        <w:spacing w:before="120" w:after="0"/>
        <w:jc w:val="left"/>
        <w:rPr>
          <w:rFonts w:ascii="Times New Roman" w:hAnsi="Times New Roman"/>
          <w:i/>
          <w:sz w:val="20"/>
        </w:rPr>
      </w:pPr>
      <w:r>
        <w:rPr>
          <w:rFonts w:ascii="Times New Roman" w:hAnsi="Times New Roman"/>
          <w:i/>
          <w:sz w:val="20"/>
        </w:rPr>
        <w:t xml:space="preserve">This report contains certain forward-looking statements. Words such as “intend,” “will,” “may,” and “expect,” and variations of such words and similar future or conditional expressions are intended to identify forward-looking statements. Examples of forward-looking statements include, but are not limited to, the Company’s intent to separate and its related expectations for Corteva and Vylor. These forward-looking statements reflect management’s current expectations and are not guarantees of future performance and are subject to a number of risks and uncertainties, many of which are difficult to predict and beyond the Company’s control. </w:t>
      </w:r>
    </w:p>
    <w:p>
      <w:pPr>
        <w:pStyle w:val="TextBody"/>
        <w:bidi w:val="0"/>
        <w:spacing w:before="360" w:after="0"/>
        <w:jc w:val="left"/>
        <w:rPr>
          <w:rFonts w:ascii="Times New Roman" w:hAnsi="Times New Roman"/>
          <w:i/>
          <w:sz w:val="20"/>
        </w:rPr>
      </w:pPr>
      <w:r>
        <w:rPr>
          <w:rFonts w:ascii="Times New Roman" w:hAnsi="Times New Roman"/>
          <w:i/>
          <w:sz w:val="20"/>
        </w:rPr>
        <w:t xml:space="preserve">Important factors that may affect the Company’s business and operations and that may cause actual results to differ materially from those in the forward-looking statements include, but are not limited to, whether the objectives of the spin-off will be achieved; the terms, structure, benefits and costs of any action or transaction resulting from the spin-off; the timing of any such spin-off or related action and whether any such spin-off will be consummated at all; the risk that the announcement of the intended spin-off could have an adverse effect on the ability of the Company to retain and hire key personnel and maintain relationships with customers, suppliers, employees, shareholders and other business relationships and on its operating results and business generally; the risk the spin-off could divert the attention and time of the Company’s management; the risk of any unexpected costs or expenses resulting from the spin-off process or spin-off itself; and the risk of any litigation relating to the spin-off, as well as the risks and uncertainties described in the Company’s risk factors, as they may be amended from time to time, set forth in its filings with the U.S. Securities and Exchange Commission. The Company disclaims and does not undertake any obligation to update, revise, or withdraw any forward-looking statement in this report, except as required by applicable law or regulation.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each registrant has duly caused this report to be signed on its behalf by the undersigned, hereunto duly authorized.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58"/>
        <w:gridCol w:w="60"/>
        <w:gridCol w:w="23"/>
        <w:gridCol w:w="60"/>
        <w:gridCol w:w="356"/>
        <w:gridCol w:w="60"/>
        <w:gridCol w:w="7688"/>
      </w:tblGrid>
      <w:tr>
        <w:trPr/>
        <w:tc>
          <w:tcPr>
            <w:tcW w:w="1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8" w:type="dxa"/>
            <w:tcBorders/>
            <w:vAlign w:val="center"/>
          </w:tcPr>
          <w:p>
            <w:pPr>
              <w:pStyle w:val="TableContents"/>
              <w:bidi w:val="0"/>
              <w:spacing w:before="0" w:after="283"/>
              <w:jc w:val="left"/>
              <w:rPr>
                <w:sz w:val="4"/>
                <w:szCs w:val="4"/>
              </w:rPr>
            </w:pPr>
            <w:r>
              <w:rPr>
                <w:sz w:val="4"/>
                <w:szCs w:val="4"/>
              </w:rPr>
            </w:r>
          </w:p>
        </w:tc>
      </w:tr>
      <w:tr>
        <w:trPr/>
        <w:tc>
          <w:tcPr>
            <w:tcW w:w="1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04" w:type="dxa"/>
            <w:gridSpan w:val="3"/>
            <w:tcBorders/>
            <w:vAlign w:val="center"/>
          </w:tcPr>
          <w:p>
            <w:pPr>
              <w:pStyle w:val="TableContents"/>
              <w:bidi w:val="0"/>
              <w:spacing w:before="0" w:after="283"/>
              <w:jc w:val="left"/>
              <w:rPr/>
            </w:pPr>
            <w:r>
              <w:rPr/>
              <w:t>CORTEVA, INC.</w:t>
            </w:r>
          </w:p>
        </w:tc>
      </w:tr>
      <w:tr>
        <w:trPr/>
        <w:tc>
          <w:tcPr>
            <w:tcW w:w="1958"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7748" w:type="dxa"/>
            <w:gridSpan w:val="2"/>
            <w:tcBorders/>
            <w:vAlign w:val="center"/>
          </w:tcPr>
          <w:p>
            <w:pPr>
              <w:pStyle w:val="TableContents"/>
              <w:bidi w:val="0"/>
              <w:spacing w:before="0" w:after="283"/>
              <w:jc w:val="left"/>
              <w:rPr>
                <w:sz w:val="4"/>
                <w:szCs w:val="4"/>
              </w:rPr>
            </w:pPr>
            <w:r>
              <w:rPr>
                <w:sz w:val="4"/>
                <w:szCs w:val="4"/>
              </w:rPr>
            </w:r>
          </w:p>
        </w:tc>
      </w:tr>
      <w:tr>
        <w:trPr/>
        <w:tc>
          <w:tcPr>
            <w:tcW w:w="1958" w:type="dxa"/>
            <w:tcBorders/>
            <w:vAlign w:val="center"/>
          </w:tcPr>
          <w:p>
            <w:pPr>
              <w:pStyle w:val="TableContents"/>
              <w:bidi w:val="0"/>
              <w:spacing w:before="0" w:after="283"/>
              <w:jc w:val="left"/>
              <w:rPr/>
            </w:pPr>
            <w:r>
              <w:rPr/>
              <w:t>Date: August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68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A. Johnson</w:t>
            </w:r>
          </w:p>
        </w:tc>
      </w:tr>
      <w:tr>
        <w:trPr/>
        <w:tc>
          <w:tcPr>
            <w:tcW w:w="1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left"/>
              <w:rPr/>
            </w:pPr>
            <w:r>
              <w:rPr/>
              <w:t>Name: Jennifer A. Johnson</w:t>
            </w:r>
          </w:p>
        </w:tc>
      </w:tr>
      <w:tr>
        <w:trPr/>
        <w:tc>
          <w:tcPr>
            <w:tcW w:w="1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left"/>
              <w:rPr/>
            </w:pPr>
            <w:r>
              <w:rPr/>
              <w:t>Title: Senior Vice President, Chief Legal and Public Affairs Officer, and Company Secretary</w:t>
            </w:r>
          </w:p>
        </w:tc>
      </w:tr>
      <w:tr>
        <w:trPr/>
        <w:tc>
          <w:tcPr>
            <w:tcW w:w="1958"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164" w:type="dxa"/>
            <w:gridSpan w:val="4"/>
            <w:tcBorders/>
            <w:vAlign w:val="center"/>
          </w:tcPr>
          <w:p>
            <w:pPr>
              <w:pStyle w:val="TableContents"/>
              <w:bidi w:val="0"/>
              <w:spacing w:before="0" w:after="283"/>
              <w:jc w:val="left"/>
              <w:rPr>
                <w:sz w:val="4"/>
                <w:szCs w:val="4"/>
              </w:rPr>
            </w:pPr>
            <w:r>
              <w:rPr>
                <w:sz w:val="4"/>
                <w:szCs w:val="4"/>
              </w:rPr>
            </w:r>
          </w:p>
        </w:tc>
      </w:tr>
      <w:tr>
        <w:trPr/>
        <w:tc>
          <w:tcPr>
            <w:tcW w:w="1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04" w:type="dxa"/>
            <w:gridSpan w:val="3"/>
            <w:tcBorders/>
            <w:vAlign w:val="center"/>
          </w:tcPr>
          <w:p>
            <w:pPr>
              <w:pStyle w:val="TableContents"/>
              <w:bidi w:val="0"/>
              <w:spacing w:before="0" w:after="283"/>
              <w:jc w:val="left"/>
              <w:rPr/>
            </w:pPr>
            <w:r>
              <w:rPr/>
              <w:t>EIDP, INC.</w:t>
            </w:r>
          </w:p>
        </w:tc>
      </w:tr>
      <w:tr>
        <w:trPr/>
        <w:tc>
          <w:tcPr>
            <w:tcW w:w="1958"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7748" w:type="dxa"/>
            <w:gridSpan w:val="2"/>
            <w:tcBorders/>
            <w:vAlign w:val="center"/>
          </w:tcPr>
          <w:p>
            <w:pPr>
              <w:pStyle w:val="TableContents"/>
              <w:bidi w:val="0"/>
              <w:spacing w:before="0" w:after="283"/>
              <w:jc w:val="left"/>
              <w:rPr>
                <w:sz w:val="4"/>
                <w:szCs w:val="4"/>
              </w:rPr>
            </w:pPr>
            <w:r>
              <w:rPr>
                <w:sz w:val="4"/>
                <w:szCs w:val="4"/>
              </w:rPr>
            </w:r>
          </w:p>
        </w:tc>
      </w:tr>
      <w:tr>
        <w:trPr/>
        <w:tc>
          <w:tcPr>
            <w:tcW w:w="1958" w:type="dxa"/>
            <w:tcBorders/>
            <w:vAlign w:val="center"/>
          </w:tcPr>
          <w:p>
            <w:pPr>
              <w:pStyle w:val="TableContents"/>
              <w:bidi w:val="0"/>
              <w:spacing w:before="0" w:after="283"/>
              <w:jc w:val="left"/>
              <w:rPr/>
            </w:pPr>
            <w:r>
              <w:rPr/>
              <w:t>Date: August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68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Jennifer A. Johnson</w:t>
            </w:r>
          </w:p>
        </w:tc>
      </w:tr>
      <w:tr>
        <w:trPr/>
        <w:tc>
          <w:tcPr>
            <w:tcW w:w="1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left"/>
              <w:rPr/>
            </w:pPr>
            <w:r>
              <w:rPr/>
              <w:t>Name: Jennifer A. Johnson</w:t>
            </w:r>
          </w:p>
        </w:tc>
      </w:tr>
      <w:tr>
        <w:trPr/>
        <w:tc>
          <w:tcPr>
            <w:tcW w:w="19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688" w:type="dxa"/>
            <w:tcBorders/>
            <w:vAlign w:val="center"/>
          </w:tcPr>
          <w:p>
            <w:pPr>
              <w:pStyle w:val="TableContents"/>
              <w:bidi w:val="0"/>
              <w:spacing w:before="0" w:after="283"/>
              <w:jc w:val="left"/>
              <w:rPr/>
            </w:pPr>
            <w:r>
              <w:rPr/>
              <w:t>Title: Senior Vice President, Chief Legal and Public Affairs Officer, and Company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826</Words>
  <Characters>4687</Characters>
  <CharactersWithSpaces>5518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