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5079d8k.htm"/>
      <w:bookmarkStart w:id="1" w:name="ksd11507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Vylor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001-43376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41-2930124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4085"/>
        <w:gridCol w:w="60"/>
        <w:gridCol w:w="1145"/>
      </w:tblGrid>
      <w:tr>
        <w:trPr/>
        <w:tc>
          <w:tcPr>
            <w:tcW w:w="4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283"/>
              <w:jc w:val="center"/>
              <w:rPr>
                <w:b/>
              </w:rPr>
            </w:pPr>
            <w:r>
              <w:rPr>
                <w:b/>
              </w:rPr>
              <w:t>7100 NW 62nd Avenue, Johnston, Iowa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50131</w:t>
            </w:r>
          </w:p>
        </w:tc>
      </w:tr>
      <w:tr>
        <w:trPr/>
        <w:tc>
          <w:tcPr>
            <w:tcW w:w="408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(833) 267-8382</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par value $0.01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VYLR</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October 1, 2026, Corteva, Inc. (“Corteva”) completed its previously announced separation of Corteva, Inc. (“Corteva”), the parent company of Vylor Inc. (“Vylor”), into two independent, publicly traded companies (the “Separation”) through the separation of Corteva’s seed operating segment into an independent, publicly traded company, Vylor. The Separation was effected through a pro rata distribution of all of the outstanding shares of common stock, par value $0.01 per share, of Vylor to holders of common stock, par value $0.01 per share, of Corteva as of the close of business on September 24, 2026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Distribution, Vylor became an independent, publicly traded company. Vylor common stock is expected to commence regular-way trading on the New York Stock Exchange under the symbol “VYLR” on October 1, 2026. </w:t>
      </w:r>
    </w:p>
    <w:p>
      <w:pPr>
        <w:pStyle w:val="TextBody"/>
        <w:bidi w:val="0"/>
        <w:spacing w:before="360" w:after="0"/>
        <w:jc w:val="left"/>
        <w:rPr>
          <w:rFonts w:ascii="Times New Roman" w:hAnsi="Times New Roman"/>
          <w:b/>
          <w:sz w:val="20"/>
        </w:rPr>
      </w:pPr>
      <w:r>
        <w:rPr>
          <w:rFonts w:ascii="Times New Roman" w:hAnsi="Times New Roman"/>
          <w:b/>
          <w:sz w:val="20"/>
        </w:rPr>
        <w:t>Cautionary Statement Concerning Forward Looking Statements</w:t>
      </w:r>
    </w:p>
    <w:p>
      <w:pPr>
        <w:pStyle w:val="TextBody"/>
        <w:bidi w:val="0"/>
        <w:spacing w:before="120" w:after="0"/>
        <w:jc w:val="left"/>
        <w:rPr>
          <w:rFonts w:ascii="Times New Roman" w:hAnsi="Times New Roman"/>
          <w:sz w:val="20"/>
        </w:rPr>
      </w:pPr>
      <w:r>
        <w:rPr>
          <w:rFonts w:ascii="Times New Roman" w:hAnsi="Times New Roman"/>
          <w:sz w:val="20"/>
        </w:rPr>
        <w:t xml:space="preserve">Vylor and its representatives may from time to time make written or oral statements that are “forward-looking” and provide other than historical information, including statements contained in this Current Report on Form 8-K, in Vylor’s other filings with the SEC, and in presentations, reports or letters to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Vylor identifies these forward-looking statements by such words or phrases as “plans,” “outlook,” “will,” “is designed to,” “is confident that,” “expect,” “expects,” “should,” “could,” “may,” “will continue to,” “believe,” “believes,” “anticipates,” “predicts,” “forecasts,” “estimates,” “projects,” “potential,” “intends,” or similar expressions identifying “forward-looking statements” within the meaning of the Private Securities Litigation Reform Act of 1995, including the negative of those words or phrases. Such forward-looking statements are based on Vylor’s current views and assumptions regarding future events, future business conditions and the outlook for Vylor based on currently available information. The forward-looking statements involve known and unknown risks, uncertainties and other factors that may cause actual results to be materially different from any results, levels of activity, performance or achievements expressed or implied by any forward-looking statement. These statements are qualified by reference to the “Risk Factors” and “Cautionary Statement Concerning Forward-Looking Statements” sections of the Information Statement and to similar risk factors and cautionary statements in all other reports and forms filed by Vylor with the SEC. </w:t>
      </w:r>
    </w:p>
    <w:p>
      <w:pPr>
        <w:pStyle w:val="TextBody"/>
        <w:bidi w:val="0"/>
        <w:spacing w:before="240" w:after="0"/>
        <w:jc w:val="left"/>
        <w:rPr>
          <w:rFonts w:ascii="Times New Roman" w:hAnsi="Times New Roman"/>
          <w:sz w:val="20"/>
        </w:rPr>
      </w:pPr>
      <w:r>
        <w:rPr>
          <w:rFonts w:ascii="Times New Roman" w:hAnsi="Times New Roman"/>
          <w:sz w:val="20"/>
        </w:rPr>
        <w:t xml:space="preserve">Vylor wishes to caution readers not to place undue reliance on any such forward-looking statements, which speak only as of the date made. Forward-looking statements are qualified in their entirety by the above cautionary statement. Vylor specifically declines to undertake any obligation, and specifically disclaim any duty, to publicly update or revise any forward-looking statements that have been made to reflect events or circumstances after the date of such statements or to reflect the occurrence of anticipated or unanticipated events, except as may be required by law.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665"/>
        <w:gridCol w:w="60"/>
        <w:gridCol w:w="22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b/>
              </w:rPr>
            </w:pPr>
            <w:r>
              <w:rPr>
                <w:b/>
              </w:rPr>
              <w:t>VYLOR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Johnson</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David P. Johnson</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1,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785</Words>
  <Characters>4526</Characters>
  <CharactersWithSpaces>5294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