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5395d8k.htm"/>
      <w:bookmarkStart w:id="1" w:name="ksd4053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001-38710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82-4979096</w:t>
            </w:r>
          </w:p>
        </w:tc>
      </w:tr>
      <w:tr>
        <w:trPr/>
        <w:tc>
          <w:tcPr>
            <w:tcW w:w="198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001-00815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51-0014090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5510"/>
        <w:gridCol w:w="60"/>
        <w:gridCol w:w="1145"/>
      </w:tblGrid>
      <w:tr>
        <w:trPr/>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center"/>
              <w:rPr>
                <w:b/>
              </w:rPr>
            </w:pPr>
            <w:r>
              <w:rPr>
                <w:b/>
              </w:rPr>
              <w:t>9330 Zionsville Road, Indianapolis,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46268</w:t>
            </w:r>
          </w:p>
        </w:tc>
      </w:tr>
      <w:tr>
        <w:trPr/>
        <w:tc>
          <w:tcPr>
            <w:tcW w:w="5510" w:type="dxa"/>
            <w:tcBorders/>
            <w:vAlign w:val="center"/>
          </w:tcPr>
          <w:p>
            <w:pPr>
              <w:pStyle w:val="TableContents"/>
              <w:bidi w:val="0"/>
              <w:spacing w:before="0" w:after="0"/>
              <w:jc w:val="center"/>
              <w:rPr>
                <w:b/>
              </w:rPr>
            </w:pPr>
            <w:r>
              <w:rPr>
                <w:b/>
              </w:rPr>
              <w:t>1000 N. West Street, Suite 800,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19801</w:t>
            </w:r>
          </w:p>
        </w:tc>
      </w:tr>
      <w:tr>
        <w:trPr/>
        <w:tc>
          <w:tcPr>
            <w:tcW w:w="5510"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(833) </w:t>
      </w:r>
    </w:p>
    <w:p>
      <w:pPr>
        <w:pStyle w:val="TextBody"/>
        <w:bidi w:val="0"/>
        <w:spacing w:before="240" w:after="0"/>
        <w:jc w:val="center"/>
        <w:rPr>
          <w:rFonts w:ascii="Times New Roman" w:hAnsi="Times New Roman"/>
          <w:b/>
          <w:sz w:val="20"/>
        </w:rPr>
      </w:pPr>
      <w:r>
        <w:rPr>
          <w:rFonts w:ascii="Times New Roman" w:hAnsi="Times New Roman"/>
          <w:b/>
          <w:sz w:val="20"/>
        </w:rPr>
        <w:t>267-8382</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w:t>
      </w:r>
    </w:p>
    <w:p>
      <w:pPr>
        <w:pStyle w:val="TextBody"/>
        <w:bidi w:val="0"/>
        <w:spacing w:before="240" w:after="0"/>
        <w:jc w:val="left"/>
        <w:rPr>
          <w:rFonts w:ascii="Times New Roman" w:hAnsi="Times New Roman"/>
          <w:sz w:val="20"/>
        </w:rPr>
      </w:pPr>
      <w:r>
        <w:rPr>
          <w:rFonts w:ascii="Times New Roman" w:hAnsi="Times New Roman"/>
          <w:sz w:val="20"/>
        </w:rPr>
        <w:t>Form 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Rule 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240.14a-12)</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w:t>
            </w:r>
          </w:p>
          <w:p>
            <w:pPr>
              <w:pStyle w:val="TableContents"/>
              <w:bidi w:val="0"/>
              <w:spacing w:before="0" w:after="0"/>
              <w:jc w:val="left"/>
              <w:rPr>
                <w:rFonts w:ascii="Times New Roman" w:hAnsi="Times New Roman"/>
                <w:sz w:val="20"/>
              </w:rPr>
            </w:pPr>
            <w:r>
              <w:rPr>
                <w:rFonts w:ascii="Times New Roman" w:hAnsi="Times New Roman"/>
                <w:sz w:val="20"/>
              </w:rPr>
              <w:t>Rule 14d-2(b) under</w:t>
            </w:r>
          </w:p>
          <w:p>
            <w:pPr>
              <w:pStyle w:val="TableContents"/>
              <w:bidi w:val="0"/>
              <w:spacing w:before="0" w:after="0"/>
              <w:jc w:val="left"/>
              <w:rPr>
                <w:rFonts w:ascii="Times New Roman" w:hAnsi="Times New Roman"/>
                <w:sz w:val="20"/>
              </w:rPr>
            </w:pPr>
            <w:r>
              <w:rPr>
                <w:rFonts w:ascii="Times New Roman" w:hAnsi="Times New Roman"/>
                <w:sz w:val="20"/>
              </w:rPr>
              <w:t xml:space="preserve">the Exchange Act (17 CFR </w:t>
            </w:r>
          </w:p>
          <w:p>
            <w:pPr>
              <w:pStyle w:val="TableContents"/>
              <w:bidi w:val="0"/>
              <w:spacing w:before="0" w:after="0"/>
              <w:jc w:val="left"/>
              <w:rPr>
                <w:rFonts w:ascii="Times New Roman" w:hAnsi="Times New Roman"/>
                <w:sz w:val="20"/>
              </w:rPr>
            </w:pPr>
            <w:r>
              <w:rPr>
                <w:rFonts w:ascii="Times New Roman" w:hAnsi="Times New Roman"/>
                <w:sz w:val="20"/>
              </w:rPr>
              <w:t>240.14d-2(b))</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w:t>
            </w:r>
          </w:p>
          <w:p>
            <w:pPr>
              <w:pStyle w:val="TableContents"/>
              <w:bidi w:val="0"/>
              <w:spacing w:before="0" w:after="0"/>
              <w:jc w:val="left"/>
              <w:rPr>
                <w:rFonts w:ascii="Times New Roman" w:hAnsi="Times New Roman"/>
                <w:sz w:val="20"/>
              </w:rPr>
            </w:pPr>
            <w:r>
              <w:rPr>
                <w:rFonts w:ascii="Times New Roman" w:hAnsi="Times New Roman"/>
                <w:sz w:val="20"/>
              </w:rPr>
              <w:t>Rule 13e-4(c) under</w:t>
            </w:r>
          </w:p>
          <w:p>
            <w:pPr>
              <w:pStyle w:val="TableContents"/>
              <w:bidi w:val="0"/>
              <w:spacing w:before="0" w:after="0"/>
              <w:jc w:val="left"/>
              <w:rPr>
                <w:rFonts w:ascii="Times New Roman" w:hAnsi="Times New Roman"/>
                <w:sz w:val="20"/>
              </w:rPr>
            </w:pPr>
            <w:r>
              <w:rPr>
                <w:rFonts w:ascii="Times New Roman" w:hAnsi="Times New Roman"/>
                <w:sz w:val="20"/>
              </w:rPr>
              <w:t xml:space="preserve">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w:t>
      </w:r>
    </w:p>
    <w:p>
      <w:pPr>
        <w:pStyle w:val="TextBody"/>
        <w:bidi w:val="0"/>
        <w:spacing w:before="240" w:after="0"/>
        <w:jc w:val="left"/>
        <w:rPr>
          <w:rFonts w:ascii="Times New Roman" w:hAnsi="Times New Roman"/>
          <w:sz w:val="20"/>
        </w:rPr>
      </w:pPr>
      <w:r>
        <w:rPr>
          <w:rFonts w:ascii="Times New Roman" w:hAnsi="Times New Roman"/>
          <w:sz w:val="20"/>
        </w:rPr>
        <w:t>Rule 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15 states and one sovereign commenced litigation in the United States District Court for the Southern District of Indiana (the “District Court”) challenging the separation of Corteva, Inc. (“Corteva” or the “Company”) and Vylor Inc. (“Vylor”) into two independent, publicly traded companies (the “Separation”) and seeking injunctive relief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2026, the District Court issued a temporary restraining order (the “Order”) in connection with such litigation. The Order temporarily enjoins (i) Corteva and EIDP, Inc. (“EIDP”), a subsidiary of Corteva, from disposing of assets outside the ordinary course of their business operations and (ii) the Company from disposing of assets received in connection with the Separation outside the ordinary course of its business operations, in each case, absent a court order. The Order enjoins each company from paying dividends or repurchasing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2026, at the request of the Company, Corteva and EIDP, the District Court stayed the Order pending resolution of an anticipated emergency motion (the “Motion”) in the United States Court of Appeals for the Seventh Circuit for a stay of the Order pending appeal. Shortly thereafter, the Company, Vylor and EIDP filed a notice of appeal of the Order with the United States Court of Appeals for the Seventh Circuit, accompanied by the Motion. The Motion and appeal remain pending. </w:t>
      </w:r>
    </w:p>
    <w:p>
      <w:pPr>
        <w:pStyle w:val="TextBody"/>
        <w:bidi w:val="0"/>
        <w:spacing w:before="240" w:after="0"/>
        <w:jc w:val="left"/>
        <w:rPr>
          <w:rFonts w:ascii="Times New Roman" w:hAnsi="Times New Roman"/>
          <w:sz w:val="20"/>
        </w:rPr>
      </w:pPr>
      <w:r>
        <w:rPr>
          <w:rFonts w:ascii="Times New Roman" w:hAnsi="Times New Roman"/>
          <w:sz w:val="20"/>
        </w:rPr>
        <w:t xml:space="preserve">The Order does not affect the completion of the Separation, which occurred on October 1, 2026, and the Order is not in effect pending resolution of the Motion. In granting the stay, the District Court relied on the Company’s representation that it did not intend to declare dividends or repurchase shares while the Motion is pending appellate review. The Company strongly contests the legal and factual bases for the relief sought in the litigation and intends to continue vigorously defending against the claims asserted, including by pursuing the appeal and taking all appropriate steps to protect the interests of the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Corteva and its representatives may from time to time make written or oral statements that are “forward-looking” and provide other than historical information, including statements contained in this Current Report on Form 8-K, in Corteva’s other filings with the SEC, and in presentations, reports or letters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Corteva identifies these forward-looking statements by such words or phrases as “plans,” “outlook,” “will,” “is designed to,” “is confident that,” “expect,” “expects,” “should,” “could,” “may,” “will continue to,” “believe,” “believes,” “anticipates,” “predicts,” “forecasts,” “estimates,” “projects,” “potential,” “intends,” or similar expressions identifying “forward-looking statements” within the meaning of the Private Securities Litigation Reform Act of 1995, including the negative of those words or phrases. Such forward-looking statements are based on Corteva’s current views and assumptions regarding future events, future business conditions and the outlook for Corteva based on currently available information. Such forward-looking statements are based on Corteva’s current views and assumptions regarding future events, future business conditions and the outlook for Corteva based on currently available information. The forward-looking statements involve known and unknown risks, uncertainties and other factors that may cause actual results to be materially different from any results, levels of activity, performance or achievements expressed or implied by any forward-looking statement. Such risks and uncertainties include the outcome and timing of the pending litigation and appeal, the possibility that the stay of the Order may be lifted or that additional injunctive relief may be imposed, and the potential consequences of any such restrictions on Corteva’s business and operations. These statements are qualified by reference to the “Risk Factors” and “Cautionary Statement Concerning Forward-Looking Statements” the reports and forms filed by Corteva with the SEC. </w:t>
      </w:r>
    </w:p>
    <w:p>
      <w:pPr>
        <w:pStyle w:val="TextBody"/>
        <w:bidi w:val="0"/>
        <w:spacing w:before="240" w:after="0"/>
        <w:jc w:val="left"/>
        <w:rPr>
          <w:rFonts w:ascii="Times New Roman" w:hAnsi="Times New Roman"/>
          <w:sz w:val="20"/>
        </w:rPr>
      </w:pPr>
      <w:r>
        <w:rPr>
          <w:rFonts w:ascii="Times New Roman" w:hAnsi="Times New Roman"/>
          <w:sz w:val="20"/>
        </w:rPr>
        <w:t xml:space="preserve">Corteva wishes to caution readers not to place undue reliance on any such forward-looking statements, which speak only as of the date made. Forward-looking statements are qualified in their entirety by the above cautionary statement. Corteva specifically declines to undertake any obligation, and specifically disclaims any duty, to publicly update or revise any forward-looking statements that have been made to reflect events or circumstances after the date of such statements or to reflect the occurrence of anticipated or unanticipated events, except as may be required by law.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5825" w:type="dxa"/>
        <w:jc w:val="left"/>
        <w:tblInd w:w="0" w:type="dxa"/>
        <w:tblLayout w:type="fixed"/>
        <w:tblCellMar>
          <w:top w:w="0" w:type="dxa"/>
          <w:left w:w="0" w:type="dxa"/>
          <w:bottom w:w="0" w:type="dxa"/>
          <w:right w:w="0" w:type="dxa"/>
        </w:tblCellMar>
      </w:tblPr>
      <w:tblGrid>
        <w:gridCol w:w="2270"/>
        <w:gridCol w:w="60"/>
        <w:gridCol w:w="500"/>
        <w:gridCol w:w="60"/>
        <w:gridCol w:w="650"/>
        <w:gridCol w:w="60"/>
        <w:gridCol w:w="222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CORTEVA,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13,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Rudolph</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Jeff Rudolph</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2995" w:type="dxa"/>
            <w:gridSpan w:val="4"/>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EIDP,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560"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13, 2026</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Rudolph</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Jeff Rudolph</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1096</Words>
  <Characters>6272</Characters>
  <CharactersWithSpaces>7365</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