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As filed with the Securities and Exchange Commission on May 31, 2019</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57150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REGISTRATION STATEMENT</w:t>
      </w:r>
    </w:p>
    <w:p>
      <w:pPr>
        <w:jc w:val="center"/>
        <w:ind w:right="-2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CORTEVA,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82"/>
              <w:spacing w:after="0"/>
              <w:rPr>
                <w:sz w:val="20"/>
                <w:szCs w:val="20"/>
                <w:color w:val="auto"/>
              </w:rPr>
            </w:pPr>
            <w:r>
              <w:rPr>
                <w:rFonts w:ascii="Arial" w:cs="Arial" w:eastAsia="Arial" w:hAnsi="Arial"/>
                <w:sz w:val="18"/>
                <w:szCs w:val="18"/>
                <w:b w:val="1"/>
                <w:bCs w:val="1"/>
                <w:color w:val="auto"/>
                <w:w w:val="89"/>
              </w:rPr>
              <w:t>82-4979096</w:t>
            </w:r>
          </w:p>
        </w:tc>
      </w:tr>
      <w:tr>
        <w:trPr>
          <w:trHeight w:val="149"/>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974 Centre Road</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Wilmington, Delaware 19805</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(302) 485-3000</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Cornel B. Fuerer</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Corteva, Inc.</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974 Centre Road</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Wilmington, Delaware 19805</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(302) 485-3000</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Ryan J. Dzierniejko</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Four Times Square</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4"/>
          <w:szCs w:val="24"/>
          <w:color w:val="auto"/>
        </w:rPr>
      </w:pPr>
    </w:p>
    <w:p>
      <w:pPr>
        <w:ind w:left="200" w:right="640" w:firstLine="441"/>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100" w:firstLine="441"/>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220" w:firstLine="441"/>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200" w:right="12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left="200" w:firstLine="441"/>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200" w:right="640" w:firstLine="441"/>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ectPr>
          <w:pgSz w:w="11900" w:h="16838" w:orient="portrait"/>
          <w:cols w:equalWidth="0" w:num="1">
            <w:col w:w="11160"/>
          </w:cols>
          <w:pgMar w:left="240" w:top="230" w:right="499" w:bottom="30" w:gutter="0" w:footer="0" w:header="0"/>
        </w:sectPr>
      </w:pPr>
    </w:p>
    <w:bookmarkStart w:id="1" w:name="page2"/>
    <w:bookmarkEnd w:id="1"/>
    <w:p>
      <w:pPr>
        <w:jc w:val="both"/>
        <w:ind w:right="8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to be 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Unit(2)(3)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Subscription Rights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Purchase Contracts and Purchase Units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registered hereunder may be sold separately, together or as units with other securities registered hereunder.</w:t>
      </w:r>
    </w:p>
    <w:p>
      <w:pPr>
        <w:spacing w:after="0" w:line="22"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Omitted pursuant to Form S-3 General Instruction II.E.</w:t>
      </w:r>
    </w:p>
    <w:p>
      <w:pPr>
        <w:spacing w:after="0" w:line="9" w:lineRule="exact"/>
        <w:rPr>
          <w:rFonts w:ascii="Arial" w:cs="Arial" w:eastAsia="Arial" w:hAnsi="Arial"/>
          <w:sz w:val="18"/>
          <w:szCs w:val="18"/>
          <w:color w:val="auto"/>
        </w:rPr>
      </w:pPr>
    </w:p>
    <w:p>
      <w:pPr>
        <w:ind w:left="440" w:right="2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registering an indeterminate number of shares of common stock, shares of preferred stock and depositary shares and amount of debt securities as may be issued upon conversion, exchange or exercise, as applicable, of any preferred stock, depositary shares, debt securities, warrants or subscription rights or settlement of any purchase contracts or purchase units, including such shares of common stock or preferred stock as may be issued pursuant to anti-dilution adjustments determined at the time of offering.</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Rules 456(b) and 457(r) under the Securities Act, the registrant is deferring payment of the entire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43"/>
          <w:szCs w:val="43"/>
          <w:b w:val="1"/>
          <w:bCs w:val="1"/>
          <w:color w:val="auto"/>
        </w:rPr>
        <w:t>Corteva, Inc.</w:t>
      </w:r>
    </w:p>
    <w:p>
      <w:pPr>
        <w:spacing w:after="0" w:line="198"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and</w:t>
      </w:r>
    </w:p>
    <w:p>
      <w:pPr>
        <w:spacing w:after="0" w:line="10"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Purchase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offer, issue and sell, together or separately:</w:t>
      </w:r>
    </w:p>
    <w:p>
      <w:pPr>
        <w:spacing w:after="0" w:line="131" w:lineRule="exact"/>
        <w:rPr>
          <w:sz w:val="20"/>
          <w:szCs w:val="20"/>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 which may be issued in one or more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receipts, representing fractional shares of our preferred stock, which are called depositary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debt securities, which may be issued in one or more series and which may be senior debt securities or subordinated debt securities;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shares of our common stock, shares of our preferred stock or our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rights to purchase shares of our common stock, shares of our preferred stock or our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contracts to purchase shares of our common stock, shares of our preferred stock or our debt securities; and</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units, each representing ownership of a purchase contract and debt securities, preferred securities or debt obligations of third-parties, including U.S. treasury securities, or any combination of the foregoing, securing the holder’s obligation to purchase our common stock or other securities under the purchase contracts.</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00" w:right="700" w:firstLine="44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number of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before you make your investment decision.</w:t>
      </w:r>
    </w:p>
    <w:p>
      <w:pPr>
        <w:spacing w:after="0" w:line="17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may offer securities through underwriting syndicates managed or co-managed by one or more underwriters or dealers, through agents or directly to purchasers. These securities also may be resold by selling securityholders.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common stock will be listed on the New York Stock Exchange (“NYSE”) under the trading symbol “CTVA.” Each prospectus supplement will indicate whether the securities offered thereby will be listed on any securities exchange.</w:t>
      </w:r>
    </w:p>
    <w:p>
      <w:pPr>
        <w:spacing w:after="0" w:line="166"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217805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date of this prospectus is May 31, 2019</w:t>
      </w:r>
    </w:p>
    <w:p>
      <w:pPr>
        <w:sectPr>
          <w:pgSz w:w="11900" w:h="16838" w:orient="portrait"/>
          <w:cols w:equalWidth="0" w:num="1">
            <w:col w:w="11080"/>
          </w:cols>
          <w:pgMar w:left="240" w:top="459"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4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40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WHERE YOU CAN FIND MORE INFORMATION</w:t>
              </w:r>
            </w:hyperlink>
          </w:p>
        </w:tc>
        <w:tc>
          <w:tcPr>
            <w:tcW w:w="48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5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COMPANY</w:t>
              </w:r>
            </w:hyperlink>
          </w:p>
        </w:tc>
        <w:tc>
          <w:tcPr>
            <w:tcW w:w="28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36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5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DESCRIPTION OF SECURITIES</w:t>
              </w:r>
            </w:hyperlink>
          </w:p>
        </w:tc>
        <w:tc>
          <w:tcPr>
            <w:tcW w:w="612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DESCRIPTION OF CAPITAL STOCK</w:t>
              </w:r>
            </w:hyperlink>
          </w:p>
        </w:tc>
        <w:tc>
          <w:tcPr>
            <w:tcW w:w="576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DEPOSITARY SHARES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DEBT SECURITIES</w:t>
              </w:r>
            </w:hyperlink>
          </w:p>
        </w:tc>
        <w:tc>
          <w:tcPr>
            <w:tcW w:w="532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WARRANTS</w:t>
              </w:r>
            </w:hyperlink>
          </w:p>
        </w:tc>
        <w:tc>
          <w:tcPr>
            <w:tcW w:w="562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SUBSCRIPTION RIGHTS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PURCHASE CONTRACTS AND PURCHASE UNITS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5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SELLING SECURITYHOLDERS</w:t>
              </w:r>
            </w:hyperlink>
          </w:p>
        </w:tc>
        <w:tc>
          <w:tcPr>
            <w:tcW w:w="31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3"/>
          </w:tcPr>
          <w:p>
            <w:pPr>
              <w:spacing w:after="0"/>
              <w:rPr>
                <w:sz w:val="17"/>
                <w:szCs w:val="17"/>
                <w:color w:val="auto"/>
              </w:rPr>
            </w:pPr>
          </w:p>
        </w:tc>
        <w:tc>
          <w:tcPr>
            <w:tcW w:w="614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718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EXPERTS</w:t>
              </w:r>
            </w:hyperlink>
          </w:p>
        </w:tc>
        <w:tc>
          <w:tcPr>
            <w:tcW w:w="786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7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When used in this prospectus, the terms “Corteva,” the “Company,” “we,” “our” and “us” refer to Corteva, Inc. and its consolidated subsidiaries, unless otherwise specified or the context otherwise requires.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83" w:lineRule="exact"/>
        <w:rPr>
          <w:sz w:val="20"/>
          <w:szCs w:val="20"/>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Registration Statement on </w:t>
      </w:r>
      <w:hyperlink r:id="rId26">
        <w:r>
          <w:rPr>
            <w:rFonts w:ascii="Arial" w:cs="Arial" w:eastAsia="Arial" w:hAnsi="Arial"/>
            <w:sz w:val="18"/>
            <w:szCs w:val="18"/>
            <w:u w:val="single" w:color="auto"/>
            <w:color w:val="0000EE"/>
          </w:rPr>
          <w:t>Form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001-38710) (as amended, the “Form 10”);</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2019, filed with the SEC on May 31, 2019;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28">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SEC on May 31, 2019.</w:t>
      </w:r>
    </w:p>
    <w:p>
      <w:pPr>
        <w:spacing w:after="0" w:line="225" w:lineRule="exact"/>
        <w:rPr>
          <w:rFonts w:ascii="Arial" w:cs="Arial" w:eastAsia="Arial" w:hAnsi="Arial"/>
          <w:sz w:val="18"/>
          <w:szCs w:val="18"/>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47" w:lineRule="exact"/>
        <w:rPr>
          <w:rFonts w:ascii="Arial" w:cs="Arial" w:eastAsia="Arial" w:hAnsi="Arial"/>
          <w:sz w:val="18"/>
          <w:szCs w:val="18"/>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7"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Corteva, Inc.</w:t>
      </w:r>
    </w:p>
    <w:p>
      <w:pPr>
        <w:spacing w:after="0" w:line="23"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974 Centre Road</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Wilmington, Delaware 19805</w:t>
      </w:r>
    </w:p>
    <w:p>
      <w:pPr>
        <w:spacing w:after="0" w:line="9" w:lineRule="exact"/>
        <w:rPr>
          <w:rFonts w:ascii="Arial" w:cs="Arial" w:eastAsia="Arial" w:hAnsi="Arial"/>
          <w:sz w:val="18"/>
          <w:szCs w:val="18"/>
          <w:color w:val="auto"/>
        </w:rPr>
      </w:pPr>
    </w:p>
    <w:p>
      <w:pPr>
        <w:ind w:left="5580" w:hanging="428"/>
        <w:spacing w:after="0"/>
        <w:tabs>
          <w:tab w:leader="none" w:pos="5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485-3000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and any accompanying prospectus supplement and any documents incorporated by reference contain, or will contain, forward-looking statements within the meaning of the federal securities laws, including the Exchange Act and the Private Securities Litigation Reform Act of 1995, which may be identified by their use of words like “plans,” “expects,” “will,” “anticipates,” “believes,” “intends,” “projects,” “estimates” or other words of similar meaning. All statements that address expectations or projections about the future, including statements about our strategy for growth, product development, regulatory approval, market position, anticipated benefits of recent acquisitions, timing of anticipated benefits from restructuring actions, outcome of contingencies, such as litigation and environmental matters, expenditures, financial results and expected benefits from the separation of us from DowDuPont, Inc. (“DowDuPont”), are forward-looking statements.</w:t>
      </w:r>
    </w:p>
    <w:p>
      <w:pPr>
        <w:spacing w:after="0" w:line="17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Forward-looking statements are based on certain assumptions and expectations of future events which may not be accurate or realized. Forward-looking statements also involve risks and uncertainties, many of which are beyond our control. While the lists of factors presented in this prospectus, any accompanying prospectus supplement and any documents incorporated herein by reference, including the “Risk Factors” section of this prospectus, any accompanying prospectus supplement and our reports and other documents filed with the SEC,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our business, results of operations and financial condition.</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Where, in any forward-looking statement, an expectation or belief as to future results or events is expressed, such expectation or belief is based on the current plans and expectations of management and expressed in good faith and believed to have a reasonable basis, but there can be no assurance that the expectation or belief will result or be achieved or accomplished. When considering forward-looking statements, you should keep in mind the risks, uncertainties and other cautionary statements made in this prospectus, any accompanying prospectus supplement and any documents incorporated herein by reference. We disclaim and do not undertake any obligation to update or revise any forward-looking statement, except as required by applicable law.</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were formed on March 16, 2018 as a wholly-owned subsidiary of DowDuPont, to serve as a holding company for the agriculture business of DowDuPont. On May 6, 2019, the board of directors of DowDuPont approved the distribution of all the then issued and outstanding shares of our common stock. The distribution of our common stock is expected to occur on June 1, 2019 by way of a pro rata dividend to DowDuPont stockholders, and upon such distribution, we will become an independent, publicly traded company.</w:t>
      </w:r>
    </w:p>
    <w:p>
      <w:pPr>
        <w:spacing w:after="0" w:line="6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Corteva 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Our strategy is to provide farmers with the right mix of seeds, crop protection and digital solutions to maximize their yields and improve their profitability, while strengthening customer relationships and ensuring an abundant food supply for a growing global population. Our goal is to achieve a best-in-class cost structure, versus our peers, creating a lean organization more focused on the customer.</w:t>
      </w:r>
    </w:p>
    <w:p>
      <w:pPr>
        <w:spacing w:after="0" w:line="179"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Our principal office is located at 974 Centre Road, Wilmington, Delaware 19805 and our telephone number is (302) 485-3000. We maintain a website at www.corteva.com. The information on our website is not incorporated by reference in this prospectus or any accompanying prospectus supplement, and you should not consider it a part of this prospectus or any accompanying prospectus supplement.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Additional information concerning us and our subsidiaries is included in the documents filed with the SEC and incorporated herein by reference. See the discussion under “Where You Can Find More Information.”</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Investing in our securities involves risk. See the risk factors described in Exhibit 99.1 of the Form 10 and our most recent Quarterly Report on Form 10-Q (together with any material changes thereto contained in subsequently filed Annual Reports on Form 10-K or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Except as otherwise set forth in any accompanying prospectus supplement, we expect to use the net proceeds from the sale of securities for general corporate purposes.</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Unless set forth in an accompanying prospectus supplement, we will not receive any proceeds in the event that securities are sold by a selling securityholder.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prospectus contains summary descriptions of the common stock, preferred stock, depositary shares, debt securities,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 As used in the following summary descriptions of the various securities that may be offered and sold from time to time, the terms “Corteva,” the “company,” “we,” “our” and “us” refer to Corteva, Inc., a Delaware corporation, and do not, unless otherwise specified, include our subsidiaries.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following summary description of our capital stock is based on the provisions of the General Corporation Law of the State of Delaware (the “DGCL”), our certificate of incorporation, as amended, and our bylaws, as amended. This description does not purport to be complete and is qualified in its entirety by reference to the full text of the DGCL, as it may be amended from time to time, and to the terms of our certificate of incorporation and bylaws, as each may be amended from time to time, which are incorporated by reference as exhibits to the registration statement of which this prospectus is a part. See “Where You Can Find More Information.”</w:t>
      </w:r>
    </w:p>
    <w:p>
      <w:pPr>
        <w:spacing w:after="0" w:line="188"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authorized capital stock consists of 1,666,666,667 shares of common stock, par value $0.01 per share, and 250,000,000 shares of preferred stock, par value $0.01 per share. The number of authorized shares of any class may be increased or decreased by an amendment to our certificate of incorporation proposed by our board of directors and approved by a majority of voting shares voted on the issue at a meeting at which a quorum exists.</w:t>
      </w:r>
    </w:p>
    <w:p>
      <w:pPr>
        <w:spacing w:after="0" w:line="147"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As of June 1, 2019, we expect there will be 748,814,970 shares of our common stock outstanding and no shares of our preferred stock outstanding.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Except as otherwise provided for by resolution or resolutions of our board of directors with respect to the issuance of any series of preferred stock or by the DGCL, the holders of outstanding shares of our common stock have the exclusive right to vote on all matters requiring stockholder action. On each matter on which holders of our common stock are entitled to vote, each outstanding share of such common stock will be entitled to one vote. Subject to the rights of holders of any series of outstanding preferred stock, holders of shares of our common stock</w:t>
      </w:r>
    </w:p>
    <w:p>
      <w:pPr>
        <w:spacing w:after="0" w:line="1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have equal rights of participation in the dividends and other distributions in cash, stock or property of Corteva when, as and if declare thereon by our board of directors from time to time out of assets or funds of Corteva legally available therefor and have equal rights to receive the assets and funds of Corteva available for distribution to stockholders in the event of any liquidation, dissolution or winding up of the affairs of Corteva, whether voluntary or involuntary.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section describes the general terms and provisions of preferred stock that we are authorized to issue. An accompanying prospectus supplement will describe the specific terms of the shares of preferred stock offered through that prospectus supplement, as well as any general terms described in this section that will not apply to those shares of preferred stock. If there are differences between the prospectus supplement relating to a particular series of preferred stock and this prospectus, the prospectus supplement will control. We will file a copy of the certificate of amendment to our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You should refer to the applicable certificate of amendment as well as our certificate of incorporation before deciding to buy shares of our preferred stock as described in any accompanying prospectus supplement.</w:t>
      </w:r>
    </w:p>
    <w:p>
      <w:pPr>
        <w:spacing w:after="0" w:line="182"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board of directors has been authorized to provide for the issuance of up to 250,000,000 shares of our preferred stock in multiple series without the approval of shareholders. With respect to each series of our preferred stock, the shares of such series will have such voting powers, full or limited, if any, and such designations, preferences and relative, participating, optional or other special rights, and qualifications, limitations or restrictions thereof, as are stated and expressed in the resolution or resolutions providing for the issue of such series, adopted by our board of directors. The authority of our board of directors with respect to such series includes, but is not limited to, the determination or fixing of the following:</w:t>
      </w:r>
    </w:p>
    <w:p>
      <w:pPr>
        <w:spacing w:after="0" w:line="6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jc w:val="both"/>
        <w:ind w:left="1060" w:right="680" w:hanging="316"/>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within the series, which number the board of directors may thereafter (except where otherwise provided in the certificate of designation for such series) increase or decrease (but not below the number of shares of such series then outstanding);</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rate, if any, payable to holders of shares of such series, any conditions and dates upon which such dividends will be payable, the relation which such dividends will bear to the dividends payable on any other class or classes of stock or any other series of any class of stock of Corteva, and whether such dividends will be cumulative or non-cumulative;</w:t>
      </w:r>
    </w:p>
    <w:p>
      <w:pPr>
        <w:spacing w:after="0" w:line="86" w:lineRule="exact"/>
        <w:rPr>
          <w:rFonts w:ascii="Arial" w:cs="Arial" w:eastAsia="Arial" w:hAnsi="Arial"/>
          <w:sz w:val="18"/>
          <w:szCs w:val="18"/>
          <w:color w:val="auto"/>
        </w:rPr>
      </w:pPr>
    </w:p>
    <w:p>
      <w:pPr>
        <w:jc w:val="both"/>
        <w:ind w:left="1060" w:right="360" w:hanging="316"/>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shares of such series will be subject to redemption by Corteva, in whole or in part, at the option of Corteva or of the holders thereof, and, if made subject to such redemption, the times, prices, form of payment and other terms and conditions of such redemption;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series;</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or not the shares of such series will be convertible into or exchangeable for shares of any other class or classes of any stock or any other series of any class of stock of Corteva or any other security, and, if provision is made for conversion or exchange, the times, prices, rates, adjustments and other terms and conditions of such conversion or exchange;</w:t>
      </w:r>
    </w:p>
    <w:p>
      <w:pPr>
        <w:spacing w:after="0" w:line="86"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if any, to which the holders of shares of such series will be entitled to vote generally, with respect to the election of directors, upon specified events or otherwise;;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restrictions, if any, on the issue or reissue of any additional preferred stock; and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rights and preferences of the holders of the shares of such series upon any voluntary or involuntary liquidation or dissolution of, or upon the distribution of assets of, Corteva.</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right of a holder of preferred stock to receive payment in respect thereof upon any liquidation, dissolution or winding up of us will be subordinate to the rights of our general creditors.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Charter and Bylaw Provisions; Takeover Statutes</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 number of provisions in our certificate of incorporation and bylaws as well as the DGCL may make it more difficult to acquire control of Corteva or remove our management.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Structure of Board</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board of directors is elected annually. Our bylaws provide that each director will hold office for a term expiring at the next succeeding annual meeting of stockholders and until such director’s successor is duly elected and qualified. The Corteva board, in accordance with our bylaws, will consist of between 6 and 16 directors, with the number of directors to be determined only by resolution adopted by a majority of the entire board. Furthermore, subject to the provisions of our certificate of incorporation and the rights of the holders of any class or series of preferred stock to elect directors, any vacancies on the board caused by death, removal or resignation of any director or any other cause, and any newly created directorships resulting from an increase in the authorized number of directors, will be permitted to be filled only by a majority vote of the directors then in office, even if less than a quorum, or by a sole remaining director, and shall not be filled by stockholders. This provision could prevent a stockholder from obtaining majority representation on our board of directors by allowing our board of directors to enlarge and fill the new directorships with our board of director’s own nominees.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In accordance with the DGCL and subject to the rights of the holders of any class or series of preferred stock, the entire board of directors or any individual director may be removed at any time, with or without cause, only by the affirmative vote of the holders of a majority of the voting power of all of the shares of capital stock of Corteva then entitled to vote generally in the election of directors, voting as a single class.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of Proposals and Nominations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bylaws provide that stockholders must give timely written notice to bring business before an annual meeting of stockholders or to nominate candidates for election as directors at an annual meeting of stockholders. Generally, to be timely, a stockholder’s notice will be required to be delivered to the Secretary of Corteva not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day nor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prior to the first anniversary of the date we first mailed its proxy materials for the preceding year’s annual meeting. Our bylaws also specify the form and content of a stockholder’s notice.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Special Meetings</w:t>
      </w:r>
    </w:p>
    <w:p>
      <w:pPr>
        <w:spacing w:after="0" w:line="117" w:lineRule="exact"/>
        <w:rPr>
          <w:sz w:val="20"/>
          <w:szCs w:val="20"/>
          <w:color w:val="auto"/>
        </w:rPr>
      </w:pPr>
    </w:p>
    <w:p>
      <w:pPr>
        <w:jc w:val="both"/>
        <w:ind w:left="200" w:right="220" w:firstLine="441"/>
        <w:spacing w:after="0" w:line="279" w:lineRule="auto"/>
        <w:rPr>
          <w:sz w:val="20"/>
          <w:szCs w:val="20"/>
          <w:color w:val="auto"/>
        </w:rPr>
      </w:pPr>
      <w:r>
        <w:rPr>
          <w:rFonts w:ascii="Arial" w:cs="Arial" w:eastAsia="Arial" w:hAnsi="Arial"/>
          <w:sz w:val="17"/>
          <w:szCs w:val="17"/>
          <w:color w:val="auto"/>
        </w:rPr>
        <w:t>Our bylaws provide that special meetings of stockholders may be called by order of our board of directors or by written request of stockholders holding together at least 25% of all the shares of Corteva entitled to vote at the meeting, and shall be held at such date and time, within or without the State of Delaware, as may be specified by such order. These provisions may prevent stockholders from bringing matters before an annual meeting of stockholders or from nominating candidates for election as directors at an annual meeting of stockholders.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the Bylaws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board of directors is authorized to amend, alter, change, adopt and repeal our bylaws by the affirmative vote of a majority of total directors present or by unanimous consent. Stockholders also have the power to amend, alter, change, adopt and repeal our bylaws by the affirmative vote of the holders of a majority of the voting power of all of the shares of capital stock of Corteva then entitled to vote generally in the election of directors, voting as a single class.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Takeover Statutes</w:t>
      </w:r>
    </w:p>
    <w:p>
      <w:pPr>
        <w:spacing w:after="0" w:line="117" w:lineRule="exact"/>
        <w:rPr>
          <w:sz w:val="20"/>
          <w:szCs w:val="20"/>
          <w:color w:val="auto"/>
        </w:rPr>
      </w:pPr>
    </w:p>
    <w:p>
      <w:pPr>
        <w:ind w:left="200" w:firstLine="441"/>
        <w:spacing w:after="0" w:line="252" w:lineRule="auto"/>
        <w:rPr>
          <w:sz w:val="20"/>
          <w:szCs w:val="20"/>
          <w:color w:val="auto"/>
        </w:rPr>
      </w:pPr>
      <w:r>
        <w:rPr>
          <w:rFonts w:ascii="Arial" w:cs="Arial" w:eastAsia="Arial" w:hAnsi="Arial"/>
          <w:sz w:val="17"/>
          <w:szCs w:val="17"/>
          <w:color w:val="auto"/>
        </w:rPr>
        <w:t xml:space="preserve">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not owned by the interested stockholder. We did not opt out of the protections of Section 203 of the DGCL. As a result, the statute applies to Corteva.</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shall be the sole and exclusive forum for (i) any derivative action or proceeding brought on behalf of Corteva, (ii) any action asserting a claim of breach of a fiduciary duty owed by any Corteva director, officer or other employee to Coteva or our stockholders, (iii) any action asserting a claim arising pursuant to any provision of the DGCL, or (iv) any action asserting a claim governed by the internal affairs doctrine. Our bylaws also provide that we are entitled to equitable relief, including injunction and specific performance, to enforce such provisions regarding forum. These provisions do not preclude or contract the scope of exclusive federal or concurrent jurisdiction for actions brought under the Exchange Act or the Securities Act or the respective rules and regulations promulgated thereunder.</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will be listed on NYSE under the symbol “CTVA.”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200" w:right="520" w:firstLine="441"/>
        <w:spacing w:after="0" w:line="279" w:lineRule="auto"/>
        <w:rPr>
          <w:sz w:val="20"/>
          <w:szCs w:val="20"/>
          <w:color w:val="auto"/>
        </w:rPr>
      </w:pPr>
      <w:r>
        <w:rPr>
          <w:rFonts w:ascii="Arial" w:cs="Arial" w:eastAsia="Arial" w:hAnsi="Arial"/>
          <w:sz w:val="17"/>
          <w:szCs w:val="17"/>
          <w:color w:val="auto"/>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 of the Depositary Agreement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Preferred Stock</w:t>
      </w:r>
    </w:p>
    <w:p>
      <w:pPr>
        <w:spacing w:after="0" w:line="121"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Except as may be provided otherwise in an accompanying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may offer debt securities in one or more series, which may be senior debt securities or subordinated debt securities and which may be convertible into another security. The debt securities will be unsecured and will be the sole obligation of Corteva. 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which you should review for additional information.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29"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limitations on recourse to subsidiaries of Corteva;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other than the principal amount, the principal amount of debt securities payable upon acceleration;</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granting special rights to holders of the debt securities upon occurrence of specified events;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7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78" w:lineRule="exact"/>
        <w:rPr>
          <w:sz w:val="20"/>
          <w:szCs w:val="20"/>
          <w:color w:val="auto"/>
        </w:rPr>
      </w:pPr>
    </w:p>
    <w:p>
      <w:pPr>
        <w:ind w:left="200" w:right="940" w:firstLine="441"/>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expect most debt securities to be issued in fully registered form without coupons and in minimum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prospectus supplement relating to a particular issue of warrants will describe the terms of those warrants, including, when applicable:</w:t>
      </w:r>
    </w:p>
    <w:p>
      <w:pPr>
        <w:spacing w:after="0" w:line="131"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purchase price and/or exercise price of the warrants may be payable;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procedure for exercise of the warrants and the circumstances, if any, that will cause the warrants to be automatically exercised;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warrants expire they will become void. The prospectus supplement may provide for the adjustment of the exercise price of the warrants.</w:t>
      </w:r>
    </w:p>
    <w:p>
      <w:pPr>
        <w:spacing w:after="0" w:line="24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18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prospectus supplement relating to any subscription rights we may offer will contain the specific terms of the subscription rights. These terms may include the following:</w:t>
      </w:r>
    </w:p>
    <w:p>
      <w:pPr>
        <w:spacing w:after="0" w:line="76"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terms of each share of common stock or preferred stock or debt securities which may be purchased per each subscription right;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exercise price payable for each share of common stock or preferred stock or debt securities upon the exercise of the subscription rights;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subscription rights or the exercise price of the subscription rights;</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extent to which the subscription rights may include an over-subscription privilege with respect to unsubscribed securities; and</w:t>
      </w:r>
    </w:p>
    <w:p>
      <w:pPr>
        <w:spacing w:after="0" w:line="142" w:lineRule="exact"/>
        <w:rPr>
          <w:rFonts w:ascii="Arial" w:cs="Arial" w:eastAsia="Arial" w:hAnsi="Arial"/>
          <w:sz w:val="17"/>
          <w:szCs w:val="17"/>
          <w:color w:val="auto"/>
        </w:rPr>
      </w:pPr>
    </w:p>
    <w:p>
      <w:pPr>
        <w:ind w:left="1060" w:right="16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may issue purchase contracts, including contracts obligating holders to purchase from us, and obligating us to sell to the holders, a specified number of shares of our common stock, shares of our preferred stock or our debt securities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debt securities or preferred securities or debt obligations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spacing w:after="0" w:line="16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or the selling securityholders may sell the securities being offered hereby in one or more of the following ways from time to time:</w:t>
      </w:r>
    </w:p>
    <w:p>
      <w:pPr>
        <w:spacing w:after="0" w:line="131"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agents or dealers to purchasers;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a prospectus supplement.</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of E. I. du Pont de Nemours and Company incorporated in this prospectus by reference to the Registration Statement on Form 10 of Corteva, Inc. (File No. 001-38710) have been so incorporated in reliance on the reports of PricewaterhouseCoopers LLP, an independent registered public accounting firm, given on the authority of said firm as experts in auditing and accounting.</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combined financial statements of the Dow Agricultural Sciences Business (the “Business”) as of December 31, 2018 and 2017 and for the three years in the period ended December 31, 2018, incorporated in this prospectus by reference from the Amendment No. 4 of the Registration Statement on Form 10 of Corteva, Inc. filed on May 6, 2019, have been audited by Deloitte &amp; Touche LLP, an independent auditor, as stated in their report which is incorporated herein by reference (which report expresses an unqualified opinion and includes an emphasis of a matter paragraph regarding an inclusion of allocations of certain expenses from The Dow Chemical Company, which allocations may not reflect the expenses the Business would have incurred as a stand-alone company and a change in the method of accounting for revenue due to the adoption of Accounting Standards Codification Topic 606, Revenue From Contracts with Customers). Such combined financial statements have been so incorporated in reliance upon the report of such firm given upon their authority as experts in accounting and auditing.</w:t>
      </w: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540" w:type="dxa"/>
            <w:vAlign w:val="bottom"/>
          </w:tcPr>
          <w:p>
            <w:pPr>
              <w:ind w:left="1260"/>
              <w:spacing w:after="0"/>
              <w:rPr>
                <w:sz w:val="20"/>
                <w:szCs w:val="20"/>
                <w:color w:val="auto"/>
              </w:rPr>
            </w:pPr>
            <w:r>
              <w:rPr>
                <w:rFonts w:ascii="Arial" w:cs="Arial" w:eastAsia="Arial" w:hAnsi="Arial"/>
                <w:sz w:val="18"/>
                <w:szCs w:val="18"/>
                <w:b w:val="1"/>
                <w:bCs w:val="1"/>
                <w:color w:val="auto"/>
              </w:rPr>
              <w:t>PART II INFORMATION NOT REQUIRED IN PROSPECTUS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3"/>
          </w:tcPr>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3"/>
          </w:tcPr>
          <w:p>
            <w:pPr>
              <w:ind w:left="640"/>
              <w:spacing w:after="0"/>
              <w:rPr>
                <w:sz w:val="20"/>
                <w:szCs w:val="20"/>
                <w:color w:val="auto"/>
              </w:rPr>
            </w:pPr>
            <w:r>
              <w:rPr>
                <w:rFonts w:ascii="Arial" w:cs="Arial" w:eastAsia="Arial" w:hAnsi="Arial"/>
                <w:sz w:val="18"/>
                <w:szCs w:val="18"/>
                <w:color w:val="auto"/>
              </w:rPr>
              <w:t>The expenses relating to the registration of the securities will be borne by the registrant.</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0" w:type="dxa"/>
            <w:vAlign w:val="bottom"/>
            <w:vMerge w:val="restart"/>
          </w:tcPr>
          <w:p>
            <w:pPr>
              <w:spacing w:after="0"/>
              <w:rPr>
                <w:sz w:val="21"/>
                <w:szCs w:val="21"/>
                <w:color w:val="auto"/>
              </w:rPr>
            </w:pPr>
          </w:p>
        </w:tc>
        <w:tc>
          <w:tcPr>
            <w:tcW w:w="6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Printing Fees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and Trustees’ Fees and Expenses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Rating Agency Fees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Stock Exchange Listing Fees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Miscellaneous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
                <w:szCs w:val="2"/>
                <w:color w:val="auto"/>
              </w:rPr>
            </w:pPr>
          </w:p>
        </w:tc>
        <w:tc>
          <w:tcPr>
            <w:tcW w:w="6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in reliance on Rules 456(b) and 457(r) under the Securities Act.</w:t>
      </w:r>
    </w:p>
    <w:p>
      <w:pPr>
        <w:spacing w:after="0" w:line="23" w:lineRule="exact"/>
        <w:rPr>
          <w:sz w:val="20"/>
          <w:szCs w:val="20"/>
          <w:color w:val="auto"/>
        </w:rPr>
      </w:pPr>
    </w:p>
    <w:p>
      <w:pPr>
        <w:ind w:left="640" w:hanging="436"/>
        <w:spacing w:after="0" w:line="26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Since an indeterminate amount of securities is covered by this registration statement, the expenses in connection with the issuance and distribution of the securities are not currently determinable.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registrant is a Delaware corporation. Reference is made to Section 102(b)(7) of the General Corporation Law of the State of Delaware (the “DGCL”), which enables a corporation in its certificate of incorporation to eliminate or limit the personal liability of a director for violations of the director’s fiduciary duty, except:</w:t>
      </w:r>
    </w:p>
    <w:p>
      <w:pPr>
        <w:spacing w:after="0" w:line="87"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Section 174 of the DGCL (providing for liability of directors for unlawful payment of dividends or unlawful stock purchases or redemptions);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any transaction from which a director derived an improper personal benefit.</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Reference is also made to Section 145 of the DGCL, which provides that a corporation may indemnify any persons, including officers and directors,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director, officer, employee or agent acted in good faith and in a manner the person reasonably believed to be in or not opposed to the best interests of the corporation and, with respect to any criminal action or proceeding, had no reasonable cause to believe that the person’s conduct was unlawful. A Delaware corporation may indemnify officers and directors in an action by or in the right of the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that such officer or director actually and reasonably incurred. The indemnification permitted under the DGCL is not exclusive, and a corporation is empowered to purchase and maintain insurance against liabilities whether or not indemnification would be permitted by statute.</w:t>
      </w:r>
    </w:p>
    <w:p>
      <w:pPr>
        <w:spacing w:after="0" w:line="17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registrant’s Amended and Restated Certificate of Incorporation and Amended and Restated Bylaws provide for indemnification of its directors and officers to the fullest extent currently permitted by the DGCL. The registrant also has indemnification agreements with its directors and officers. In addition, the registrant maintains liability insurance for its directors and officers.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4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List of 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list of all exhibits filed as a part of this Registration Statement on Form S-3.</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0" w:type="dxa"/>
            <w:vAlign w:val="bottom"/>
            <w:gridSpan w:val="2"/>
          </w:tcPr>
          <w:p>
            <w:pPr>
              <w:jc w:val="center"/>
              <w:spacing w:after="0"/>
              <w:rPr>
                <w:sz w:val="20"/>
                <w:szCs w:val="20"/>
                <w:color w:val="auto"/>
              </w:rPr>
            </w:pPr>
            <w:r>
              <w:rPr>
                <w:rFonts w:ascii="Arial" w:cs="Arial" w:eastAsia="Arial" w:hAnsi="Arial"/>
                <w:sz w:val="14"/>
                <w:szCs w:val="14"/>
                <w:color w:val="auto"/>
              </w:rPr>
              <w:t>Exhibit</w:t>
            </w: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91"/>
              </w:rPr>
              <w:t>No.</w:t>
            </w:r>
          </w:p>
        </w:tc>
        <w:tc>
          <w:tcPr>
            <w:tcW w:w="5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color w:val="auto"/>
              </w:rPr>
              <w:t>Description</w:t>
            </w:r>
          </w:p>
        </w:tc>
      </w:tr>
      <w:tr>
        <w:trPr>
          <w:trHeight w:val="311"/>
        </w:trPr>
        <w:tc>
          <w:tcPr>
            <w:tcW w:w="44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440" w:type="dxa"/>
            <w:vAlign w:val="bottom"/>
            <w:gridSpan w:val="2"/>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Amended and Restated Certificate of Incorporation of Corteva, Inc., incorporated by reference to Exhibit 3.1 to the registrant’s Form 10</w:t>
              </w:r>
            </w:hyperlink>
          </w:p>
        </w:tc>
        <w:tc>
          <w:tcPr>
            <w:tcW w:w="2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dated May 7, 2019.</w:t>
              </w:r>
            </w:hyperlink>
          </w:p>
        </w:tc>
        <w:tc>
          <w:tcPr>
            <w:tcW w:w="8680" w:type="dxa"/>
            <w:vAlign w:val="bottom"/>
            <w:gridSpan w:val="9"/>
          </w:tcPr>
          <w:p>
            <w:pPr>
              <w:spacing w:after="0"/>
              <w:rPr>
                <w:sz w:val="17"/>
                <w:szCs w:val="17"/>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Amended and Restated Bylaws of Corteva Inc., incorporated by reference to Exhibit 3.2 to the registrant’s Form 10 dated May 7, 2019.</w:t>
              </w:r>
            </w:hyperlink>
          </w:p>
        </w:tc>
        <w:tc>
          <w:tcPr>
            <w:tcW w:w="280" w:type="dxa"/>
            <w:vAlign w:val="bottom"/>
          </w:tcPr>
          <w:p>
            <w:pPr>
              <w:spacing w:after="0"/>
              <w:rPr>
                <w:sz w:val="24"/>
                <w:szCs w:val="24"/>
                <w:color w:val="auto"/>
              </w:rPr>
            </w:pPr>
          </w:p>
        </w:tc>
      </w:tr>
      <w:tr>
        <w:trPr>
          <w:trHeight w:val="345"/>
        </w:trPr>
        <w:tc>
          <w:tcPr>
            <w:tcW w:w="440" w:type="dxa"/>
            <w:vAlign w:val="bottom"/>
            <w:gridSpan w:val="2"/>
          </w:tcPr>
          <w:p>
            <w:pPr>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Certificate of Designations with respect to any preferred stock issued hereunder.</w:t>
            </w: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Depositary Agreement (including form of Depositary Receipt).</w:t>
            </w:r>
          </w:p>
        </w:tc>
      </w:tr>
      <w:tr>
        <w:trPr>
          <w:trHeight w:val="284"/>
        </w:trPr>
        <w:tc>
          <w:tcPr>
            <w:tcW w:w="440" w:type="dxa"/>
            <w:vAlign w:val="bottom"/>
            <w:gridSpan w:val="2"/>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7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Form of Indenture for debt securities between the registrant and U.S. Bank National Association.</w:t>
            </w:r>
          </w:p>
        </w:tc>
        <w:tc>
          <w:tcPr>
            <w:tcW w:w="3080" w:type="dxa"/>
            <w:vAlign w:val="bottom"/>
            <w:gridSpan w:val="2"/>
          </w:tcPr>
          <w:p>
            <w:pPr>
              <w:spacing w:after="0"/>
              <w:rPr>
                <w:sz w:val="24"/>
                <w:szCs w:val="24"/>
                <w:color w:val="auto"/>
              </w:rPr>
            </w:pPr>
          </w:p>
        </w:tc>
      </w:tr>
      <w:tr>
        <w:trPr>
          <w:trHeight w:val="345"/>
        </w:trPr>
        <w:tc>
          <w:tcPr>
            <w:tcW w:w="440" w:type="dxa"/>
            <w:vAlign w:val="bottom"/>
            <w:gridSpan w:val="2"/>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Subscription Rights Agreement (including form of Subscription Rights Certificate).</w:t>
            </w: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324"/>
        </w:trPr>
        <w:tc>
          <w:tcPr>
            <w:tcW w:w="440" w:type="dxa"/>
            <w:vAlign w:val="bottom"/>
            <w:gridSpan w:val="2"/>
          </w:tcPr>
          <w:p>
            <w:pPr>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Form of Purchase Unit Agreement (including form of Purchase Unit Certificate).</w:t>
            </w:r>
          </w:p>
        </w:tc>
      </w:tr>
      <w:tr>
        <w:trPr>
          <w:trHeight w:val="284"/>
        </w:trPr>
        <w:tc>
          <w:tcPr>
            <w:tcW w:w="44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40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Skadden, Arps, Slate, Meagher &amp; Flom LLP.</w:t>
            </w:r>
          </w:p>
        </w:tc>
        <w:tc>
          <w:tcPr>
            <w:tcW w:w="6000" w:type="dxa"/>
            <w:vAlign w:val="bottom"/>
            <w:gridSpan w:val="8"/>
          </w:tcPr>
          <w:p>
            <w:pPr>
              <w:spacing w:after="0"/>
              <w:rPr>
                <w:sz w:val="24"/>
                <w:szCs w:val="24"/>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3480" w:type="dxa"/>
            <w:vAlign w:val="bottom"/>
            <w:gridSpan w:val="3"/>
          </w:tcPr>
          <w:p>
            <w:pPr>
              <w:spacing w:after="0"/>
              <w:rPr>
                <w:sz w:val="24"/>
                <w:szCs w:val="24"/>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61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Consent of Deloitte &amp; Touche LLP, Independent Registered Public Accounting Firm.</w:t>
            </w:r>
          </w:p>
        </w:tc>
        <w:tc>
          <w:tcPr>
            <w:tcW w:w="3940" w:type="dxa"/>
            <w:vAlign w:val="bottom"/>
            <w:gridSpan w:val="5"/>
          </w:tcPr>
          <w:p>
            <w:pPr>
              <w:spacing w:after="0"/>
              <w:rPr>
                <w:sz w:val="24"/>
                <w:szCs w:val="24"/>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0000EE"/>
              </w:rPr>
              <w:t>Consent of Skadden, Arps, Slate, Meagher &amp; Flom LLP (included in Exhibit 5.1 hereto).</w:t>
            </w: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640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Powers of Attorney (included on signature pages hereto).</w:t>
              </w:r>
            </w:hyperlink>
          </w:p>
        </w:tc>
        <w:tc>
          <w:tcPr>
            <w:tcW w:w="3680" w:type="dxa"/>
            <w:vAlign w:val="bottom"/>
            <w:gridSpan w:val="4"/>
          </w:tcPr>
          <w:p>
            <w:pPr>
              <w:spacing w:after="0"/>
              <w:rPr>
                <w:sz w:val="24"/>
                <w:szCs w:val="24"/>
                <w:color w:val="auto"/>
              </w:rPr>
            </w:pPr>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25.1</w:t>
            </w:r>
          </w:p>
        </w:tc>
        <w:tc>
          <w:tcPr>
            <w:tcW w:w="520" w:type="dxa"/>
            <w:vAlign w:val="bottom"/>
          </w:tcPr>
          <w:p>
            <w:pPr>
              <w:spacing w:after="0"/>
              <w:rPr>
                <w:sz w:val="24"/>
                <w:szCs w:val="24"/>
                <w:color w:val="auto"/>
              </w:rPr>
            </w:pPr>
          </w:p>
        </w:tc>
        <w:tc>
          <w:tcPr>
            <w:tcW w:w="4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Statement of Eligibility on Form T-1 of trustee under the Indenture.</w:t>
            </w:r>
          </w:p>
        </w:tc>
        <w:tc>
          <w:tcPr>
            <w:tcW w:w="522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right="20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filed by amendment to the Registration Statement or incorporated by reference from documents filed or to be filed with the SEC under the Securities Exchange Act of 1934, as amended.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280" w:hanging="536"/>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40" w:hanging="642"/>
        <w:spacing w:after="0"/>
        <w:tabs>
          <w:tab w:leader="none" w:pos="1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jc w:val="both"/>
        <w:ind w:left="1940" w:right="260" w:hanging="642"/>
        <w:spacing w:after="0" w:line="264" w:lineRule="auto"/>
        <w:tabs>
          <w:tab w:leader="none" w:pos="19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60"/>
        <w:spacing w:after="0" w:line="257" w:lineRule="auto"/>
        <w:rPr>
          <w:sz w:val="20"/>
          <w:szCs w:val="20"/>
          <w:color w:val="auto"/>
        </w:rPr>
      </w:pPr>
      <w:r>
        <w:rPr>
          <w:rFonts w:ascii="Arial" w:cs="Arial" w:eastAsia="Arial" w:hAnsi="Arial"/>
          <w:sz w:val="18"/>
          <w:szCs w:val="18"/>
          <w:color w:val="auto"/>
        </w:rPr>
        <w:t>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94" w:lineRule="exact"/>
        <w:rPr>
          <w:sz w:val="20"/>
          <w:szCs w:val="20"/>
          <w:color w:val="auto"/>
        </w:rPr>
      </w:pPr>
    </w:p>
    <w:p>
      <w:pPr>
        <w:ind w:left="1940" w:right="40" w:hanging="642"/>
        <w:spacing w:after="0" w:line="277" w:lineRule="auto"/>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provided, however, that paragraphs (i), (ii) and (iii)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92" w:lineRule="exact"/>
        <w:rPr>
          <w:sz w:val="20"/>
          <w:szCs w:val="20"/>
          <w:color w:val="auto"/>
        </w:rPr>
      </w:pPr>
    </w:p>
    <w:p>
      <w:pPr>
        <w:ind w:left="1280" w:right="40" w:hanging="536"/>
        <w:spacing w:after="0" w:line="264"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280" w:right="260" w:hanging="536"/>
        <w:spacing w:after="0" w:line="277"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280" w:hanging="536"/>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940" w:right="120" w:hanging="642"/>
        <w:spacing w:after="0" w:line="277" w:lineRule="auto"/>
        <w:tabs>
          <w:tab w:leader="none" w:pos="19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this registration statement as of the date the filed prospectus was deemed part of and included in this registration statement; and</w:t>
      </w:r>
    </w:p>
    <w:p>
      <w:pPr>
        <w:spacing w:after="0" w:line="75" w:lineRule="exact"/>
        <w:rPr>
          <w:rFonts w:ascii="Arial" w:cs="Arial" w:eastAsia="Arial" w:hAnsi="Arial"/>
          <w:sz w:val="18"/>
          <w:szCs w:val="18"/>
          <w:color w:val="auto"/>
        </w:rPr>
      </w:pPr>
    </w:p>
    <w:p>
      <w:pPr>
        <w:ind w:left="1940" w:right="40" w:hanging="642"/>
        <w:spacing w:after="0" w:line="268" w:lineRule="auto"/>
        <w:tabs>
          <w:tab w:leader="none" w:pos="19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93" w:lineRule="exact"/>
        <w:rPr>
          <w:rFonts w:ascii="Arial" w:cs="Arial" w:eastAsia="Arial" w:hAnsi="Arial"/>
          <w:sz w:val="17"/>
          <w:szCs w:val="17"/>
          <w:color w:val="auto"/>
        </w:rPr>
      </w:pPr>
    </w:p>
    <w:p>
      <w:pPr>
        <w:ind w:left="1280" w:right="120" w:hanging="536"/>
        <w:spacing w:after="0" w:line="276"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40" w:right="100" w:hanging="642"/>
        <w:spacing w:after="0" w:line="277" w:lineRule="auto"/>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940" w:hanging="642"/>
        <w:spacing w:after="0" w:line="277" w:lineRule="auto"/>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940" w:right="80" w:hanging="642"/>
        <w:spacing w:after="0" w:line="277" w:lineRule="auto"/>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940" w:hanging="642"/>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24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Wilmington, State of Delaware, on May 31, 2019.</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Corteva, Inc.</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R. Friedman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Gregory R. Friedman</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Executive Vice President, Chief</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Financial Officer</w:t>
            </w:r>
          </w:p>
        </w:tc>
      </w:tr>
    </w:tbl>
    <w:p>
      <w:pPr>
        <w:spacing w:after="0" w:line="202"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In accordance with the requirements of the Securities Act of 1933, as amended, this Registration Statement has been signed by the following persons in the capacities and on the dates stated. Each person whose signature appears below constitutes and appoints Cornel B. Fuerer and Gregory R. Friedman and each of them severally,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S-3 has been signed by the following persons in the capacities indicated on the date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7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C. Collins, Jr.</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James C. Collins, Jr.</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19"/>
                <w:szCs w:val="19"/>
                <w:color w:val="auto"/>
              </w:rPr>
            </w:pPr>
          </w:p>
        </w:tc>
      </w:tr>
      <w:tr>
        <w:trPr>
          <w:trHeight w:val="376"/>
        </w:trPr>
        <w:tc>
          <w:tcPr>
            <w:tcW w:w="3860" w:type="dxa"/>
            <w:vAlign w:val="bottom"/>
          </w:tcPr>
          <w:p>
            <w:pPr>
              <w:spacing w:after="0"/>
              <w:rPr>
                <w:sz w:val="24"/>
                <w:szCs w:val="24"/>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Chief</w:t>
            </w:r>
          </w:p>
        </w:tc>
        <w:tc>
          <w:tcPr>
            <w:tcW w:w="3420" w:type="dxa"/>
            <w:vAlign w:val="bottom"/>
          </w:tcPr>
          <w:p>
            <w:pPr>
              <w:spacing w:after="0"/>
              <w:rPr>
                <w:sz w:val="24"/>
                <w:szCs w:val="24"/>
                <w:color w:val="auto"/>
              </w:rPr>
            </w:pPr>
          </w:p>
        </w:tc>
      </w:tr>
      <w:tr>
        <w:trPr>
          <w:trHeight w:val="230"/>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Gregory R. Friedman</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Financial Officer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09"/>
        </w:trPr>
        <w:tc>
          <w:tcPr>
            <w:tcW w:w="3860" w:type="dxa"/>
            <w:vAlign w:val="bottom"/>
          </w:tcPr>
          <w:p>
            <w:pPr>
              <w:jc w:val="center"/>
              <w:spacing w:after="0"/>
              <w:rPr>
                <w:sz w:val="20"/>
                <w:szCs w:val="20"/>
                <w:color w:val="auto"/>
              </w:rPr>
            </w:pPr>
            <w:r>
              <w:rPr>
                <w:rFonts w:ascii="Arial" w:cs="Arial" w:eastAsia="Arial" w:hAnsi="Arial"/>
                <w:sz w:val="18"/>
                <w:szCs w:val="18"/>
                <w:color w:val="auto"/>
                <w:w w:val="91"/>
              </w:rPr>
              <w:t>Gregory R. Friedman</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 and Principal</w:t>
            </w:r>
          </w:p>
        </w:tc>
        <w:tc>
          <w:tcPr>
            <w:tcW w:w="34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3420" w:type="dxa"/>
            <w:vAlign w:val="bottom"/>
          </w:tcPr>
          <w:p>
            <w:pPr>
              <w:spacing w:after="0"/>
              <w:rPr>
                <w:sz w:val="20"/>
                <w:szCs w:val="20"/>
                <w:color w:val="auto"/>
              </w:rPr>
            </w:pPr>
          </w:p>
        </w:tc>
      </w:tr>
      <w:tr>
        <w:trPr>
          <w:trHeight w:val="39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Cornel B. Fuerer</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General</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Cornel B. Fuerer</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Counsel, Secretary and Director</w:t>
            </w:r>
          </w:p>
        </w:tc>
        <w:tc>
          <w:tcPr>
            <w:tcW w:w="3420" w:type="dxa"/>
            <w:vAlign w:val="bottom"/>
          </w:tcPr>
          <w:p>
            <w:pPr>
              <w:spacing w:after="0"/>
              <w:rPr>
                <w:sz w:val="19"/>
                <w:szCs w:val="19"/>
                <w:color w:val="auto"/>
              </w:rPr>
            </w:pPr>
          </w:p>
        </w:tc>
      </w:tr>
      <w:tr>
        <w:trPr>
          <w:trHeight w:val="39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Gregory Page</w:t>
            </w: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9"/>
              </w:rPr>
              <w:t>Gregory Page</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Corteva,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4880" w:hanging="786"/>
        <w:spacing w:after="0"/>
        <w:tabs>
          <w:tab w:leader="none" w:pos="48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DEBT SECURITIES</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U.S. Bank National Association</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Reconciliation and tie between</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640" w:type="dxa"/>
            <w:vAlign w:val="bottom"/>
            <w:gridSpan w:val="2"/>
          </w:tcPr>
          <w:p>
            <w:pPr>
              <w:ind w:left="1420"/>
              <w:spacing w:after="0"/>
              <w:rPr>
                <w:sz w:val="20"/>
                <w:szCs w:val="20"/>
                <w:color w:val="auto"/>
              </w:rPr>
            </w:pPr>
            <w:r>
              <w:rPr>
                <w:rFonts w:ascii="Arial" w:cs="Arial" w:eastAsia="Arial" w:hAnsi="Arial"/>
                <w:sz w:val="18"/>
                <w:szCs w:val="18"/>
                <w:b w:val="1"/>
                <w:bCs w:val="1"/>
                <w:color w:val="auto"/>
              </w:rPr>
              <w:t>Trust Indenture Act of 1939 and Indenture*</w:t>
            </w:r>
          </w:p>
        </w:tc>
        <w:tc>
          <w:tcPr>
            <w:tcW w:w="0" w:type="dxa"/>
            <w:vAlign w:val="bottom"/>
          </w:tcPr>
          <w:p>
            <w:pPr>
              <w:spacing w:after="0"/>
              <w:rPr>
                <w:sz w:val="1"/>
                <w:szCs w:val="1"/>
                <w:color w:val="auto"/>
              </w:rPr>
            </w:pPr>
          </w:p>
        </w:tc>
      </w:tr>
      <w:tr>
        <w:trPr>
          <w:trHeight w:val="369"/>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Trust Indenture</w:t>
            </w:r>
          </w:p>
        </w:tc>
        <w:tc>
          <w:tcPr>
            <w:tcW w:w="6320" w:type="dxa"/>
            <w:vAlign w:val="bottom"/>
          </w:tcPr>
          <w:p>
            <w:pPr>
              <w:spacing w:after="0"/>
              <w:rPr>
                <w:sz w:val="24"/>
                <w:szCs w:val="24"/>
                <w:color w:val="auto"/>
              </w:rPr>
            </w:pPr>
          </w:p>
        </w:tc>
        <w:tc>
          <w:tcPr>
            <w:tcW w:w="23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Indenture Section</w:t>
            </w:r>
          </w:p>
        </w:tc>
        <w:tc>
          <w:tcPr>
            <w:tcW w:w="0" w:type="dxa"/>
            <w:vAlign w:val="bottom"/>
          </w:tcPr>
          <w:p>
            <w:pPr>
              <w:spacing w:after="0"/>
              <w:rPr>
                <w:sz w:val="1"/>
                <w:szCs w:val="1"/>
                <w:color w:val="auto"/>
              </w:rPr>
            </w:pPr>
          </w:p>
        </w:tc>
      </w:tr>
      <w:tr>
        <w:trPr>
          <w:trHeight w:val="19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Act Section</w:t>
            </w:r>
          </w:p>
        </w:tc>
        <w:tc>
          <w:tcPr>
            <w:tcW w:w="632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 310 (a)</w:t>
            </w:r>
          </w:p>
        </w:tc>
        <w:tc>
          <w:tcPr>
            <w:tcW w:w="168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3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11.04(a), 16.02</w:t>
            </w:r>
          </w:p>
        </w:tc>
        <w:tc>
          <w:tcPr>
            <w:tcW w:w="0" w:type="dxa"/>
            <w:vAlign w:val="bottom"/>
          </w:tcPr>
          <w:p>
            <w:pPr>
              <w:spacing w:after="0"/>
              <w:rPr>
                <w:sz w:val="1"/>
                <w:szCs w:val="1"/>
                <w:color w:val="auto"/>
              </w:rPr>
            </w:pPr>
          </w:p>
        </w:tc>
      </w:tr>
      <w:tr>
        <w:trPr>
          <w:trHeight w:val="216"/>
        </w:trPr>
        <w:tc>
          <w:tcPr>
            <w:tcW w:w="240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11.01(f), 11.04(b), 11.05(1),</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400" w:type="dxa"/>
            <w:vAlign w:val="bottom"/>
            <w:gridSpan w:val="2"/>
          </w:tcPr>
          <w:p>
            <w:pPr>
              <w:ind w:left="460"/>
              <w:spacing w:after="0"/>
              <w:rPr>
                <w:sz w:val="20"/>
                <w:szCs w:val="20"/>
                <w:color w:val="auto"/>
              </w:rPr>
            </w:pPr>
            <w:r>
              <w:rPr>
                <w:rFonts w:ascii="Arial" w:cs="Arial" w:eastAsia="Arial" w:hAnsi="Arial"/>
                <w:sz w:val="18"/>
                <w:szCs w:val="18"/>
                <w:color w:val="auto"/>
              </w:rPr>
              <w:t>(b)(1)</w:t>
            </w: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11.04(b), 16.02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 311</w:t>
            </w:r>
          </w:p>
        </w:tc>
        <w:tc>
          <w:tcPr>
            <w:tcW w:w="1680" w:type="dxa"/>
            <w:vAlign w:val="bottom"/>
          </w:tcPr>
          <w:p>
            <w:pPr>
              <w:spacing w:after="0"/>
              <w:rPr>
                <w:sz w:val="18"/>
                <w:szCs w:val="18"/>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11.01(f), 16.02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 312</w:t>
            </w:r>
          </w:p>
        </w:tc>
        <w:tc>
          <w:tcPr>
            <w:tcW w:w="1680" w:type="dxa"/>
            <w:vAlign w:val="bottom"/>
          </w:tcPr>
          <w:p>
            <w:pPr>
              <w:spacing w:after="0"/>
              <w:rPr>
                <w:sz w:val="18"/>
                <w:szCs w:val="18"/>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14.02(d), 16.02</w:t>
            </w:r>
          </w:p>
        </w:tc>
        <w:tc>
          <w:tcPr>
            <w:tcW w:w="0" w:type="dxa"/>
            <w:vAlign w:val="bottom"/>
          </w:tcPr>
          <w:p>
            <w:pPr>
              <w:spacing w:after="0"/>
              <w:rPr>
                <w:sz w:val="1"/>
                <w:szCs w:val="1"/>
                <w:color w:val="auto"/>
              </w:rPr>
            </w:pPr>
          </w:p>
        </w:tc>
      </w:tr>
      <w:tr>
        <w:trPr>
          <w:trHeight w:val="216"/>
        </w:trPr>
        <w:tc>
          <w:tcPr>
            <w:tcW w:w="2400" w:type="dxa"/>
            <w:vAlign w:val="bottom"/>
            <w:gridSpan w:val="2"/>
          </w:tcPr>
          <w:p>
            <w:pPr>
              <w:ind w:left="460"/>
              <w:spacing w:after="0"/>
              <w:rPr>
                <w:sz w:val="20"/>
                <w:szCs w:val="20"/>
                <w:color w:val="auto"/>
              </w:rPr>
            </w:pPr>
            <w:r>
              <w:rPr>
                <w:rFonts w:ascii="Arial" w:cs="Arial" w:eastAsia="Arial" w:hAnsi="Arial"/>
                <w:sz w:val="18"/>
                <w:szCs w:val="18"/>
                <w:color w:val="auto"/>
              </w:rPr>
              <w:t>(b)</w:t>
            </w: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11.10, 16.02</w:t>
            </w:r>
          </w:p>
        </w:tc>
        <w:tc>
          <w:tcPr>
            <w:tcW w:w="0" w:type="dxa"/>
            <w:vAlign w:val="bottom"/>
          </w:tcPr>
          <w:p>
            <w:pPr>
              <w:spacing w:after="0"/>
              <w:rPr>
                <w:sz w:val="1"/>
                <w:szCs w:val="1"/>
                <w:color w:val="auto"/>
              </w:rPr>
            </w:pPr>
          </w:p>
        </w:tc>
      </w:tr>
      <w:tr>
        <w:trPr>
          <w:trHeight w:val="216"/>
        </w:trPr>
        <w:tc>
          <w:tcPr>
            <w:tcW w:w="2400" w:type="dxa"/>
            <w:vAlign w:val="bottom"/>
            <w:gridSpan w:val="2"/>
          </w:tcPr>
          <w:p>
            <w:pPr>
              <w:ind w:left="460"/>
              <w:spacing w:after="0"/>
              <w:rPr>
                <w:sz w:val="20"/>
                <w:szCs w:val="20"/>
                <w:color w:val="auto"/>
              </w:rPr>
            </w:pPr>
            <w:r>
              <w:rPr>
                <w:rFonts w:ascii="Arial" w:cs="Arial" w:eastAsia="Arial" w:hAnsi="Arial"/>
                <w:sz w:val="18"/>
                <w:szCs w:val="18"/>
                <w:color w:val="auto"/>
              </w:rPr>
              <w:t>(c)</w:t>
            </w: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11.10, 16.02</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 313 (a)</w:t>
            </w: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10.01(a), 16.02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 314</w:t>
            </w:r>
          </w:p>
        </w:tc>
        <w:tc>
          <w:tcPr>
            <w:tcW w:w="1680" w:type="dxa"/>
            <w:vAlign w:val="bottom"/>
          </w:tcPr>
          <w:p>
            <w:pPr>
              <w:spacing w:after="0"/>
              <w:rPr>
                <w:sz w:val="18"/>
                <w:szCs w:val="18"/>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 315 (e)</w:t>
            </w: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11.05, 16.02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 316</w:t>
            </w:r>
          </w:p>
        </w:tc>
        <w:tc>
          <w:tcPr>
            <w:tcW w:w="1680" w:type="dxa"/>
            <w:vAlign w:val="bottom"/>
          </w:tcPr>
          <w:p>
            <w:pPr>
              <w:spacing w:after="0"/>
              <w:rPr>
                <w:sz w:val="18"/>
                <w:szCs w:val="18"/>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 317</w:t>
            </w:r>
          </w:p>
        </w:tc>
        <w:tc>
          <w:tcPr>
            <w:tcW w:w="1680" w:type="dxa"/>
            <w:vAlign w:val="bottom"/>
          </w:tcPr>
          <w:p>
            <w:pPr>
              <w:spacing w:after="0"/>
              <w:rPr>
                <w:sz w:val="18"/>
                <w:szCs w:val="18"/>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 318</w:t>
            </w:r>
          </w:p>
        </w:tc>
        <w:tc>
          <w:tcPr>
            <w:tcW w:w="1680" w:type="dxa"/>
            <w:vAlign w:val="bottom"/>
          </w:tcPr>
          <w:p>
            <w:pPr>
              <w:spacing w:after="0"/>
              <w:rPr>
                <w:sz w:val="20"/>
                <w:szCs w:val="20"/>
                <w:color w:val="auto"/>
              </w:rPr>
            </w:pPr>
          </w:p>
        </w:tc>
        <w:tc>
          <w:tcPr>
            <w:tcW w:w="8640" w:type="dxa"/>
            <w:vAlign w:val="bottom"/>
            <w:gridSpan w:val="2"/>
          </w:tcPr>
          <w:p>
            <w:pPr>
              <w:ind w:left="63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480" w:right="3880" w:hanging="5476"/>
        <w:spacing w:after="0" w:line="449" w:lineRule="auto"/>
        <w:tabs>
          <w:tab w:leader="none" w:pos="4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reconciliation and tie shall not, for any purpose, be deemed to be a part of the Indenture. i</w:t>
      </w:r>
    </w:p>
    <w:p>
      <w:pPr>
        <w:sectPr>
          <w:pgSz w:w="11900" w:h="16838" w:orient="portrait"/>
          <w:cols w:equalWidth="0" w:num="1">
            <w:col w:w="11040"/>
          </w:cols>
          <w:pgMar w:left="440" w:top="270" w:right="4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580" w:type="dxa"/>
            <w:vAlign w:val="bottom"/>
          </w:tcPr>
          <w:p>
            <w:pPr>
              <w:ind w:left="342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100" w:type="dxa"/>
            <w:vAlign w:val="bottom"/>
          </w:tcPr>
          <w:p>
            <w:pPr>
              <w:spacing w:after="0"/>
              <w:rPr>
                <w:sz w:val="24"/>
                <w:szCs w:val="24"/>
                <w:color w:val="auto"/>
              </w:rPr>
            </w:pPr>
          </w:p>
        </w:tc>
        <w:tc>
          <w:tcPr>
            <w:tcW w:w="7580" w:type="dxa"/>
            <w:vAlign w:val="bottom"/>
            <w:vMerge w:val="restart"/>
          </w:tcPr>
          <w:p>
            <w:pPr>
              <w:jc w:val="center"/>
              <w:ind w:left="410"/>
              <w:spacing w:after="0"/>
              <w:rPr>
                <w:sz w:val="20"/>
                <w:szCs w:val="20"/>
                <w:color w:val="auto"/>
              </w:rPr>
            </w:pPr>
            <w:r>
              <w:rPr>
                <w:rFonts w:ascii="Arial" w:cs="Arial" w:eastAsia="Arial" w:hAnsi="Arial"/>
                <w:sz w:val="18"/>
                <w:szCs w:val="18"/>
                <w:color w:val="auto"/>
                <w:w w:val="97"/>
              </w:rPr>
              <w:t>ARTICLE I</w:t>
            </w:r>
          </w:p>
        </w:tc>
        <w:tc>
          <w:tcPr>
            <w:tcW w:w="23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1"/>
        </w:trPr>
        <w:tc>
          <w:tcPr>
            <w:tcW w:w="1100" w:type="dxa"/>
            <w:vAlign w:val="bottom"/>
          </w:tcPr>
          <w:p>
            <w:pPr>
              <w:spacing w:after="0"/>
              <w:rPr>
                <w:sz w:val="17"/>
                <w:szCs w:val="17"/>
                <w:color w:val="auto"/>
              </w:rPr>
            </w:pPr>
          </w:p>
        </w:tc>
        <w:tc>
          <w:tcPr>
            <w:tcW w:w="758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7580" w:type="dxa"/>
            <w:vAlign w:val="bottom"/>
          </w:tcPr>
          <w:p>
            <w:pPr>
              <w:jc w:val="center"/>
              <w:ind w:left="410"/>
              <w:spacing w:after="0"/>
              <w:rPr>
                <w:sz w:val="20"/>
                <w:szCs w:val="20"/>
                <w:color w:val="auto"/>
              </w:rPr>
            </w:pPr>
            <w:r>
              <w:rPr>
                <w:rFonts w:ascii="Arial" w:cs="Arial" w:eastAsia="Arial" w:hAnsi="Arial"/>
                <w:sz w:val="18"/>
                <w:szCs w:val="18"/>
                <w:color w:val="auto"/>
                <w:w w:val="98"/>
              </w:rPr>
              <w:t>DEFINITIONS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1.01</w:t>
            </w:r>
          </w:p>
        </w:tc>
        <w:tc>
          <w:tcPr>
            <w:tcW w:w="75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7580" w:type="dxa"/>
            <w:vAlign w:val="bottom"/>
          </w:tcPr>
          <w:p>
            <w:pPr>
              <w:jc w:val="center"/>
              <w:ind w:left="410"/>
              <w:spacing w:after="0"/>
              <w:rPr>
                <w:sz w:val="20"/>
                <w:szCs w:val="20"/>
                <w:color w:val="auto"/>
              </w:rPr>
            </w:pPr>
            <w:r>
              <w:rPr>
                <w:rFonts w:ascii="Arial" w:cs="Arial" w:eastAsia="Arial" w:hAnsi="Arial"/>
                <w:sz w:val="18"/>
                <w:szCs w:val="18"/>
                <w:color w:val="auto"/>
              </w:rPr>
              <w:t>ARTICLE II</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7580" w:type="dxa"/>
            <w:vAlign w:val="bottom"/>
          </w:tcPr>
          <w:p>
            <w:pPr>
              <w:jc w:val="center"/>
              <w:ind w:left="410"/>
              <w:spacing w:after="0"/>
              <w:rPr>
                <w:sz w:val="20"/>
                <w:szCs w:val="20"/>
                <w:color w:val="auto"/>
              </w:rPr>
            </w:pPr>
            <w:r>
              <w:rPr>
                <w:rFonts w:ascii="Arial" w:cs="Arial" w:eastAsia="Arial" w:hAnsi="Arial"/>
                <w:sz w:val="18"/>
                <w:szCs w:val="18"/>
                <w:color w:val="auto"/>
                <w:w w:val="94"/>
              </w:rPr>
              <w:t>FORMS OF SECURITIES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2.01</w:t>
            </w:r>
          </w:p>
        </w:tc>
        <w:tc>
          <w:tcPr>
            <w:tcW w:w="7580" w:type="dxa"/>
            <w:vAlign w:val="bottom"/>
          </w:tcPr>
          <w:p>
            <w:pPr>
              <w:ind w:left="200"/>
              <w:spacing w:after="0"/>
              <w:rPr>
                <w:sz w:val="20"/>
                <w:szCs w:val="20"/>
                <w:color w:val="auto"/>
              </w:rPr>
            </w:pPr>
            <w:r>
              <w:rPr>
                <w:rFonts w:ascii="Arial" w:cs="Arial" w:eastAsia="Arial" w:hAnsi="Arial"/>
                <w:sz w:val="18"/>
                <w:szCs w:val="18"/>
                <w:color w:val="auto"/>
              </w:rPr>
              <w:t>Terms of the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2.02</w:t>
            </w:r>
          </w:p>
        </w:tc>
        <w:tc>
          <w:tcPr>
            <w:tcW w:w="7580" w:type="dxa"/>
            <w:vAlign w:val="bottom"/>
          </w:tcPr>
          <w:p>
            <w:pPr>
              <w:ind w:left="200"/>
              <w:spacing w:after="0"/>
              <w:rPr>
                <w:sz w:val="20"/>
                <w:szCs w:val="20"/>
                <w:color w:val="auto"/>
              </w:rPr>
            </w:pPr>
            <w:r>
              <w:rPr>
                <w:rFonts w:ascii="Arial" w:cs="Arial" w:eastAsia="Arial" w:hAnsi="Arial"/>
                <w:sz w:val="18"/>
                <w:szCs w:val="18"/>
                <w:color w:val="auto"/>
              </w:rPr>
              <w:t>Form of Trustee’s Certificate of Authentication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2.03</w:t>
            </w:r>
          </w:p>
        </w:tc>
        <w:tc>
          <w:tcPr>
            <w:tcW w:w="7580" w:type="dxa"/>
            <w:vAlign w:val="bottom"/>
          </w:tcPr>
          <w:p>
            <w:pPr>
              <w:ind w:left="200"/>
              <w:spacing w:after="0"/>
              <w:rPr>
                <w:sz w:val="20"/>
                <w:szCs w:val="20"/>
                <w:color w:val="auto"/>
              </w:rPr>
            </w:pPr>
            <w:r>
              <w:rPr>
                <w:rFonts w:ascii="Arial" w:cs="Arial" w:eastAsia="Arial" w:hAnsi="Arial"/>
                <w:sz w:val="18"/>
                <w:szCs w:val="18"/>
                <w:color w:val="auto"/>
              </w:rPr>
              <w:t>Form of Trustee’s Certificate of Authentication by an Authenticating Agent</w:t>
            </w:r>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7580" w:type="dxa"/>
            <w:vAlign w:val="bottom"/>
          </w:tcPr>
          <w:p>
            <w:pPr>
              <w:jc w:val="center"/>
              <w:ind w:left="410"/>
              <w:spacing w:after="0"/>
              <w:rPr>
                <w:sz w:val="20"/>
                <w:szCs w:val="20"/>
                <w:color w:val="auto"/>
              </w:rPr>
            </w:pPr>
            <w:r>
              <w:rPr>
                <w:rFonts w:ascii="Arial" w:cs="Arial" w:eastAsia="Arial" w:hAnsi="Arial"/>
                <w:sz w:val="18"/>
                <w:szCs w:val="18"/>
                <w:color w:val="auto"/>
                <w:w w:val="99"/>
              </w:rPr>
              <w:t>ARTICLE III</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00" w:type="dxa"/>
            <w:vAlign w:val="bottom"/>
          </w:tcPr>
          <w:p>
            <w:pPr>
              <w:spacing w:after="0"/>
              <w:rPr>
                <w:sz w:val="24"/>
                <w:szCs w:val="24"/>
                <w:color w:val="auto"/>
              </w:rPr>
            </w:pPr>
          </w:p>
        </w:tc>
        <w:tc>
          <w:tcPr>
            <w:tcW w:w="7580" w:type="dxa"/>
            <w:vAlign w:val="bottom"/>
          </w:tcPr>
          <w:p>
            <w:pPr>
              <w:jc w:val="center"/>
              <w:ind w:left="410"/>
              <w:spacing w:after="0"/>
              <w:rPr>
                <w:sz w:val="20"/>
                <w:szCs w:val="20"/>
                <w:color w:val="auto"/>
              </w:rPr>
            </w:pPr>
            <w:r>
              <w:rPr>
                <w:rFonts w:ascii="Arial" w:cs="Arial" w:eastAsia="Arial" w:hAnsi="Arial"/>
                <w:sz w:val="18"/>
                <w:szCs w:val="18"/>
                <w:color w:val="auto"/>
                <w:w w:val="95"/>
              </w:rPr>
              <w:t>THE DEBT SECURITIES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3.01</w:t>
            </w:r>
          </w:p>
        </w:tc>
        <w:tc>
          <w:tcPr>
            <w:tcW w:w="7580" w:type="dxa"/>
            <w:vAlign w:val="bottom"/>
          </w:tcPr>
          <w:p>
            <w:pPr>
              <w:ind w:left="200"/>
              <w:spacing w:after="0"/>
              <w:rPr>
                <w:sz w:val="20"/>
                <w:szCs w:val="20"/>
                <w:color w:val="auto"/>
              </w:rPr>
            </w:pPr>
            <w:r>
              <w:rPr>
                <w:rFonts w:ascii="Arial" w:cs="Arial" w:eastAsia="Arial" w:hAnsi="Arial"/>
                <w:sz w:val="18"/>
                <w:szCs w:val="18"/>
                <w:color w:val="auto"/>
              </w:rPr>
              <w:t>Amount Unlimited; Issuable in Series</w:t>
            </w:r>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3.02</w:t>
            </w:r>
          </w:p>
        </w:tc>
        <w:tc>
          <w:tcPr>
            <w:tcW w:w="7580" w:type="dxa"/>
            <w:vAlign w:val="bottom"/>
          </w:tcPr>
          <w:p>
            <w:pPr>
              <w:ind w:left="200"/>
              <w:spacing w:after="0"/>
              <w:rPr>
                <w:sz w:val="20"/>
                <w:szCs w:val="20"/>
                <w:color w:val="auto"/>
              </w:rPr>
            </w:pPr>
            <w:r>
              <w:rPr>
                <w:rFonts w:ascii="Arial" w:cs="Arial" w:eastAsia="Arial" w:hAnsi="Arial"/>
                <w:sz w:val="18"/>
                <w:szCs w:val="18"/>
                <w:color w:val="auto"/>
              </w:rPr>
              <w:t>Denominations</w:t>
            </w:r>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3.03</w:t>
            </w:r>
          </w:p>
        </w:tc>
        <w:tc>
          <w:tcPr>
            <w:tcW w:w="7580" w:type="dxa"/>
            <w:vAlign w:val="bottom"/>
          </w:tcPr>
          <w:p>
            <w:pPr>
              <w:ind w:left="200"/>
              <w:spacing w:after="0"/>
              <w:rPr>
                <w:sz w:val="20"/>
                <w:szCs w:val="20"/>
                <w:color w:val="auto"/>
              </w:rPr>
            </w:pPr>
            <w:r>
              <w:rPr>
                <w:rFonts w:ascii="Arial" w:cs="Arial" w:eastAsia="Arial" w:hAnsi="Arial"/>
                <w:sz w:val="18"/>
                <w:szCs w:val="18"/>
                <w:color w:val="auto"/>
              </w:rPr>
              <w:t>Execution, Authentication, Delivery and Dating</w:t>
            </w:r>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3.04</w:t>
            </w:r>
          </w:p>
        </w:tc>
        <w:tc>
          <w:tcPr>
            <w:tcW w:w="7580" w:type="dxa"/>
            <w:vAlign w:val="bottom"/>
          </w:tcPr>
          <w:p>
            <w:pPr>
              <w:ind w:left="200"/>
              <w:spacing w:after="0"/>
              <w:rPr>
                <w:sz w:val="20"/>
                <w:szCs w:val="20"/>
                <w:color w:val="auto"/>
              </w:rPr>
            </w:pPr>
            <w:r>
              <w:rPr>
                <w:rFonts w:ascii="Arial" w:cs="Arial" w:eastAsia="Arial" w:hAnsi="Arial"/>
                <w:sz w:val="18"/>
                <w:szCs w:val="18"/>
                <w:color w:val="auto"/>
              </w:rPr>
              <w:t>Temporary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3.05</w:t>
            </w:r>
          </w:p>
        </w:tc>
        <w:tc>
          <w:tcPr>
            <w:tcW w:w="7580" w:type="dxa"/>
            <w:vAlign w:val="bottom"/>
          </w:tcPr>
          <w:p>
            <w:pPr>
              <w:ind w:left="200"/>
              <w:spacing w:after="0"/>
              <w:rPr>
                <w:sz w:val="20"/>
                <w:szCs w:val="20"/>
                <w:color w:val="auto"/>
              </w:rPr>
            </w:pPr>
            <w:r>
              <w:rPr>
                <w:rFonts w:ascii="Arial" w:cs="Arial" w:eastAsia="Arial" w:hAnsi="Arial"/>
                <w:sz w:val="18"/>
                <w:szCs w:val="18"/>
                <w:color w:val="auto"/>
              </w:rPr>
              <w:t>Registrar</w:t>
            </w:r>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3.06</w:t>
            </w:r>
          </w:p>
        </w:tc>
        <w:tc>
          <w:tcPr>
            <w:tcW w:w="7580" w:type="dxa"/>
            <w:vAlign w:val="bottom"/>
          </w:tcPr>
          <w:p>
            <w:pPr>
              <w:ind w:left="200"/>
              <w:spacing w:after="0"/>
              <w:rPr>
                <w:sz w:val="20"/>
                <w:szCs w:val="20"/>
                <w:color w:val="auto"/>
              </w:rPr>
            </w:pPr>
            <w:r>
              <w:rPr>
                <w:rFonts w:ascii="Arial" w:cs="Arial" w:eastAsia="Arial" w:hAnsi="Arial"/>
                <w:sz w:val="18"/>
                <w:szCs w:val="18"/>
                <w:color w:val="auto"/>
              </w:rPr>
              <w:t>Transfer and Exchange</w:t>
            </w:r>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3.07</w:t>
            </w:r>
          </w:p>
        </w:tc>
        <w:tc>
          <w:tcPr>
            <w:tcW w:w="7580" w:type="dxa"/>
            <w:vAlign w:val="bottom"/>
          </w:tcPr>
          <w:p>
            <w:pPr>
              <w:ind w:left="200"/>
              <w:spacing w:after="0"/>
              <w:rPr>
                <w:sz w:val="20"/>
                <w:szCs w:val="20"/>
                <w:color w:val="auto"/>
              </w:rPr>
            </w:pPr>
            <w:r>
              <w:rPr>
                <w:rFonts w:ascii="Arial" w:cs="Arial" w:eastAsia="Arial" w:hAnsi="Arial"/>
                <w:sz w:val="18"/>
                <w:szCs w:val="18"/>
                <w:color w:val="auto"/>
              </w:rPr>
              <w:t>Mutilated, Destroyed, Lost and Stolen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3.08</w:t>
            </w:r>
          </w:p>
        </w:tc>
        <w:tc>
          <w:tcPr>
            <w:tcW w:w="7580" w:type="dxa"/>
            <w:vAlign w:val="bottom"/>
          </w:tcPr>
          <w:p>
            <w:pPr>
              <w:ind w:left="200"/>
              <w:spacing w:after="0"/>
              <w:rPr>
                <w:sz w:val="20"/>
                <w:szCs w:val="20"/>
                <w:color w:val="auto"/>
              </w:rPr>
            </w:pPr>
            <w:r>
              <w:rPr>
                <w:rFonts w:ascii="Arial" w:cs="Arial" w:eastAsia="Arial" w:hAnsi="Arial"/>
                <w:sz w:val="18"/>
                <w:szCs w:val="18"/>
                <w:color w:val="auto"/>
              </w:rPr>
              <w:t>Payment of Interest; Interest Rights Preserved</w:t>
            </w:r>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3.09</w:t>
            </w:r>
          </w:p>
        </w:tc>
        <w:tc>
          <w:tcPr>
            <w:tcW w:w="758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3.10</w:t>
            </w:r>
          </w:p>
        </w:tc>
        <w:tc>
          <w:tcPr>
            <w:tcW w:w="7580" w:type="dxa"/>
            <w:vAlign w:val="bottom"/>
          </w:tcPr>
          <w:p>
            <w:pPr>
              <w:ind w:left="200"/>
              <w:spacing w:after="0"/>
              <w:rPr>
                <w:sz w:val="20"/>
                <w:szCs w:val="20"/>
                <w:color w:val="auto"/>
              </w:rPr>
            </w:pPr>
            <w:r>
              <w:rPr>
                <w:rFonts w:ascii="Arial" w:cs="Arial" w:eastAsia="Arial" w:hAnsi="Arial"/>
                <w:sz w:val="18"/>
                <w:szCs w:val="18"/>
                <w:color w:val="auto"/>
              </w:rPr>
              <w:t>Computation of Interest</w:t>
            </w:r>
          </w:p>
        </w:tc>
        <w:tc>
          <w:tcPr>
            <w:tcW w:w="2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3.11</w:t>
            </w:r>
          </w:p>
        </w:tc>
        <w:tc>
          <w:tcPr>
            <w:tcW w:w="7580" w:type="dxa"/>
            <w:vAlign w:val="bottom"/>
          </w:tcPr>
          <w:p>
            <w:pPr>
              <w:ind w:left="200"/>
              <w:spacing w:after="0"/>
              <w:rPr>
                <w:sz w:val="20"/>
                <w:szCs w:val="20"/>
                <w:color w:val="auto"/>
              </w:rPr>
            </w:pPr>
            <w:r>
              <w:rPr>
                <w:rFonts w:ascii="Arial" w:cs="Arial" w:eastAsia="Arial" w:hAnsi="Arial"/>
                <w:sz w:val="18"/>
                <w:szCs w:val="18"/>
                <w:color w:val="auto"/>
              </w:rPr>
              <w:t>Currency of Payments in Respect of Securities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3.12</w:t>
            </w:r>
          </w:p>
        </w:tc>
        <w:tc>
          <w:tcPr>
            <w:tcW w:w="7580" w:type="dxa"/>
            <w:vAlign w:val="bottom"/>
          </w:tcPr>
          <w:p>
            <w:pPr>
              <w:ind w:left="200"/>
              <w:spacing w:after="0"/>
              <w:rPr>
                <w:sz w:val="20"/>
                <w:szCs w:val="20"/>
                <w:color w:val="auto"/>
              </w:rPr>
            </w:pPr>
            <w:r>
              <w:rPr>
                <w:rFonts w:ascii="Arial" w:cs="Arial" w:eastAsia="Arial" w:hAnsi="Arial"/>
                <w:sz w:val="18"/>
                <w:szCs w:val="18"/>
                <w:color w:val="auto"/>
              </w:rPr>
              <w:t>Judgments</w:t>
            </w:r>
          </w:p>
        </w:tc>
        <w:tc>
          <w:tcPr>
            <w:tcW w:w="2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3.13</w:t>
            </w:r>
          </w:p>
        </w:tc>
        <w:tc>
          <w:tcPr>
            <w:tcW w:w="7580" w:type="dxa"/>
            <w:vAlign w:val="bottom"/>
          </w:tcPr>
          <w:p>
            <w:pPr>
              <w:ind w:left="200"/>
              <w:spacing w:after="0"/>
              <w:rPr>
                <w:sz w:val="20"/>
                <w:szCs w:val="20"/>
                <w:color w:val="auto"/>
              </w:rPr>
            </w:pPr>
            <w:r>
              <w:rPr>
                <w:rFonts w:ascii="Arial" w:cs="Arial" w:eastAsia="Arial" w:hAnsi="Arial"/>
                <w:sz w:val="18"/>
                <w:szCs w:val="18"/>
                <w:color w:val="auto"/>
              </w:rPr>
              <w:t>CUSIP Numbers</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7580" w:type="dxa"/>
            <w:vAlign w:val="bottom"/>
          </w:tcPr>
          <w:p>
            <w:pPr>
              <w:jc w:val="center"/>
              <w:ind w:left="430"/>
              <w:spacing w:after="0"/>
              <w:rPr>
                <w:sz w:val="20"/>
                <w:szCs w:val="20"/>
                <w:color w:val="auto"/>
              </w:rPr>
            </w:pPr>
            <w:r>
              <w:rPr>
                <w:rFonts w:ascii="Arial" w:cs="Arial" w:eastAsia="Arial" w:hAnsi="Arial"/>
                <w:sz w:val="18"/>
                <w:szCs w:val="18"/>
                <w:color w:val="auto"/>
                <w:w w:val="99"/>
              </w:rPr>
              <w:t>ARTICLE IV</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7580" w:type="dxa"/>
            <w:vAlign w:val="bottom"/>
          </w:tcPr>
          <w:p>
            <w:pPr>
              <w:jc w:val="center"/>
              <w:ind w:left="430"/>
              <w:spacing w:after="0"/>
              <w:rPr>
                <w:sz w:val="20"/>
                <w:szCs w:val="20"/>
                <w:color w:val="auto"/>
              </w:rPr>
            </w:pPr>
            <w:r>
              <w:rPr>
                <w:rFonts w:ascii="Arial" w:cs="Arial" w:eastAsia="Arial" w:hAnsi="Arial"/>
                <w:sz w:val="18"/>
                <w:szCs w:val="18"/>
                <w:color w:val="auto"/>
                <w:w w:val="95"/>
              </w:rPr>
              <w:t>REDEMPTION OF SECURITIES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Section 4.01</w:t>
            </w:r>
          </w:p>
        </w:tc>
        <w:tc>
          <w:tcPr>
            <w:tcW w:w="7580" w:type="dxa"/>
            <w:vAlign w:val="bottom"/>
          </w:tcPr>
          <w:p>
            <w:pPr>
              <w:ind w:left="200"/>
              <w:spacing w:after="0"/>
              <w:rPr>
                <w:sz w:val="20"/>
                <w:szCs w:val="20"/>
                <w:color w:val="auto"/>
              </w:rPr>
            </w:pPr>
            <w:r>
              <w:rPr>
                <w:rFonts w:ascii="Arial" w:cs="Arial" w:eastAsia="Arial" w:hAnsi="Arial"/>
                <w:sz w:val="18"/>
                <w:szCs w:val="18"/>
                <w:color w:val="auto"/>
              </w:rPr>
              <w:t>Applicability of Right of Redemption</w:t>
            </w:r>
          </w:p>
        </w:tc>
        <w:tc>
          <w:tcPr>
            <w:tcW w:w="2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240030</wp:posOffset>
            </wp:positionV>
            <wp:extent cx="694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8"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Table of Contents is not a part of the Indenture.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4.02   Selection of Securities to be Redeemed</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4.03   Notice of Redemption</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4.04   Deposit of Redemption Price</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4.05   Securities Payable on Redemption Date</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4.06   Securities Redeemed in Part</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020" w:type="dxa"/>
            <w:vAlign w:val="bottom"/>
          </w:tcPr>
          <w:p>
            <w:pPr>
              <w:spacing w:after="0"/>
              <w:rPr>
                <w:sz w:val="24"/>
                <w:szCs w:val="24"/>
                <w:color w:val="auto"/>
              </w:rPr>
            </w:pPr>
          </w:p>
        </w:tc>
        <w:tc>
          <w:tcPr>
            <w:tcW w:w="7840" w:type="dxa"/>
            <w:vAlign w:val="bottom"/>
          </w:tcPr>
          <w:p>
            <w:pPr>
              <w:jc w:val="center"/>
              <w:ind w:left="310"/>
              <w:spacing w:after="0"/>
              <w:rPr>
                <w:sz w:val="20"/>
                <w:szCs w:val="20"/>
                <w:color w:val="auto"/>
              </w:rPr>
            </w:pPr>
            <w:r>
              <w:rPr>
                <w:rFonts w:ascii="Arial" w:cs="Arial" w:eastAsia="Arial" w:hAnsi="Arial"/>
                <w:sz w:val="18"/>
                <w:szCs w:val="18"/>
                <w:color w:val="auto"/>
                <w:w w:val="98"/>
              </w:rPr>
              <w:t>ARTICLE V</w:t>
            </w:r>
          </w:p>
        </w:tc>
        <w:tc>
          <w:tcPr>
            <w:tcW w:w="18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7840" w:type="dxa"/>
            <w:vAlign w:val="bottom"/>
          </w:tcPr>
          <w:p>
            <w:pPr>
              <w:jc w:val="center"/>
              <w:ind w:left="310"/>
              <w:spacing w:after="0"/>
              <w:rPr>
                <w:sz w:val="20"/>
                <w:szCs w:val="20"/>
                <w:color w:val="auto"/>
              </w:rPr>
            </w:pPr>
            <w:r>
              <w:rPr>
                <w:rFonts w:ascii="Arial" w:cs="Arial" w:eastAsia="Arial" w:hAnsi="Arial"/>
                <w:sz w:val="18"/>
                <w:szCs w:val="18"/>
                <w:color w:val="auto"/>
                <w:w w:val="96"/>
              </w:rPr>
              <w:t>SINKING FUNDS</w:t>
            </w:r>
          </w:p>
        </w:tc>
        <w:tc>
          <w:tcPr>
            <w:tcW w:w="1800" w:type="dxa"/>
            <w:vAlign w:val="bottom"/>
          </w:tcPr>
          <w:p>
            <w:pPr>
              <w:spacing w:after="0"/>
              <w:rPr>
                <w:sz w:val="24"/>
                <w:szCs w:val="24"/>
                <w:color w:val="auto"/>
              </w:rPr>
            </w:pP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Section 5.01   Applicability of Sinking Fund</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5.02   Mandatory Sinking Fund Obligation</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5.03   Optional Redemption at Sinking Fund Redemption Price</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5.04   Application of Sinking Fund Payment</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020" w:type="dxa"/>
            <w:vAlign w:val="bottom"/>
          </w:tcPr>
          <w:p>
            <w:pPr>
              <w:spacing w:after="0"/>
              <w:rPr>
                <w:sz w:val="24"/>
                <w:szCs w:val="24"/>
                <w:color w:val="auto"/>
              </w:rPr>
            </w:pPr>
          </w:p>
        </w:tc>
        <w:tc>
          <w:tcPr>
            <w:tcW w:w="7840" w:type="dxa"/>
            <w:vAlign w:val="bottom"/>
          </w:tcPr>
          <w:p>
            <w:pPr>
              <w:jc w:val="center"/>
              <w:ind w:left="290"/>
              <w:spacing w:after="0"/>
              <w:rPr>
                <w:sz w:val="20"/>
                <w:szCs w:val="20"/>
                <w:color w:val="auto"/>
              </w:rPr>
            </w:pPr>
            <w:r>
              <w:rPr>
                <w:rFonts w:ascii="Arial" w:cs="Arial" w:eastAsia="Arial" w:hAnsi="Arial"/>
                <w:sz w:val="18"/>
                <w:szCs w:val="18"/>
                <w:color w:val="auto"/>
                <w:w w:val="99"/>
              </w:rPr>
              <w:t>ARTICLE VI</w:t>
            </w:r>
          </w:p>
        </w:tc>
        <w:tc>
          <w:tcPr>
            <w:tcW w:w="18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7840" w:type="dxa"/>
            <w:vAlign w:val="bottom"/>
          </w:tcPr>
          <w:p>
            <w:pPr>
              <w:jc w:val="center"/>
              <w:ind w:left="310"/>
              <w:spacing w:after="0"/>
              <w:rPr>
                <w:sz w:val="20"/>
                <w:szCs w:val="20"/>
                <w:color w:val="auto"/>
              </w:rPr>
            </w:pPr>
            <w:r>
              <w:rPr>
                <w:rFonts w:ascii="Arial" w:cs="Arial" w:eastAsia="Arial" w:hAnsi="Arial"/>
                <w:sz w:val="18"/>
                <w:szCs w:val="18"/>
                <w:color w:val="auto"/>
                <w:w w:val="96"/>
              </w:rPr>
              <w:t>PARTICULAR COVENANTS OF THE COMPANY</w:t>
            </w:r>
          </w:p>
        </w:tc>
        <w:tc>
          <w:tcPr>
            <w:tcW w:w="1800" w:type="dxa"/>
            <w:vAlign w:val="bottom"/>
          </w:tcPr>
          <w:p>
            <w:pPr>
              <w:spacing w:after="0"/>
              <w:rPr>
                <w:sz w:val="24"/>
                <w:szCs w:val="24"/>
                <w:color w:val="auto"/>
              </w:rPr>
            </w:pP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6.01   Payments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6.02</w:t>
            </w:r>
          </w:p>
        </w:tc>
        <w:tc>
          <w:tcPr>
            <w:tcW w:w="7840" w:type="dxa"/>
            <w:vAlign w:val="bottom"/>
          </w:tcPr>
          <w:p>
            <w:pPr>
              <w:ind w:left="120"/>
              <w:spacing w:after="0"/>
              <w:rPr>
                <w:sz w:val="20"/>
                <w:szCs w:val="20"/>
                <w:color w:val="auto"/>
              </w:rPr>
            </w:pPr>
            <w:r>
              <w:rPr>
                <w:rFonts w:ascii="Arial" w:cs="Arial" w:eastAsia="Arial" w:hAnsi="Arial"/>
                <w:sz w:val="18"/>
                <w:szCs w:val="18"/>
                <w:color w:val="auto"/>
              </w:rPr>
              <w:t>Paying Agent</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6.03   To Hold Payment in Trust</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6.04   Merger, Consolidation and Sale of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6.05</w:t>
            </w:r>
          </w:p>
        </w:tc>
        <w:tc>
          <w:tcPr>
            <w:tcW w:w="784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6.06   Conditional Waiver by Holders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6.07   Statement by Officers as to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020" w:type="dxa"/>
            <w:vAlign w:val="bottom"/>
          </w:tcPr>
          <w:p>
            <w:pPr>
              <w:spacing w:after="0"/>
              <w:rPr>
                <w:sz w:val="24"/>
                <w:szCs w:val="24"/>
                <w:color w:val="auto"/>
              </w:rPr>
            </w:pPr>
          </w:p>
        </w:tc>
        <w:tc>
          <w:tcPr>
            <w:tcW w:w="7840" w:type="dxa"/>
            <w:vAlign w:val="bottom"/>
          </w:tcPr>
          <w:p>
            <w:pPr>
              <w:jc w:val="center"/>
              <w:ind w:left="310"/>
              <w:spacing w:after="0"/>
              <w:rPr>
                <w:sz w:val="20"/>
                <w:szCs w:val="20"/>
                <w:color w:val="auto"/>
              </w:rPr>
            </w:pPr>
            <w:r>
              <w:rPr>
                <w:rFonts w:ascii="Arial" w:cs="Arial" w:eastAsia="Arial" w:hAnsi="Arial"/>
                <w:sz w:val="18"/>
                <w:szCs w:val="18"/>
                <w:color w:val="auto"/>
              </w:rPr>
              <w:t>ARTICLE VII</w:t>
            </w:r>
          </w:p>
        </w:tc>
        <w:tc>
          <w:tcPr>
            <w:tcW w:w="18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7840" w:type="dxa"/>
            <w:vAlign w:val="bottom"/>
          </w:tcPr>
          <w:p>
            <w:pPr>
              <w:jc w:val="center"/>
              <w:ind w:left="310"/>
              <w:spacing w:after="0"/>
              <w:rPr>
                <w:sz w:val="20"/>
                <w:szCs w:val="20"/>
                <w:color w:val="auto"/>
              </w:rPr>
            </w:pPr>
            <w:r>
              <w:rPr>
                <w:rFonts w:ascii="Arial" w:cs="Arial" w:eastAsia="Arial" w:hAnsi="Arial"/>
                <w:sz w:val="18"/>
                <w:szCs w:val="18"/>
                <w:color w:val="auto"/>
                <w:w w:val="95"/>
              </w:rPr>
              <w:t>REMEDIES OF TRUSTEE AND SECURITYHOLDERS</w:t>
            </w:r>
          </w:p>
        </w:tc>
        <w:tc>
          <w:tcPr>
            <w:tcW w:w="1800" w:type="dxa"/>
            <w:vAlign w:val="bottom"/>
          </w:tcPr>
          <w:p>
            <w:pPr>
              <w:spacing w:after="0"/>
              <w:rPr>
                <w:sz w:val="24"/>
                <w:szCs w:val="24"/>
                <w:color w:val="auto"/>
              </w:rPr>
            </w:pP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7.01   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7.02   Acceleration; Rescission and Annulment</w:t>
            </w:r>
          </w:p>
        </w:tc>
        <w:tc>
          <w:tcPr>
            <w:tcW w:w="1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7.03</w:t>
            </w:r>
          </w:p>
        </w:tc>
        <w:tc>
          <w:tcPr>
            <w:tcW w:w="784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7.04   Trustee as Attorney-in-Fact</w:t>
            </w:r>
          </w:p>
        </w:tc>
        <w:tc>
          <w:tcPr>
            <w:tcW w:w="1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7.05</w:t>
            </w:r>
          </w:p>
        </w:tc>
        <w:tc>
          <w:tcPr>
            <w:tcW w:w="784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7.06   Control by Securityholders; Waiver of Past Defaults</w:t>
            </w:r>
          </w:p>
        </w:tc>
        <w:tc>
          <w:tcPr>
            <w:tcW w:w="1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7.07   Limitation on Suits</w:t>
            </w:r>
          </w:p>
        </w:tc>
        <w:tc>
          <w:tcPr>
            <w:tcW w:w="1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7.08   Undertaking for Costs</w:t>
            </w:r>
          </w:p>
        </w:tc>
        <w:tc>
          <w:tcPr>
            <w:tcW w:w="1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9"/>
              </w:rPr>
              <w:t>Section 7.09</w:t>
            </w:r>
          </w:p>
        </w:tc>
        <w:tc>
          <w:tcPr>
            <w:tcW w:w="7840" w:type="dxa"/>
            <w:vAlign w:val="bottom"/>
          </w:tcPr>
          <w:p>
            <w:pPr>
              <w:ind w:left="120"/>
              <w:spacing w:after="0"/>
              <w:rPr>
                <w:sz w:val="20"/>
                <w:szCs w:val="20"/>
                <w:color w:val="auto"/>
              </w:rPr>
            </w:pPr>
            <w:r>
              <w:rPr>
                <w:rFonts w:ascii="Arial" w:cs="Arial" w:eastAsia="Arial" w:hAnsi="Arial"/>
                <w:sz w:val="18"/>
                <w:szCs w:val="18"/>
                <w:color w:val="auto"/>
              </w:rPr>
              <w:t>Remedies Cumulative</w:t>
            </w:r>
          </w:p>
        </w:tc>
        <w:tc>
          <w:tcPr>
            <w:tcW w:w="1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20" w:type="dxa"/>
            <w:vAlign w:val="bottom"/>
          </w:tcPr>
          <w:p>
            <w:pPr>
              <w:spacing w:after="0"/>
              <w:rPr>
                <w:sz w:val="24"/>
                <w:szCs w:val="24"/>
                <w:color w:val="auto"/>
              </w:rPr>
            </w:pPr>
          </w:p>
        </w:tc>
        <w:tc>
          <w:tcPr>
            <w:tcW w:w="7840" w:type="dxa"/>
            <w:vAlign w:val="bottom"/>
          </w:tcPr>
          <w:p>
            <w:pPr>
              <w:jc w:val="center"/>
              <w:ind w:left="290"/>
              <w:spacing w:after="0"/>
              <w:rPr>
                <w:sz w:val="20"/>
                <w:szCs w:val="20"/>
                <w:color w:val="auto"/>
              </w:rPr>
            </w:pPr>
            <w:r>
              <w:rPr>
                <w:rFonts w:ascii="Arial" w:cs="Arial" w:eastAsia="Arial" w:hAnsi="Arial"/>
                <w:sz w:val="18"/>
                <w:szCs w:val="18"/>
                <w:color w:val="auto"/>
              </w:rPr>
              <w:t>ARTICLE VIII</w:t>
            </w:r>
          </w:p>
        </w:tc>
        <w:tc>
          <w:tcPr>
            <w:tcW w:w="18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7840" w:type="dxa"/>
            <w:vAlign w:val="bottom"/>
          </w:tcPr>
          <w:p>
            <w:pPr>
              <w:jc w:val="center"/>
              <w:ind w:left="310"/>
              <w:spacing w:after="0"/>
              <w:rPr>
                <w:sz w:val="20"/>
                <w:szCs w:val="20"/>
                <w:color w:val="auto"/>
              </w:rPr>
            </w:pPr>
            <w:r>
              <w:rPr>
                <w:rFonts w:ascii="Arial" w:cs="Arial" w:eastAsia="Arial" w:hAnsi="Arial"/>
                <w:sz w:val="18"/>
                <w:szCs w:val="18"/>
                <w:color w:val="auto"/>
                <w:w w:val="95"/>
              </w:rPr>
              <w:t>CONCERNING THE SECURITYHOLDERS</w:t>
            </w:r>
          </w:p>
        </w:tc>
        <w:tc>
          <w:tcPr>
            <w:tcW w:w="1800" w:type="dxa"/>
            <w:vAlign w:val="bottom"/>
          </w:tcPr>
          <w:p>
            <w:pPr>
              <w:spacing w:after="0"/>
              <w:rPr>
                <w:sz w:val="24"/>
                <w:szCs w:val="24"/>
                <w:color w:val="auto"/>
              </w:rPr>
            </w:pP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Section 8.01   Evidence of Action of Securityholders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8.02   Proof of Execution or Holding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Section 8.03   Persons Deemed Owners</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8.04   Effect of Consents</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60"/>
          </w:cols>
          <w:pgMar w:left="620" w:top="328" w:right="6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9"/>
              </w:rPr>
              <w:t>ARTICLE IX</w:t>
            </w:r>
          </w:p>
        </w:tc>
        <w:tc>
          <w:tcPr>
            <w:tcW w:w="14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7"/>
              </w:rPr>
              <w:t>SECURITYHOLDERS’ MEETINGS</w:t>
            </w:r>
          </w:p>
        </w:tc>
        <w:tc>
          <w:tcPr>
            <w:tcW w:w="148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9.01</w:t>
            </w:r>
          </w:p>
        </w:tc>
        <w:tc>
          <w:tcPr>
            <w:tcW w:w="8400" w:type="dxa"/>
            <w:vAlign w:val="bottom"/>
          </w:tcPr>
          <w:p>
            <w:pPr>
              <w:ind w:left="160"/>
              <w:spacing w:after="0"/>
              <w:rPr>
                <w:sz w:val="20"/>
                <w:szCs w:val="20"/>
                <w:color w:val="auto"/>
              </w:rPr>
            </w:pPr>
            <w:r>
              <w:rPr>
                <w:rFonts w:ascii="Arial" w:cs="Arial" w:eastAsia="Arial" w:hAnsi="Arial"/>
                <w:sz w:val="18"/>
                <w:szCs w:val="18"/>
                <w:color w:val="auto"/>
              </w:rPr>
              <w:t>Purposes of Meetings</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9.02</w:t>
            </w:r>
          </w:p>
        </w:tc>
        <w:tc>
          <w:tcPr>
            <w:tcW w:w="8400" w:type="dxa"/>
            <w:vAlign w:val="bottom"/>
          </w:tcPr>
          <w:p>
            <w:pPr>
              <w:ind w:left="160"/>
              <w:spacing w:after="0"/>
              <w:rPr>
                <w:sz w:val="20"/>
                <w:szCs w:val="20"/>
                <w:color w:val="auto"/>
              </w:rPr>
            </w:pPr>
            <w:r>
              <w:rPr>
                <w:rFonts w:ascii="Arial" w:cs="Arial" w:eastAsia="Arial" w:hAnsi="Arial"/>
                <w:sz w:val="18"/>
                <w:szCs w:val="18"/>
                <w:color w:val="auto"/>
              </w:rPr>
              <w:t>Call of Meetings by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9.03</w:t>
            </w:r>
          </w:p>
        </w:tc>
        <w:tc>
          <w:tcPr>
            <w:tcW w:w="8400" w:type="dxa"/>
            <w:vAlign w:val="bottom"/>
          </w:tcPr>
          <w:p>
            <w:pPr>
              <w:ind w:left="160"/>
              <w:spacing w:after="0"/>
              <w:rPr>
                <w:sz w:val="20"/>
                <w:szCs w:val="20"/>
                <w:color w:val="auto"/>
              </w:rPr>
            </w:pPr>
            <w:r>
              <w:rPr>
                <w:rFonts w:ascii="Arial" w:cs="Arial" w:eastAsia="Arial" w:hAnsi="Arial"/>
                <w:sz w:val="18"/>
                <w:szCs w:val="18"/>
                <w:color w:val="auto"/>
              </w:rPr>
              <w:t>Call of Meetings by Company or Securityholders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9.04</w:t>
            </w:r>
          </w:p>
        </w:tc>
        <w:tc>
          <w:tcPr>
            <w:tcW w:w="8400" w:type="dxa"/>
            <w:vAlign w:val="bottom"/>
          </w:tcPr>
          <w:p>
            <w:pPr>
              <w:ind w:left="160"/>
              <w:spacing w:after="0"/>
              <w:rPr>
                <w:sz w:val="20"/>
                <w:szCs w:val="20"/>
                <w:color w:val="auto"/>
              </w:rPr>
            </w:pPr>
            <w:r>
              <w:rPr>
                <w:rFonts w:ascii="Arial" w:cs="Arial" w:eastAsia="Arial" w:hAnsi="Arial"/>
                <w:sz w:val="18"/>
                <w:szCs w:val="18"/>
                <w:color w:val="auto"/>
              </w:rPr>
              <w:t>Qualifications for Voting</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9.05</w:t>
            </w:r>
          </w:p>
        </w:tc>
        <w:tc>
          <w:tcPr>
            <w:tcW w:w="8400" w:type="dxa"/>
            <w:vAlign w:val="bottom"/>
          </w:tcPr>
          <w:p>
            <w:pPr>
              <w:ind w:left="160"/>
              <w:spacing w:after="0"/>
              <w:rPr>
                <w:sz w:val="20"/>
                <w:szCs w:val="20"/>
                <w:color w:val="auto"/>
              </w:rPr>
            </w:pPr>
            <w:r>
              <w:rPr>
                <w:rFonts w:ascii="Arial" w:cs="Arial" w:eastAsia="Arial" w:hAnsi="Arial"/>
                <w:sz w:val="18"/>
                <w:szCs w:val="18"/>
                <w:color w:val="auto"/>
              </w:rPr>
              <w:t>Regulation of Meetings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9.06</w:t>
            </w:r>
          </w:p>
        </w:tc>
        <w:tc>
          <w:tcPr>
            <w:tcW w:w="8400" w:type="dxa"/>
            <w:vAlign w:val="bottom"/>
          </w:tcPr>
          <w:p>
            <w:pPr>
              <w:ind w:left="160"/>
              <w:spacing w:after="0"/>
              <w:rPr>
                <w:sz w:val="20"/>
                <w:szCs w:val="20"/>
                <w:color w:val="auto"/>
              </w:rPr>
            </w:pPr>
            <w:r>
              <w:rPr>
                <w:rFonts w:ascii="Arial" w:cs="Arial" w:eastAsia="Arial" w:hAnsi="Arial"/>
                <w:sz w:val="18"/>
                <w:szCs w:val="18"/>
                <w:color w:val="auto"/>
              </w:rPr>
              <w:t>Voting</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9.07</w:t>
            </w:r>
          </w:p>
        </w:tc>
        <w:tc>
          <w:tcPr>
            <w:tcW w:w="8400" w:type="dxa"/>
            <w:vAlign w:val="bottom"/>
          </w:tcPr>
          <w:p>
            <w:pPr>
              <w:ind w:left="160"/>
              <w:spacing w:after="0"/>
              <w:rPr>
                <w:sz w:val="20"/>
                <w:szCs w:val="20"/>
                <w:color w:val="auto"/>
              </w:rPr>
            </w:pPr>
            <w:r>
              <w:rPr>
                <w:rFonts w:ascii="Arial" w:cs="Arial" w:eastAsia="Arial" w:hAnsi="Arial"/>
                <w:sz w:val="18"/>
                <w:szCs w:val="18"/>
                <w:color w:val="auto"/>
              </w:rPr>
              <w:t>No Delay of Rights by Meeting</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rPr>
              <w:t>ARTICLE X</w:t>
            </w:r>
          </w:p>
        </w:tc>
        <w:tc>
          <w:tcPr>
            <w:tcW w:w="148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5"/>
              </w:rPr>
              <w:t>REPORTS BY THE COMPANY AND THE TRUSTEE AND</w:t>
            </w:r>
          </w:p>
        </w:tc>
        <w:tc>
          <w:tcPr>
            <w:tcW w:w="148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7"/>
              </w:rPr>
              <w:t>SECURITYHOLDERS’ LISTS</w:t>
            </w:r>
          </w:p>
        </w:tc>
        <w:tc>
          <w:tcPr>
            <w:tcW w:w="148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10.01</w:t>
            </w:r>
          </w:p>
        </w:tc>
        <w:tc>
          <w:tcPr>
            <w:tcW w:w="8400" w:type="dxa"/>
            <w:vAlign w:val="bottom"/>
          </w:tcPr>
          <w:p>
            <w:pPr>
              <w:ind w:left="160"/>
              <w:spacing w:after="0"/>
              <w:rPr>
                <w:sz w:val="20"/>
                <w:szCs w:val="20"/>
                <w:color w:val="auto"/>
              </w:rPr>
            </w:pPr>
            <w:r>
              <w:rPr>
                <w:rFonts w:ascii="Arial" w:cs="Arial" w:eastAsia="Arial" w:hAnsi="Arial"/>
                <w:sz w:val="18"/>
                <w:szCs w:val="18"/>
                <w:color w:val="auto"/>
              </w:rPr>
              <w:t>Reports by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10.02</w:t>
            </w:r>
          </w:p>
        </w:tc>
        <w:tc>
          <w:tcPr>
            <w:tcW w:w="8400" w:type="dxa"/>
            <w:vAlign w:val="bottom"/>
          </w:tcPr>
          <w:p>
            <w:pPr>
              <w:ind w:left="160"/>
              <w:spacing w:after="0"/>
              <w:rPr>
                <w:sz w:val="20"/>
                <w:szCs w:val="20"/>
                <w:color w:val="auto"/>
              </w:rPr>
            </w:pPr>
            <w:r>
              <w:rPr>
                <w:rFonts w:ascii="Arial" w:cs="Arial" w:eastAsia="Arial" w:hAnsi="Arial"/>
                <w:sz w:val="18"/>
                <w:szCs w:val="18"/>
                <w:color w:val="auto"/>
              </w:rPr>
              <w:t>Reports by the Company</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10.03</w:t>
            </w:r>
          </w:p>
        </w:tc>
        <w:tc>
          <w:tcPr>
            <w:tcW w:w="8400" w:type="dxa"/>
            <w:vAlign w:val="bottom"/>
          </w:tcPr>
          <w:p>
            <w:pPr>
              <w:ind w:left="160"/>
              <w:spacing w:after="0"/>
              <w:rPr>
                <w:sz w:val="20"/>
                <w:szCs w:val="20"/>
                <w:color w:val="auto"/>
              </w:rPr>
            </w:pPr>
            <w:r>
              <w:rPr>
                <w:rFonts w:ascii="Arial" w:cs="Arial" w:eastAsia="Arial" w:hAnsi="Arial"/>
                <w:sz w:val="18"/>
                <w:szCs w:val="18"/>
                <w:color w:val="auto"/>
              </w:rPr>
              <w:t>Securityholders’ Lists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9"/>
              </w:rPr>
              <w:t>ARTICLE XI</w:t>
            </w:r>
          </w:p>
        </w:tc>
        <w:tc>
          <w:tcPr>
            <w:tcW w:w="14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5"/>
              </w:rPr>
              <w:t>CONCERNING THE TRUSTEE</w:t>
            </w:r>
          </w:p>
        </w:tc>
        <w:tc>
          <w:tcPr>
            <w:tcW w:w="148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11.01</w:t>
            </w:r>
          </w:p>
        </w:tc>
        <w:tc>
          <w:tcPr>
            <w:tcW w:w="8400" w:type="dxa"/>
            <w:vAlign w:val="bottom"/>
          </w:tcPr>
          <w:p>
            <w:pPr>
              <w:ind w:left="160"/>
              <w:spacing w:after="0"/>
              <w:rPr>
                <w:sz w:val="20"/>
                <w:szCs w:val="20"/>
                <w:color w:val="auto"/>
              </w:rPr>
            </w:pPr>
            <w:r>
              <w:rPr>
                <w:rFonts w:ascii="Arial" w:cs="Arial" w:eastAsia="Arial" w:hAnsi="Arial"/>
                <w:sz w:val="18"/>
                <w:szCs w:val="18"/>
                <w:color w:val="auto"/>
              </w:rPr>
              <w:t>Rights of Trustees; Compensation and Indemnity</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11.02</w:t>
            </w:r>
          </w:p>
        </w:tc>
        <w:tc>
          <w:tcPr>
            <w:tcW w:w="8400" w:type="dxa"/>
            <w:vAlign w:val="bottom"/>
          </w:tcPr>
          <w:p>
            <w:pPr>
              <w:ind w:left="160"/>
              <w:spacing w:after="0"/>
              <w:rPr>
                <w:sz w:val="20"/>
                <w:szCs w:val="20"/>
                <w:color w:val="auto"/>
              </w:rPr>
            </w:pPr>
            <w:r>
              <w:rPr>
                <w:rFonts w:ascii="Arial" w:cs="Arial" w:eastAsia="Arial" w:hAnsi="Arial"/>
                <w:sz w:val="18"/>
                <w:szCs w:val="18"/>
                <w:color w:val="auto"/>
              </w:rPr>
              <w:t>Duties of Trustee</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11.03</w:t>
            </w:r>
          </w:p>
        </w:tc>
        <w:tc>
          <w:tcPr>
            <w:tcW w:w="8400" w:type="dxa"/>
            <w:vAlign w:val="bottom"/>
          </w:tcPr>
          <w:p>
            <w:pPr>
              <w:ind w:left="160"/>
              <w:spacing w:after="0"/>
              <w:rPr>
                <w:sz w:val="20"/>
                <w:szCs w:val="20"/>
                <w:color w:val="auto"/>
              </w:rPr>
            </w:pPr>
            <w:r>
              <w:rPr>
                <w:rFonts w:ascii="Arial" w:cs="Arial" w:eastAsia="Arial" w:hAnsi="Arial"/>
                <w:sz w:val="18"/>
                <w:szCs w:val="18"/>
                <w:color w:val="auto"/>
              </w:rPr>
              <w:t>Notice of Defaults</w:t>
            </w: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11.04</w:t>
            </w:r>
          </w:p>
        </w:tc>
        <w:tc>
          <w:tcPr>
            <w:tcW w:w="8400" w:type="dxa"/>
            <w:vAlign w:val="bottom"/>
          </w:tcPr>
          <w:p>
            <w:pPr>
              <w:ind w:left="160"/>
              <w:spacing w:after="0"/>
              <w:rPr>
                <w:sz w:val="20"/>
                <w:szCs w:val="20"/>
                <w:color w:val="auto"/>
              </w:rPr>
            </w:pPr>
            <w:r>
              <w:rPr>
                <w:rFonts w:ascii="Arial" w:cs="Arial" w:eastAsia="Arial" w:hAnsi="Arial"/>
                <w:sz w:val="18"/>
                <w:szCs w:val="18"/>
                <w:color w:val="auto"/>
              </w:rPr>
              <w:t>Eligibility; Disqualification</w:t>
            </w: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11.05</w:t>
            </w:r>
          </w:p>
        </w:tc>
        <w:tc>
          <w:tcPr>
            <w:tcW w:w="8400" w:type="dxa"/>
            <w:vAlign w:val="bottom"/>
          </w:tcPr>
          <w:p>
            <w:pPr>
              <w:ind w:left="160"/>
              <w:spacing w:after="0"/>
              <w:rPr>
                <w:sz w:val="20"/>
                <w:szCs w:val="20"/>
                <w:color w:val="auto"/>
              </w:rPr>
            </w:pPr>
            <w:r>
              <w:rPr>
                <w:rFonts w:ascii="Arial" w:cs="Arial" w:eastAsia="Arial" w:hAnsi="Arial"/>
                <w:sz w:val="18"/>
                <w:szCs w:val="18"/>
                <w:color w:val="auto"/>
              </w:rPr>
              <w:t>Resignation and Notice; Removal</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11.06</w:t>
            </w:r>
          </w:p>
        </w:tc>
        <w:tc>
          <w:tcPr>
            <w:tcW w:w="8400" w:type="dxa"/>
            <w:vAlign w:val="bottom"/>
          </w:tcPr>
          <w:p>
            <w:pPr>
              <w:ind w:left="160"/>
              <w:spacing w:after="0"/>
              <w:rPr>
                <w:sz w:val="20"/>
                <w:szCs w:val="20"/>
                <w:color w:val="auto"/>
              </w:rPr>
            </w:pPr>
            <w:r>
              <w:rPr>
                <w:rFonts w:ascii="Arial" w:cs="Arial" w:eastAsia="Arial" w:hAnsi="Arial"/>
                <w:sz w:val="18"/>
                <w:szCs w:val="18"/>
                <w:color w:val="auto"/>
              </w:rPr>
              <w:t>Successor Trustee by Appointment</w:t>
            </w: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11.07</w:t>
            </w:r>
          </w:p>
        </w:tc>
        <w:tc>
          <w:tcPr>
            <w:tcW w:w="8400" w:type="dxa"/>
            <w:vAlign w:val="bottom"/>
          </w:tcPr>
          <w:p>
            <w:pPr>
              <w:ind w:left="160"/>
              <w:spacing w:after="0"/>
              <w:rPr>
                <w:sz w:val="20"/>
                <w:szCs w:val="20"/>
                <w:color w:val="auto"/>
              </w:rPr>
            </w:pPr>
            <w:r>
              <w:rPr>
                <w:rFonts w:ascii="Arial" w:cs="Arial" w:eastAsia="Arial" w:hAnsi="Arial"/>
                <w:sz w:val="18"/>
                <w:szCs w:val="18"/>
                <w:color w:val="auto"/>
              </w:rPr>
              <w:t>Successor Trustee by Merger</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11.08</w:t>
            </w:r>
          </w:p>
        </w:tc>
        <w:tc>
          <w:tcPr>
            <w:tcW w:w="8400" w:type="dxa"/>
            <w:vAlign w:val="bottom"/>
          </w:tcPr>
          <w:p>
            <w:pPr>
              <w:ind w:left="160"/>
              <w:spacing w:after="0"/>
              <w:rPr>
                <w:sz w:val="20"/>
                <w:szCs w:val="20"/>
                <w:color w:val="auto"/>
              </w:rPr>
            </w:pPr>
            <w:r>
              <w:rPr>
                <w:rFonts w:ascii="Arial" w:cs="Arial" w:eastAsia="Arial" w:hAnsi="Arial"/>
                <w:sz w:val="18"/>
                <w:szCs w:val="18"/>
                <w:color w:val="auto"/>
              </w:rPr>
              <w:t>Right to Rely on Officer’s Certificate</w:t>
            </w: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11.09</w:t>
            </w:r>
          </w:p>
        </w:tc>
        <w:tc>
          <w:tcPr>
            <w:tcW w:w="8400" w:type="dxa"/>
            <w:vAlign w:val="bottom"/>
          </w:tcPr>
          <w:p>
            <w:pPr>
              <w:ind w:left="160"/>
              <w:spacing w:after="0"/>
              <w:rPr>
                <w:sz w:val="20"/>
                <w:szCs w:val="20"/>
                <w:color w:val="auto"/>
              </w:rPr>
            </w:pPr>
            <w:r>
              <w:rPr>
                <w:rFonts w:ascii="Arial" w:cs="Arial" w:eastAsia="Arial" w:hAnsi="Arial"/>
                <w:sz w:val="18"/>
                <w:szCs w:val="18"/>
                <w:color w:val="auto"/>
              </w:rPr>
              <w:t>Appointment of Authenticating Agent</w:t>
            </w: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11.10</w:t>
            </w:r>
          </w:p>
        </w:tc>
        <w:tc>
          <w:tcPr>
            <w:tcW w:w="8400" w:type="dxa"/>
            <w:vAlign w:val="bottom"/>
          </w:tcPr>
          <w:p>
            <w:pPr>
              <w:ind w:left="160"/>
              <w:spacing w:after="0"/>
              <w:rPr>
                <w:sz w:val="20"/>
                <w:szCs w:val="20"/>
                <w:color w:val="auto"/>
              </w:rPr>
            </w:pPr>
            <w:r>
              <w:rPr>
                <w:rFonts w:ascii="Arial" w:cs="Arial" w:eastAsia="Arial" w:hAnsi="Arial"/>
                <w:sz w:val="18"/>
                <w:szCs w:val="18"/>
                <w:color w:val="auto"/>
              </w:rPr>
              <w:t>Communications by Securityholders with Other Securityholders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rPr>
              <w:t>ARTICLE XII</w:t>
            </w:r>
          </w:p>
        </w:tc>
        <w:tc>
          <w:tcPr>
            <w:tcW w:w="14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color w:val="auto"/>
                <w:w w:val="96"/>
              </w:rPr>
              <w:t>SATISFACTION AND DISCHARGE; DEFEASANCE</w:t>
            </w:r>
          </w:p>
        </w:tc>
        <w:tc>
          <w:tcPr>
            <w:tcW w:w="148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12.01</w:t>
            </w:r>
          </w:p>
        </w:tc>
        <w:tc>
          <w:tcPr>
            <w:tcW w:w="8400" w:type="dxa"/>
            <w:vAlign w:val="bottom"/>
          </w:tcPr>
          <w:p>
            <w:pPr>
              <w:ind w:left="160"/>
              <w:spacing w:after="0"/>
              <w:rPr>
                <w:sz w:val="20"/>
                <w:szCs w:val="20"/>
                <w:color w:val="auto"/>
              </w:rPr>
            </w:pPr>
            <w:r>
              <w:rPr>
                <w:rFonts w:ascii="Arial" w:cs="Arial" w:eastAsia="Arial" w:hAnsi="Arial"/>
                <w:sz w:val="18"/>
                <w:szCs w:val="18"/>
                <w:color w:val="auto"/>
              </w:rPr>
              <w:t>Applicability of Article</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12.02</w:t>
            </w:r>
          </w:p>
        </w:tc>
        <w:tc>
          <w:tcPr>
            <w:tcW w:w="8400" w:type="dxa"/>
            <w:vAlign w:val="bottom"/>
          </w:tcPr>
          <w:p>
            <w:pPr>
              <w:ind w:left="160"/>
              <w:spacing w:after="0"/>
              <w:rPr>
                <w:sz w:val="20"/>
                <w:szCs w:val="20"/>
                <w:color w:val="auto"/>
              </w:rPr>
            </w:pPr>
            <w:r>
              <w:rPr>
                <w:rFonts w:ascii="Arial" w:cs="Arial" w:eastAsia="Arial" w:hAnsi="Arial"/>
                <w:sz w:val="18"/>
                <w:szCs w:val="18"/>
                <w:color w:val="auto"/>
              </w:rPr>
              <w:t>Satisfaction and Discharge of Indenture</w:t>
            </w:r>
          </w:p>
        </w:tc>
        <w:tc>
          <w:tcPr>
            <w:tcW w:w="1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12.03</w:t>
            </w:r>
          </w:p>
        </w:tc>
        <w:tc>
          <w:tcPr>
            <w:tcW w:w="8400" w:type="dxa"/>
            <w:vAlign w:val="bottom"/>
          </w:tcPr>
          <w:p>
            <w:pPr>
              <w:ind w:left="160"/>
              <w:spacing w:after="0"/>
              <w:rPr>
                <w:sz w:val="20"/>
                <w:szCs w:val="20"/>
                <w:color w:val="auto"/>
              </w:rPr>
            </w:pPr>
            <w:r>
              <w:rPr>
                <w:rFonts w:ascii="Arial" w:cs="Arial" w:eastAsia="Arial" w:hAnsi="Arial"/>
                <w:sz w:val="18"/>
                <w:szCs w:val="18"/>
                <w:color w:val="auto"/>
              </w:rPr>
              <w:t>Defeasance and Covenant Defeasance upon Deposit of Moneys or U.S. Government Obligations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12.04</w:t>
            </w:r>
          </w:p>
        </w:tc>
        <w:tc>
          <w:tcPr>
            <w:tcW w:w="8400" w:type="dxa"/>
            <w:vAlign w:val="bottom"/>
          </w:tcPr>
          <w:p>
            <w:pPr>
              <w:ind w:left="160"/>
              <w:spacing w:after="0"/>
              <w:rPr>
                <w:sz w:val="20"/>
                <w:szCs w:val="20"/>
                <w:color w:val="auto"/>
              </w:rPr>
            </w:pPr>
            <w:r>
              <w:rPr>
                <w:rFonts w:ascii="Arial" w:cs="Arial" w:eastAsia="Arial" w:hAnsi="Arial"/>
                <w:sz w:val="18"/>
                <w:szCs w:val="18"/>
                <w:color w:val="auto"/>
              </w:rPr>
              <w:t>Repayment to Company</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12.05</w:t>
            </w:r>
          </w:p>
        </w:tc>
        <w:tc>
          <w:tcPr>
            <w:tcW w:w="8400" w:type="dxa"/>
            <w:vAlign w:val="bottom"/>
          </w:tcPr>
          <w:p>
            <w:pPr>
              <w:ind w:left="160"/>
              <w:spacing w:after="0"/>
              <w:rPr>
                <w:sz w:val="20"/>
                <w:szCs w:val="20"/>
                <w:color w:val="auto"/>
              </w:rPr>
            </w:pPr>
            <w:r>
              <w:rPr>
                <w:rFonts w:ascii="Arial" w:cs="Arial" w:eastAsia="Arial" w:hAnsi="Arial"/>
                <w:sz w:val="18"/>
                <w:szCs w:val="18"/>
                <w:color w:val="auto"/>
              </w:rPr>
              <w:t>Indemnity for U.S. Government Obligations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20"/>
          </w:cols>
          <w:pgMar w:left="440" w:top="490" w:right="4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12.06</w:t>
            </w:r>
          </w:p>
        </w:tc>
        <w:tc>
          <w:tcPr>
            <w:tcW w:w="8060" w:type="dxa"/>
            <w:vAlign w:val="bottom"/>
          </w:tcPr>
          <w:p>
            <w:pPr>
              <w:ind w:left="160"/>
              <w:spacing w:after="0"/>
              <w:rPr>
                <w:sz w:val="20"/>
                <w:szCs w:val="20"/>
                <w:color w:val="auto"/>
              </w:rPr>
            </w:pPr>
            <w:r>
              <w:rPr>
                <w:rFonts w:ascii="Arial" w:cs="Arial" w:eastAsia="Arial" w:hAnsi="Arial"/>
                <w:sz w:val="18"/>
                <w:szCs w:val="18"/>
                <w:color w:val="auto"/>
              </w:rPr>
              <w:t>Deposits to Be Held in Escrow</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12.07</w:t>
            </w:r>
          </w:p>
        </w:tc>
        <w:tc>
          <w:tcPr>
            <w:tcW w:w="8060" w:type="dxa"/>
            <w:vAlign w:val="bottom"/>
          </w:tcPr>
          <w:p>
            <w:pPr>
              <w:ind w:left="160"/>
              <w:spacing w:after="0"/>
              <w:rPr>
                <w:sz w:val="20"/>
                <w:szCs w:val="20"/>
                <w:color w:val="auto"/>
              </w:rPr>
            </w:pPr>
            <w:r>
              <w:rPr>
                <w:rFonts w:ascii="Arial" w:cs="Arial" w:eastAsia="Arial" w:hAnsi="Arial"/>
                <w:sz w:val="18"/>
                <w:szCs w:val="18"/>
                <w:color w:val="auto"/>
              </w:rPr>
              <w:t>Application of Trust Money</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12.08</w:t>
            </w:r>
          </w:p>
        </w:tc>
        <w:tc>
          <w:tcPr>
            <w:tcW w:w="8060" w:type="dxa"/>
            <w:vAlign w:val="bottom"/>
          </w:tcPr>
          <w:p>
            <w:pPr>
              <w:ind w:left="160"/>
              <w:spacing w:after="0"/>
              <w:rPr>
                <w:sz w:val="20"/>
                <w:szCs w:val="20"/>
                <w:color w:val="auto"/>
              </w:rPr>
            </w:pPr>
            <w:r>
              <w:rPr>
                <w:rFonts w:ascii="Arial" w:cs="Arial" w:eastAsia="Arial" w:hAnsi="Arial"/>
                <w:sz w:val="18"/>
                <w:szCs w:val="18"/>
                <w:color w:val="auto"/>
              </w:rPr>
              <w:t>Deposits of Non-U.S. Currencies</w:t>
            </w: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140" w:type="dxa"/>
            <w:vAlign w:val="bottom"/>
          </w:tcPr>
          <w:p>
            <w:pPr>
              <w:spacing w:after="0"/>
              <w:rPr>
                <w:sz w:val="24"/>
                <w:szCs w:val="24"/>
                <w:color w:val="auto"/>
              </w:rPr>
            </w:pPr>
          </w:p>
        </w:tc>
        <w:tc>
          <w:tcPr>
            <w:tcW w:w="8060" w:type="dxa"/>
            <w:vAlign w:val="bottom"/>
          </w:tcPr>
          <w:p>
            <w:pPr>
              <w:jc w:val="center"/>
              <w:ind w:left="190"/>
              <w:spacing w:after="0"/>
              <w:rPr>
                <w:sz w:val="20"/>
                <w:szCs w:val="20"/>
                <w:color w:val="auto"/>
              </w:rPr>
            </w:pPr>
            <w:r>
              <w:rPr>
                <w:rFonts w:ascii="Arial" w:cs="Arial" w:eastAsia="Arial" w:hAnsi="Arial"/>
                <w:sz w:val="18"/>
                <w:szCs w:val="18"/>
                <w:color w:val="auto"/>
              </w:rPr>
              <w:t>ARTICLE XIII</w:t>
            </w:r>
          </w:p>
        </w:tc>
        <w:tc>
          <w:tcPr>
            <w:tcW w:w="18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060" w:type="dxa"/>
            <w:vAlign w:val="bottom"/>
          </w:tcPr>
          <w:p>
            <w:pPr>
              <w:jc w:val="center"/>
              <w:ind w:left="190"/>
              <w:spacing w:after="0"/>
              <w:rPr>
                <w:sz w:val="20"/>
                <w:szCs w:val="20"/>
                <w:color w:val="auto"/>
              </w:rPr>
            </w:pPr>
            <w:r>
              <w:rPr>
                <w:rFonts w:ascii="Arial" w:cs="Arial" w:eastAsia="Arial" w:hAnsi="Arial"/>
                <w:sz w:val="18"/>
                <w:szCs w:val="18"/>
                <w:color w:val="auto"/>
                <w:w w:val="96"/>
              </w:rPr>
              <w:t>IMMUNITY OF CERTAIN PERSONS</w:t>
            </w:r>
          </w:p>
        </w:tc>
        <w:tc>
          <w:tcPr>
            <w:tcW w:w="1820" w:type="dxa"/>
            <w:vAlign w:val="bottom"/>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Section 13.01</w:t>
            </w:r>
          </w:p>
        </w:tc>
        <w:tc>
          <w:tcPr>
            <w:tcW w:w="8060" w:type="dxa"/>
            <w:vAlign w:val="bottom"/>
          </w:tcPr>
          <w:p>
            <w:pPr>
              <w:ind w:left="160"/>
              <w:spacing w:after="0"/>
              <w:rPr>
                <w:sz w:val="20"/>
                <w:szCs w:val="20"/>
                <w:color w:val="auto"/>
              </w:rPr>
            </w:pPr>
            <w:r>
              <w:rPr>
                <w:rFonts w:ascii="Arial" w:cs="Arial" w:eastAsia="Arial" w:hAnsi="Arial"/>
                <w:sz w:val="18"/>
                <w:szCs w:val="18"/>
                <w:color w:val="auto"/>
              </w:rPr>
              <w:t>No Personal Liability</w:t>
            </w: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1140" w:type="dxa"/>
            <w:vAlign w:val="bottom"/>
          </w:tcPr>
          <w:p>
            <w:pPr>
              <w:spacing w:after="0"/>
              <w:rPr>
                <w:sz w:val="24"/>
                <w:szCs w:val="24"/>
                <w:color w:val="auto"/>
              </w:rPr>
            </w:pPr>
          </w:p>
        </w:tc>
        <w:tc>
          <w:tcPr>
            <w:tcW w:w="8060" w:type="dxa"/>
            <w:vAlign w:val="bottom"/>
          </w:tcPr>
          <w:p>
            <w:pPr>
              <w:jc w:val="center"/>
              <w:ind w:left="190"/>
              <w:spacing w:after="0"/>
              <w:rPr>
                <w:sz w:val="20"/>
                <w:szCs w:val="20"/>
                <w:color w:val="auto"/>
              </w:rPr>
            </w:pPr>
            <w:r>
              <w:rPr>
                <w:rFonts w:ascii="Arial" w:cs="Arial" w:eastAsia="Arial" w:hAnsi="Arial"/>
                <w:sz w:val="18"/>
                <w:szCs w:val="18"/>
                <w:color w:val="auto"/>
                <w:w w:val="99"/>
              </w:rPr>
              <w:t>ARTICLE XIV</w:t>
            </w:r>
          </w:p>
        </w:tc>
        <w:tc>
          <w:tcPr>
            <w:tcW w:w="18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060" w:type="dxa"/>
            <w:vAlign w:val="bottom"/>
          </w:tcPr>
          <w:p>
            <w:pPr>
              <w:jc w:val="center"/>
              <w:ind w:left="210"/>
              <w:spacing w:after="0"/>
              <w:rPr>
                <w:sz w:val="20"/>
                <w:szCs w:val="20"/>
                <w:color w:val="auto"/>
              </w:rPr>
            </w:pPr>
            <w:r>
              <w:rPr>
                <w:rFonts w:ascii="Arial" w:cs="Arial" w:eastAsia="Arial" w:hAnsi="Arial"/>
                <w:sz w:val="18"/>
                <w:szCs w:val="18"/>
                <w:color w:val="auto"/>
                <w:w w:val="96"/>
              </w:rPr>
              <w:t>SUPPLEMENTAL INDENTURES</w:t>
            </w:r>
          </w:p>
        </w:tc>
        <w:tc>
          <w:tcPr>
            <w:tcW w:w="182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14.01</w:t>
            </w:r>
          </w:p>
        </w:tc>
        <w:tc>
          <w:tcPr>
            <w:tcW w:w="8060" w:type="dxa"/>
            <w:vAlign w:val="bottom"/>
          </w:tcPr>
          <w:p>
            <w:pPr>
              <w:ind w:left="160"/>
              <w:spacing w:after="0"/>
              <w:rPr>
                <w:sz w:val="20"/>
                <w:szCs w:val="20"/>
                <w:color w:val="auto"/>
              </w:rPr>
            </w:pPr>
            <w:r>
              <w:rPr>
                <w:rFonts w:ascii="Arial" w:cs="Arial" w:eastAsia="Arial" w:hAnsi="Arial"/>
                <w:sz w:val="18"/>
                <w:szCs w:val="18"/>
                <w:color w:val="auto"/>
              </w:rPr>
              <w:t>Without Consent of Securityholders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14.02</w:t>
            </w:r>
          </w:p>
        </w:tc>
        <w:tc>
          <w:tcPr>
            <w:tcW w:w="8060" w:type="dxa"/>
            <w:vAlign w:val="bottom"/>
          </w:tcPr>
          <w:p>
            <w:pPr>
              <w:ind w:left="160"/>
              <w:spacing w:after="0"/>
              <w:rPr>
                <w:sz w:val="20"/>
                <w:szCs w:val="20"/>
                <w:color w:val="auto"/>
              </w:rPr>
            </w:pPr>
            <w:r>
              <w:rPr>
                <w:rFonts w:ascii="Arial" w:cs="Arial" w:eastAsia="Arial" w:hAnsi="Arial"/>
                <w:sz w:val="18"/>
                <w:szCs w:val="18"/>
                <w:color w:val="auto"/>
              </w:rPr>
              <w:t>With Consent of Securityholders; Limitations</w:t>
            </w:r>
          </w:p>
        </w:tc>
        <w:tc>
          <w:tcPr>
            <w:tcW w:w="1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14.03</w:t>
            </w:r>
          </w:p>
        </w:tc>
        <w:tc>
          <w:tcPr>
            <w:tcW w:w="8060" w:type="dxa"/>
            <w:vAlign w:val="bottom"/>
          </w:tcPr>
          <w:p>
            <w:pPr>
              <w:ind w:left="160"/>
              <w:spacing w:after="0"/>
              <w:rPr>
                <w:sz w:val="20"/>
                <w:szCs w:val="20"/>
                <w:color w:val="auto"/>
              </w:rPr>
            </w:pPr>
            <w:r>
              <w:rPr>
                <w:rFonts w:ascii="Arial" w:cs="Arial" w:eastAsia="Arial" w:hAnsi="Arial"/>
                <w:sz w:val="18"/>
                <w:szCs w:val="18"/>
                <w:color w:val="auto"/>
              </w:rPr>
              <w:t>Trustee Protected</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14.04</w:t>
            </w:r>
          </w:p>
        </w:tc>
        <w:tc>
          <w:tcPr>
            <w:tcW w:w="8060" w:type="dxa"/>
            <w:vAlign w:val="bottom"/>
          </w:tcPr>
          <w:p>
            <w:pPr>
              <w:ind w:left="160"/>
              <w:spacing w:after="0"/>
              <w:rPr>
                <w:sz w:val="20"/>
                <w:szCs w:val="20"/>
                <w:color w:val="auto"/>
              </w:rPr>
            </w:pPr>
            <w:r>
              <w:rPr>
                <w:rFonts w:ascii="Arial" w:cs="Arial" w:eastAsia="Arial" w:hAnsi="Arial"/>
                <w:sz w:val="18"/>
                <w:szCs w:val="18"/>
                <w:color w:val="auto"/>
              </w:rPr>
              <w:t>Effect of Execution of Supplemental Indenture</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14.05</w:t>
            </w:r>
          </w:p>
        </w:tc>
        <w:tc>
          <w:tcPr>
            <w:tcW w:w="8060" w:type="dxa"/>
            <w:vAlign w:val="bottom"/>
          </w:tcPr>
          <w:p>
            <w:pPr>
              <w:ind w:left="160"/>
              <w:spacing w:after="0"/>
              <w:rPr>
                <w:sz w:val="20"/>
                <w:szCs w:val="20"/>
                <w:color w:val="auto"/>
              </w:rPr>
            </w:pPr>
            <w:r>
              <w:rPr>
                <w:rFonts w:ascii="Arial" w:cs="Arial" w:eastAsia="Arial" w:hAnsi="Arial"/>
                <w:sz w:val="18"/>
                <w:szCs w:val="18"/>
                <w:color w:val="auto"/>
              </w:rPr>
              <w:t>Notation on or Exchange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14.06</w:t>
            </w:r>
          </w:p>
        </w:tc>
        <w:tc>
          <w:tcPr>
            <w:tcW w:w="8060" w:type="dxa"/>
            <w:vAlign w:val="bottom"/>
          </w:tcPr>
          <w:p>
            <w:pPr>
              <w:ind w:left="160"/>
              <w:spacing w:after="0"/>
              <w:rPr>
                <w:sz w:val="20"/>
                <w:szCs w:val="20"/>
                <w:color w:val="auto"/>
              </w:rPr>
            </w:pPr>
            <w:r>
              <w:rPr>
                <w:rFonts w:ascii="Arial" w:cs="Arial" w:eastAsia="Arial" w:hAnsi="Arial"/>
                <w:sz w:val="18"/>
                <w:szCs w:val="18"/>
                <w:color w:val="auto"/>
              </w:rPr>
              <w:t>Conformity with TIA</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140" w:type="dxa"/>
            <w:vAlign w:val="bottom"/>
          </w:tcPr>
          <w:p>
            <w:pPr>
              <w:spacing w:after="0"/>
              <w:rPr>
                <w:sz w:val="24"/>
                <w:szCs w:val="24"/>
                <w:color w:val="auto"/>
              </w:rPr>
            </w:pPr>
          </w:p>
        </w:tc>
        <w:tc>
          <w:tcPr>
            <w:tcW w:w="8060" w:type="dxa"/>
            <w:vAlign w:val="bottom"/>
          </w:tcPr>
          <w:p>
            <w:pPr>
              <w:jc w:val="center"/>
              <w:ind w:left="190"/>
              <w:spacing w:after="0"/>
              <w:rPr>
                <w:sz w:val="20"/>
                <w:szCs w:val="20"/>
                <w:color w:val="auto"/>
              </w:rPr>
            </w:pPr>
            <w:r>
              <w:rPr>
                <w:rFonts w:ascii="Arial" w:cs="Arial" w:eastAsia="Arial" w:hAnsi="Arial"/>
                <w:sz w:val="18"/>
                <w:szCs w:val="18"/>
                <w:color w:val="auto"/>
              </w:rPr>
              <w:t>ARTICLE XV</w:t>
            </w:r>
          </w:p>
        </w:tc>
        <w:tc>
          <w:tcPr>
            <w:tcW w:w="18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060" w:type="dxa"/>
            <w:vAlign w:val="bottom"/>
          </w:tcPr>
          <w:p>
            <w:pPr>
              <w:jc w:val="center"/>
              <w:ind w:left="210"/>
              <w:spacing w:after="0"/>
              <w:rPr>
                <w:sz w:val="20"/>
                <w:szCs w:val="20"/>
                <w:color w:val="auto"/>
              </w:rPr>
            </w:pPr>
            <w:r>
              <w:rPr>
                <w:rFonts w:ascii="Arial" w:cs="Arial" w:eastAsia="Arial" w:hAnsi="Arial"/>
                <w:sz w:val="18"/>
                <w:szCs w:val="18"/>
                <w:color w:val="auto"/>
                <w:w w:val="95"/>
              </w:rPr>
              <w:t>SUBORDINATION OF SECURITIES</w:t>
            </w:r>
          </w:p>
        </w:tc>
        <w:tc>
          <w:tcPr>
            <w:tcW w:w="182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15.01</w:t>
            </w:r>
          </w:p>
        </w:tc>
        <w:tc>
          <w:tcPr>
            <w:tcW w:w="8060" w:type="dxa"/>
            <w:vAlign w:val="bottom"/>
          </w:tcPr>
          <w:p>
            <w:pPr>
              <w:ind w:left="160"/>
              <w:spacing w:after="0"/>
              <w:rPr>
                <w:sz w:val="20"/>
                <w:szCs w:val="20"/>
                <w:color w:val="auto"/>
              </w:rPr>
            </w:pPr>
            <w:r>
              <w:rPr>
                <w:rFonts w:ascii="Arial" w:cs="Arial" w:eastAsia="Arial" w:hAnsi="Arial"/>
                <w:sz w:val="18"/>
                <w:szCs w:val="18"/>
                <w:color w:val="auto"/>
              </w:rPr>
              <w:t>Agreement to Subordinate</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15.02</w:t>
            </w:r>
          </w:p>
        </w:tc>
        <w:tc>
          <w:tcPr>
            <w:tcW w:w="8060" w:type="dxa"/>
            <w:vAlign w:val="bottom"/>
          </w:tcPr>
          <w:p>
            <w:pPr>
              <w:ind w:left="160"/>
              <w:spacing w:after="0"/>
              <w:rPr>
                <w:sz w:val="20"/>
                <w:szCs w:val="20"/>
                <w:color w:val="auto"/>
              </w:rPr>
            </w:pPr>
            <w:r>
              <w:rPr>
                <w:rFonts w:ascii="Arial" w:cs="Arial" w:eastAsia="Arial" w:hAnsi="Arial"/>
                <w:sz w:val="18"/>
                <w:szCs w:val="18"/>
                <w:color w:val="auto"/>
              </w:rPr>
              <w:t>Distribution on Dissolution, Liquidation and Reorganization; Subrogation of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15.03</w:t>
            </w:r>
          </w:p>
        </w:tc>
        <w:tc>
          <w:tcPr>
            <w:tcW w:w="8060" w:type="dxa"/>
            <w:vAlign w:val="bottom"/>
          </w:tcPr>
          <w:p>
            <w:pPr>
              <w:ind w:left="160"/>
              <w:spacing w:after="0"/>
              <w:rPr>
                <w:sz w:val="20"/>
                <w:szCs w:val="20"/>
                <w:color w:val="auto"/>
              </w:rPr>
            </w:pPr>
            <w:r>
              <w:rPr>
                <w:rFonts w:ascii="Arial" w:cs="Arial" w:eastAsia="Arial" w:hAnsi="Arial"/>
                <w:sz w:val="18"/>
                <w:szCs w:val="18"/>
                <w:color w:val="auto"/>
              </w:rPr>
              <w:t>No Payment on Securities in Event of Default on Senior Indebtedness</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15.04</w:t>
            </w:r>
          </w:p>
        </w:tc>
        <w:tc>
          <w:tcPr>
            <w:tcW w:w="8060" w:type="dxa"/>
            <w:vAlign w:val="bottom"/>
          </w:tcPr>
          <w:p>
            <w:pPr>
              <w:ind w:left="160"/>
              <w:spacing w:after="0"/>
              <w:rPr>
                <w:sz w:val="20"/>
                <w:szCs w:val="20"/>
                <w:color w:val="auto"/>
              </w:rPr>
            </w:pPr>
            <w:r>
              <w:rPr>
                <w:rFonts w:ascii="Arial" w:cs="Arial" w:eastAsia="Arial" w:hAnsi="Arial"/>
                <w:sz w:val="18"/>
                <w:szCs w:val="18"/>
                <w:color w:val="auto"/>
              </w:rPr>
              <w:t>Payments on Securities Permitted</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15.05</w:t>
            </w:r>
          </w:p>
        </w:tc>
        <w:tc>
          <w:tcPr>
            <w:tcW w:w="8060" w:type="dxa"/>
            <w:vAlign w:val="bottom"/>
          </w:tcPr>
          <w:p>
            <w:pPr>
              <w:ind w:left="160"/>
              <w:spacing w:after="0"/>
              <w:rPr>
                <w:sz w:val="20"/>
                <w:szCs w:val="20"/>
                <w:color w:val="auto"/>
              </w:rPr>
            </w:pPr>
            <w:r>
              <w:rPr>
                <w:rFonts w:ascii="Arial" w:cs="Arial" w:eastAsia="Arial" w:hAnsi="Arial"/>
                <w:sz w:val="18"/>
                <w:szCs w:val="18"/>
                <w:color w:val="auto"/>
              </w:rPr>
              <w:t>Authorization of Securityholders to Trustee to Effect Subordination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15.06</w:t>
            </w:r>
          </w:p>
        </w:tc>
        <w:tc>
          <w:tcPr>
            <w:tcW w:w="8060" w:type="dxa"/>
            <w:vAlign w:val="bottom"/>
          </w:tcPr>
          <w:p>
            <w:pPr>
              <w:ind w:left="160"/>
              <w:spacing w:after="0"/>
              <w:rPr>
                <w:sz w:val="20"/>
                <w:szCs w:val="20"/>
                <w:color w:val="auto"/>
              </w:rPr>
            </w:pPr>
            <w:r>
              <w:rPr>
                <w:rFonts w:ascii="Arial" w:cs="Arial" w:eastAsia="Arial" w:hAnsi="Arial"/>
                <w:sz w:val="18"/>
                <w:szCs w:val="18"/>
                <w:color w:val="auto"/>
              </w:rPr>
              <w:t>Notices to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15.07</w:t>
            </w:r>
          </w:p>
        </w:tc>
        <w:tc>
          <w:tcPr>
            <w:tcW w:w="8060" w:type="dxa"/>
            <w:vAlign w:val="bottom"/>
          </w:tcPr>
          <w:p>
            <w:pPr>
              <w:ind w:left="160"/>
              <w:spacing w:after="0"/>
              <w:rPr>
                <w:sz w:val="20"/>
                <w:szCs w:val="20"/>
                <w:color w:val="auto"/>
              </w:rPr>
            </w:pPr>
            <w:r>
              <w:rPr>
                <w:rFonts w:ascii="Arial" w:cs="Arial" w:eastAsia="Arial" w:hAnsi="Arial"/>
                <w:sz w:val="18"/>
                <w:szCs w:val="18"/>
                <w:color w:val="auto"/>
              </w:rPr>
              <w:t>Trustee as Holder of Senior Indebtedness</w:t>
            </w:r>
          </w:p>
        </w:tc>
        <w:tc>
          <w:tcPr>
            <w:tcW w:w="1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15.08</w:t>
            </w:r>
          </w:p>
        </w:tc>
        <w:tc>
          <w:tcPr>
            <w:tcW w:w="8060" w:type="dxa"/>
            <w:vAlign w:val="bottom"/>
          </w:tcPr>
          <w:p>
            <w:pPr>
              <w:ind w:left="160"/>
              <w:spacing w:after="0"/>
              <w:rPr>
                <w:sz w:val="20"/>
                <w:szCs w:val="20"/>
                <w:color w:val="auto"/>
              </w:rPr>
            </w:pPr>
            <w:r>
              <w:rPr>
                <w:rFonts w:ascii="Arial" w:cs="Arial" w:eastAsia="Arial" w:hAnsi="Arial"/>
                <w:sz w:val="18"/>
                <w:szCs w:val="18"/>
                <w:color w:val="auto"/>
              </w:rPr>
              <w:t>Modifications of Terms of Senior Indebtedness</w:t>
            </w:r>
          </w:p>
        </w:tc>
        <w:tc>
          <w:tcPr>
            <w:tcW w:w="1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15.09</w:t>
            </w:r>
          </w:p>
        </w:tc>
        <w:tc>
          <w:tcPr>
            <w:tcW w:w="8060" w:type="dxa"/>
            <w:vAlign w:val="bottom"/>
          </w:tcPr>
          <w:p>
            <w:pPr>
              <w:ind w:left="160"/>
              <w:spacing w:after="0"/>
              <w:rPr>
                <w:sz w:val="20"/>
                <w:szCs w:val="20"/>
                <w:color w:val="auto"/>
              </w:rPr>
            </w:pPr>
            <w:r>
              <w:rPr>
                <w:rFonts w:ascii="Arial" w:cs="Arial" w:eastAsia="Arial" w:hAnsi="Arial"/>
                <w:sz w:val="18"/>
                <w:szCs w:val="18"/>
                <w:color w:val="auto"/>
              </w:rPr>
              <w:t>Reliance on Judicial Order or Certificate of Liquidating Agent</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15.10</w:t>
            </w:r>
          </w:p>
        </w:tc>
        <w:tc>
          <w:tcPr>
            <w:tcW w:w="8060" w:type="dxa"/>
            <w:vAlign w:val="bottom"/>
          </w:tcPr>
          <w:p>
            <w:pPr>
              <w:ind w:left="160"/>
              <w:spacing w:after="0"/>
              <w:rPr>
                <w:sz w:val="20"/>
                <w:szCs w:val="20"/>
                <w:color w:val="auto"/>
              </w:rPr>
            </w:pPr>
            <w:r>
              <w:rPr>
                <w:rFonts w:ascii="Arial" w:cs="Arial" w:eastAsia="Arial" w:hAnsi="Arial"/>
                <w:sz w:val="18"/>
                <w:szCs w:val="18"/>
                <w:color w:val="auto"/>
              </w:rPr>
              <w:t>Satisfaction and Discharge; Defeasance and Covenant Defeasance</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15.11</w:t>
            </w:r>
          </w:p>
        </w:tc>
        <w:tc>
          <w:tcPr>
            <w:tcW w:w="8060" w:type="dxa"/>
            <w:vAlign w:val="bottom"/>
          </w:tcPr>
          <w:p>
            <w:pPr>
              <w:ind w:left="160"/>
              <w:spacing w:after="0"/>
              <w:rPr>
                <w:sz w:val="20"/>
                <w:szCs w:val="20"/>
                <w:color w:val="auto"/>
              </w:rPr>
            </w:pPr>
            <w:r>
              <w:rPr>
                <w:rFonts w:ascii="Arial" w:cs="Arial" w:eastAsia="Arial" w:hAnsi="Arial"/>
                <w:sz w:val="18"/>
                <w:szCs w:val="18"/>
                <w:color w:val="auto"/>
              </w:rPr>
              <w:t>Trustee Not Fiduciary for Holders of Senior Indebtedness</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1140" w:type="dxa"/>
            <w:vAlign w:val="bottom"/>
          </w:tcPr>
          <w:p>
            <w:pPr>
              <w:spacing w:after="0"/>
              <w:rPr>
                <w:sz w:val="24"/>
                <w:szCs w:val="24"/>
                <w:color w:val="auto"/>
              </w:rPr>
            </w:pPr>
          </w:p>
        </w:tc>
        <w:tc>
          <w:tcPr>
            <w:tcW w:w="8060" w:type="dxa"/>
            <w:vAlign w:val="bottom"/>
          </w:tcPr>
          <w:p>
            <w:pPr>
              <w:jc w:val="center"/>
              <w:ind w:left="190"/>
              <w:spacing w:after="0"/>
              <w:rPr>
                <w:sz w:val="20"/>
                <w:szCs w:val="20"/>
                <w:color w:val="auto"/>
              </w:rPr>
            </w:pPr>
            <w:r>
              <w:rPr>
                <w:rFonts w:ascii="Arial" w:cs="Arial" w:eastAsia="Arial" w:hAnsi="Arial"/>
                <w:sz w:val="18"/>
                <w:szCs w:val="18"/>
                <w:color w:val="auto"/>
                <w:w w:val="99"/>
              </w:rPr>
              <w:t>ARTICLE XVI</w:t>
            </w:r>
          </w:p>
        </w:tc>
        <w:tc>
          <w:tcPr>
            <w:tcW w:w="18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8060" w:type="dxa"/>
            <w:vAlign w:val="bottom"/>
          </w:tcPr>
          <w:p>
            <w:pPr>
              <w:jc w:val="center"/>
              <w:ind w:left="190"/>
              <w:spacing w:after="0"/>
              <w:rPr>
                <w:sz w:val="20"/>
                <w:szCs w:val="20"/>
                <w:color w:val="auto"/>
              </w:rPr>
            </w:pPr>
            <w:r>
              <w:rPr>
                <w:rFonts w:ascii="Arial" w:cs="Arial" w:eastAsia="Arial" w:hAnsi="Arial"/>
                <w:sz w:val="18"/>
                <w:szCs w:val="18"/>
                <w:color w:val="auto"/>
                <w:w w:val="96"/>
              </w:rPr>
              <w:t>MISCELLANEOUS PROVISIONS</w:t>
            </w:r>
          </w:p>
        </w:tc>
        <w:tc>
          <w:tcPr>
            <w:tcW w:w="1820" w:type="dxa"/>
            <w:vAlign w:val="bottom"/>
          </w:tcPr>
          <w:p>
            <w:pPr>
              <w:spacing w:after="0"/>
              <w:rPr>
                <w:sz w:val="24"/>
                <w:szCs w:val="24"/>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Section 16.01</w:t>
            </w:r>
          </w:p>
        </w:tc>
        <w:tc>
          <w:tcPr>
            <w:tcW w:w="8060" w:type="dxa"/>
            <w:vAlign w:val="bottom"/>
          </w:tcPr>
          <w:p>
            <w:pPr>
              <w:ind w:left="160"/>
              <w:spacing w:after="0"/>
              <w:rPr>
                <w:sz w:val="20"/>
                <w:szCs w:val="20"/>
                <w:color w:val="auto"/>
              </w:rPr>
            </w:pPr>
            <w:r>
              <w:rPr>
                <w:rFonts w:ascii="Arial" w:cs="Arial" w:eastAsia="Arial" w:hAnsi="Arial"/>
                <w:sz w:val="18"/>
                <w:szCs w:val="18"/>
                <w:color w:val="auto"/>
              </w:rPr>
              <w:t>Certificates and Opinions as to Conditions Precedent</w:t>
            </w:r>
          </w:p>
        </w:tc>
        <w:tc>
          <w:tcPr>
            <w:tcW w:w="1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16.02</w:t>
            </w:r>
          </w:p>
        </w:tc>
        <w:tc>
          <w:tcPr>
            <w:tcW w:w="8060" w:type="dxa"/>
            <w:vAlign w:val="bottom"/>
          </w:tcPr>
          <w:p>
            <w:pPr>
              <w:ind w:left="160"/>
              <w:spacing w:after="0"/>
              <w:rPr>
                <w:sz w:val="20"/>
                <w:szCs w:val="20"/>
                <w:color w:val="auto"/>
              </w:rPr>
            </w:pPr>
            <w:r>
              <w:rPr>
                <w:rFonts w:ascii="Arial" w:cs="Arial" w:eastAsia="Arial" w:hAnsi="Arial"/>
                <w:sz w:val="18"/>
                <w:szCs w:val="18"/>
                <w:color w:val="auto"/>
              </w:rPr>
              <w:t>Trust Indenture Act Controls</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16.03</w:t>
            </w:r>
          </w:p>
        </w:tc>
        <w:tc>
          <w:tcPr>
            <w:tcW w:w="8060" w:type="dxa"/>
            <w:vAlign w:val="bottom"/>
          </w:tcPr>
          <w:p>
            <w:pPr>
              <w:ind w:left="160"/>
              <w:spacing w:after="0"/>
              <w:rPr>
                <w:sz w:val="20"/>
                <w:szCs w:val="20"/>
                <w:color w:val="auto"/>
              </w:rPr>
            </w:pPr>
            <w:r>
              <w:rPr>
                <w:rFonts w:ascii="Arial" w:cs="Arial" w:eastAsia="Arial" w:hAnsi="Arial"/>
                <w:sz w:val="18"/>
                <w:szCs w:val="18"/>
                <w:color w:val="auto"/>
              </w:rPr>
              <w:t>Notices to the Company and Trustee</w:t>
            </w:r>
          </w:p>
        </w:tc>
        <w:tc>
          <w:tcPr>
            <w:tcW w:w="18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16.04</w:t>
            </w:r>
          </w:p>
        </w:tc>
        <w:tc>
          <w:tcPr>
            <w:tcW w:w="8060" w:type="dxa"/>
            <w:vAlign w:val="bottom"/>
          </w:tcPr>
          <w:p>
            <w:pPr>
              <w:ind w:left="160"/>
              <w:spacing w:after="0"/>
              <w:rPr>
                <w:sz w:val="20"/>
                <w:szCs w:val="20"/>
                <w:color w:val="auto"/>
              </w:rPr>
            </w:pPr>
            <w:r>
              <w:rPr>
                <w:rFonts w:ascii="Arial" w:cs="Arial" w:eastAsia="Arial" w:hAnsi="Arial"/>
                <w:sz w:val="18"/>
                <w:szCs w:val="18"/>
                <w:color w:val="auto"/>
              </w:rPr>
              <w:t>Notices to Securityholders; Waiver</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16.05</w:t>
            </w:r>
          </w:p>
        </w:tc>
        <w:tc>
          <w:tcPr>
            <w:tcW w:w="8060" w:type="dxa"/>
            <w:vAlign w:val="bottom"/>
          </w:tcPr>
          <w:p>
            <w:pPr>
              <w:ind w:left="160"/>
              <w:spacing w:after="0"/>
              <w:rPr>
                <w:sz w:val="20"/>
                <w:szCs w:val="20"/>
                <w:color w:val="auto"/>
              </w:rPr>
            </w:pPr>
            <w:r>
              <w:rPr>
                <w:rFonts w:ascii="Arial" w:cs="Arial" w:eastAsia="Arial" w:hAnsi="Arial"/>
                <w:sz w:val="18"/>
                <w:szCs w:val="18"/>
                <w:color w:val="auto"/>
              </w:rPr>
              <w:t>Legal Holiday</w:t>
            </w:r>
          </w:p>
        </w:tc>
        <w:tc>
          <w:tcPr>
            <w:tcW w:w="1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16.06</w:t>
            </w:r>
          </w:p>
        </w:tc>
        <w:tc>
          <w:tcPr>
            <w:tcW w:w="8060" w:type="dxa"/>
            <w:vAlign w:val="bottom"/>
          </w:tcPr>
          <w:p>
            <w:pPr>
              <w:ind w:left="160"/>
              <w:spacing w:after="0"/>
              <w:rPr>
                <w:sz w:val="20"/>
                <w:szCs w:val="20"/>
                <w:color w:val="auto"/>
              </w:rPr>
            </w:pPr>
            <w:r>
              <w:rPr>
                <w:rFonts w:ascii="Arial" w:cs="Arial" w:eastAsia="Arial" w:hAnsi="Arial"/>
                <w:sz w:val="18"/>
                <w:szCs w:val="18"/>
                <w:color w:val="auto"/>
              </w:rPr>
              <w:t>Effects of Headings and Table of Contents</w:t>
            </w:r>
          </w:p>
        </w:tc>
        <w:tc>
          <w:tcPr>
            <w:tcW w:w="182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274" w:right="4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16.07</w:t>
            </w:r>
          </w:p>
        </w:tc>
        <w:tc>
          <w:tcPr>
            <w:tcW w:w="638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16.08</w:t>
            </w:r>
          </w:p>
        </w:tc>
        <w:tc>
          <w:tcPr>
            <w:tcW w:w="6380" w:type="dxa"/>
            <w:vAlign w:val="bottom"/>
          </w:tcPr>
          <w:p>
            <w:pPr>
              <w:ind w:left="160"/>
              <w:spacing w:after="0"/>
              <w:rPr>
                <w:sz w:val="20"/>
                <w:szCs w:val="20"/>
                <w:color w:val="auto"/>
              </w:rPr>
            </w:pPr>
            <w:r>
              <w:rPr>
                <w:rFonts w:ascii="Arial" w:cs="Arial" w:eastAsia="Arial" w:hAnsi="Arial"/>
                <w:sz w:val="18"/>
                <w:szCs w:val="18"/>
                <w:color w:val="auto"/>
              </w:rPr>
              <w:t>Separability Clause</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16.09</w:t>
            </w:r>
          </w:p>
        </w:tc>
        <w:tc>
          <w:tcPr>
            <w:tcW w:w="6380" w:type="dxa"/>
            <w:vAlign w:val="bottom"/>
          </w:tcPr>
          <w:p>
            <w:pPr>
              <w:ind w:left="160"/>
              <w:spacing w:after="0"/>
              <w:rPr>
                <w:sz w:val="20"/>
                <w:szCs w:val="20"/>
                <w:color w:val="auto"/>
              </w:rPr>
            </w:pPr>
            <w:r>
              <w:rPr>
                <w:rFonts w:ascii="Arial" w:cs="Arial" w:eastAsia="Arial" w:hAnsi="Arial"/>
                <w:sz w:val="18"/>
                <w:szCs w:val="18"/>
                <w:color w:val="auto"/>
              </w:rPr>
              <w:t>Benefits of Indenture</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16.10</w:t>
            </w:r>
          </w:p>
        </w:tc>
        <w:tc>
          <w:tcPr>
            <w:tcW w:w="6380" w:type="dxa"/>
            <w:vAlign w:val="bottom"/>
          </w:tcPr>
          <w:p>
            <w:pPr>
              <w:ind w:left="160"/>
              <w:spacing w:after="0"/>
              <w:rPr>
                <w:sz w:val="20"/>
                <w:szCs w:val="20"/>
                <w:color w:val="auto"/>
              </w:rPr>
            </w:pPr>
            <w:r>
              <w:rPr>
                <w:rFonts w:ascii="Arial" w:cs="Arial" w:eastAsia="Arial" w:hAnsi="Arial"/>
                <w:sz w:val="18"/>
                <w:szCs w:val="18"/>
                <w:color w:val="auto"/>
              </w:rPr>
              <w:t>Counterparts Originals</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16.11</w:t>
            </w:r>
          </w:p>
        </w:tc>
        <w:tc>
          <w:tcPr>
            <w:tcW w:w="6380" w:type="dxa"/>
            <w:vAlign w:val="bottom"/>
          </w:tcPr>
          <w:p>
            <w:pPr>
              <w:ind w:left="160"/>
              <w:spacing w:after="0"/>
              <w:rPr>
                <w:sz w:val="20"/>
                <w:szCs w:val="20"/>
                <w:color w:val="auto"/>
              </w:rPr>
            </w:pPr>
            <w:r>
              <w:rPr>
                <w:rFonts w:ascii="Arial" w:cs="Arial" w:eastAsia="Arial" w:hAnsi="Arial"/>
                <w:sz w:val="18"/>
                <w:szCs w:val="18"/>
                <w:color w:val="auto"/>
              </w:rPr>
              <w:t>Governing Law; Waiver of Trial by Jury</w:t>
            </w:r>
          </w:p>
        </w:tc>
        <w:tc>
          <w:tcPr>
            <w:tcW w:w="35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440" w:top="274" w:right="439" w:bottom="1440" w:gutter="0" w:footer="0" w:header="0"/>
        </w:sectPr>
      </w:pPr>
    </w:p>
    <w:bookmarkStart w:id="28" w:name="page29"/>
    <w:bookmarkEnd w:id="28"/>
    <w:p>
      <w:pPr>
        <w:ind w:left="440"/>
        <w:spacing w:after="0"/>
        <w:rPr>
          <w:sz w:val="20"/>
          <w:szCs w:val="20"/>
          <w:color w:val="auto"/>
        </w:rPr>
      </w:pPr>
      <w:r>
        <w:rPr>
          <w:rFonts w:ascii="Arial" w:cs="Arial" w:eastAsia="Arial" w:hAnsi="Arial"/>
          <w:sz w:val="16"/>
          <w:szCs w:val="16"/>
          <w:color w:val="auto"/>
        </w:rPr>
        <w:t>INDENTURE dated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among Corteva, Inc., a Delaware corporation (the “Company”), and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-201295</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3">
            <w:col w:w="2340" w:space="720"/>
            <w:col w:w="280" w:space="180"/>
            <w:col w:w="7480"/>
          </w:cols>
          <w:pgMar w:left="440" w:top="274" w:right="459" w:bottom="1440" w:gutter="0" w:footer="0" w:header="0"/>
        </w:sectPr>
      </w:pPr>
    </w:p>
    <w:p>
      <w:pPr>
        <w:spacing w:after="0"/>
        <w:rPr>
          <w:sz w:val="20"/>
          <w:szCs w:val="20"/>
          <w:color w:val="auto"/>
        </w:rPr>
      </w:pPr>
      <w:r>
        <w:rPr>
          <w:rFonts w:ascii="Arial" w:cs="Arial" w:eastAsia="Arial" w:hAnsi="Arial"/>
          <w:sz w:val="16"/>
          <w:szCs w:val="16"/>
          <w:color w:val="auto"/>
        </w:rPr>
        <w:t>as trustee (the “Trustee”).</w:t>
      </w:r>
    </w:p>
    <w:p>
      <w:pPr>
        <w:sectPr>
          <w:pgSz w:w="11900" w:h="16838" w:orient="portrait"/>
          <w:cols w:equalWidth="0" w:num="1">
            <w:col w:w="11000"/>
          </w:cols>
          <w:pgMar w:left="440" w:top="274" w:right="4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WHEREAS, the Company has duly authorized the execution and delivery of this Indenture to provide for the issuance of unsecured debentures, notes, bonds or other evidences of indebtedness (the “Securities”) in an unlimited aggregate principal amount to be issued from time to time in one or more series as provided in this Indenture; and</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the Company, in accordance with its terms, have been done.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That, in consideration of the premises and the purchase of the Securities by the Holders thereof for the equal and proportionate benefit of all of the present and future Holders of the Securities, each party agrees and covenants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680" w:hanging="236"/>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right="180" w:firstLine="444"/>
        <w:spacing w:after="0" w:line="277" w:lineRule="auto"/>
        <w:tabs>
          <w:tab w:leader="none" w:pos="6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defined in this Indenture or the context otherwise requires, all terms used herein without definition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ind w:right="320" w:firstLine="444"/>
        <w:spacing w:after="0" w:line="277"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 and</w:t>
      </w:r>
    </w:p>
    <w:p>
      <w:pPr>
        <w:spacing w:after="0" w:line="62" w:lineRule="exact"/>
        <w:rPr>
          <w:rFonts w:ascii="Arial" w:cs="Arial" w:eastAsia="Arial" w:hAnsi="Arial"/>
          <w:sz w:val="18"/>
          <w:szCs w:val="18"/>
          <w:color w:val="auto"/>
        </w:rPr>
      </w:pPr>
    </w:p>
    <w:p>
      <w:pPr>
        <w:ind w:right="360" w:firstLine="444"/>
        <w:spacing w:after="0" w:line="277" w:lineRule="auto"/>
        <w:tabs>
          <w:tab w:leader="none" w:pos="6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references to “Article” or “Section” or other subdivision herein are references to an Article, Section or other subdivision of this Indenture, unless the context otherwise requires.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Unless the context otherwise requires, the terms defined in this Section 1.01 shall for all purposes of this Indenture have the meanings hereinafter set forth:</w:t>
      </w:r>
    </w:p>
    <w:p>
      <w:pPr>
        <w:sectPr>
          <w:pgSz w:w="11900" w:h="16838" w:orient="portrait"/>
          <w:cols w:equalWidth="0" w:num="1">
            <w:col w:w="11000"/>
          </w:cols>
          <w:pgMar w:left="440" w:top="274" w:right="4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Authenticating Agent: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“Authenticating Agent” shall have the meaning assigned to it in Section 11.09.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term “Board of Directors” shall mean either the board of directors of the Company or the executive or any other committee of that board duly authorized to act in respect 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Resolution:</w:t>
      </w:r>
    </w:p>
    <w:p>
      <w:pPr>
        <w:spacing w:after="0" w:line="121"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Day:</w:t>
      </w:r>
    </w:p>
    <w:p>
      <w:pPr>
        <w:spacing w:after="0" w:line="12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term “Business Day,” when used with respect to any Place of Payment or any other particular location referred to in this Indenture or in the Securities, shall mean each Monday, Tuesday, Wednesday, Thursday and Friday which is not a day on which banking institutions in that Place of Payment or such location are authorized or obligated by law or executive order to close.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“Capital Stock” shall mean:</w:t>
      </w:r>
    </w:p>
    <w:p>
      <w:pPr>
        <w:spacing w:after="0" w:line="117" w:lineRule="exact"/>
        <w:rPr>
          <w:sz w:val="20"/>
          <w:szCs w:val="20"/>
          <w:color w:val="auto"/>
        </w:rPr>
      </w:pPr>
    </w:p>
    <w:p>
      <w:pPr>
        <w:ind w:left="1140" w:hanging="255"/>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right="720" w:firstLine="885"/>
        <w:spacing w:after="0" w:line="277" w:lineRule="auto"/>
        <w:tabs>
          <w:tab w:leader="none" w:pos="11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5460" w:right="140" w:hanging="4575"/>
        <w:spacing w:after="0" w:line="449" w:lineRule="auto"/>
        <w:tabs>
          <w:tab w:leader="none" w:pos="11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and 2</w:t>
      </w:r>
    </w:p>
    <w:p>
      <w:pPr>
        <w:sectPr>
          <w:pgSz w:w="11900" w:h="16838" w:orient="portrait"/>
          <w:cols w:equalWidth="0" w:num="1">
            <w:col w:w="11000"/>
          </w:cols>
          <w:pgMar w:left="440" w:top="270" w:right="459" w:bottom="1440" w:gutter="0" w:footer="0" w:header="0"/>
        </w:sectPr>
      </w:pPr>
    </w:p>
    <w:bookmarkStart w:id="30" w:name="page31"/>
    <w:bookmarkEnd w:id="30"/>
    <w:p>
      <w:pPr>
        <w:ind w:right="420" w:firstLine="885"/>
        <w:spacing w:after="0" w:line="264" w:lineRule="auto"/>
        <w:tabs>
          <w:tab w:leader="none" w:pos="113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“Code” shall mean the Internal Revenue Code of 1986, as amended.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21"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Order: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term “Company Order” shall mean a written order signed in the name of the Company by any Officer and delivered to the Trustee.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Trust Office: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term “Corporate Trust Office,” or other similar term, shall mean the principal office of the Trustee at which at any particular time its corporate</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trust business shall be administered, which office at the date hereof is located at [ ], Attention: [ ], [ ],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“Currency” shall mean U.S. Dollars or Foreign Currency.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“Default” shall have the meaning assigned to it in Section 11.03.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Defaulted Interest: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“Defaulted Interest” shall have the same meaning assigned to it in Section 3.08(b).</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Depositary:</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term “Depositary” shall mean, with respect to the Securities of any series issuable in whole or in part in the form of one or more Global Securities, each Person designated as Depositary by the Company pursuant to Section 3.01 until one or more successor Depositaries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Currency: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“Designated Currency” shall have the same meaning assigned to it in Section 3.12.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“Discharged” shall have the meaning assigned to it in Section 12.03.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“DTC” shall mean The Depository Trust Company, Inc. and its successors.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 of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“Event of Default” shall have the meaning specified in Section 7.01.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“Exchange Rate” shall have the meaning assigned to it in Section 7.01.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Floating Rate Security:</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term “Floating Rate Security” shall mean a Security that provides for the payment of interest at a variable rate determined periodically by reference to an interest rate index specified pursuant to Section 3.01.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40" w:top="270" w:right="5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GAAP:</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term “GAAP,” with respect to any computations required or permitted hereunder, shall mean generally accepted accounting principles in effect in the United States as in effect from time to time; provided, however if the Company is required by the SEC to adopt (or is permitted to adopt and so adopts) a different accounting framework, including but not limited to the International Financial Reporting Standards, “GAAP” shall mean such new accounting framework as in effect from time to time, including, without limitation, in each case, those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 Holder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“Holder” and “Holder of Securities” are defined under “Securityholder; Holder of Securities; Holder.”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“Individual Securities” shall have the meaning specified in Section 3.01(p).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term “Interest Payment Date” shall mean, with respect to any Security, the Stated Maturity of an installment of interest on such Security.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Sinking Fund Payment: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“Mandatory Sinking Fund Payment” shall have the meaning assigned to it in Section 5.01(b).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“Members” shall have the meaning assigned to it in Section 3.03(i).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w:t>
      </w:r>
    </w:p>
    <w:p>
      <w:pPr>
        <w:spacing w:after="0" w:line="12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term “Officer” shall mean any of the Chairman of the Board of Directors, Chief Executive Officer, Chief Financial Officer, President or a Vice President, Treasurer or Assistant Treasurer, Controller, Secretary or Assistant Secretary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Cert</w:t>
      </w:r>
      <w:r>
        <w:rPr>
          <w:rFonts w:ascii="Arial" w:cs="Arial" w:eastAsia="Arial" w:hAnsi="Arial"/>
          <w:sz w:val="18"/>
          <w:szCs w:val="18"/>
          <w:color w:val="auto"/>
        </w:rPr>
        <w:t>i</w:t>
      </w:r>
      <w:r>
        <w:rPr>
          <w:rFonts w:ascii="Arial" w:cs="Arial" w:eastAsia="Arial" w:hAnsi="Arial"/>
          <w:sz w:val="18"/>
          <w:szCs w:val="18"/>
          <w:b w:val="1"/>
          <w:bCs w:val="1"/>
          <w:color w:val="auto"/>
        </w:rPr>
        <w:t>ficate: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term “Officer’s Certificate” shall mean a certificate signed by any Officer and delivered to the Trustee. Each such certificate shall include the statements provided for in Section 16.01 if and to the extent required by the provisions of such Section.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0"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 of Counsel:</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term “Opinion of Counsel” shall mean an opinion in writing signed by one or more legal counsel, who may be an employee of or of counsel to the Company, and meets the requirements provided for in Section 16.01.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Sinking Fund Payment: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“Optional Sinking Fund Payment” shall have the meaning assigned to it in Section 5.01(b).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 Security:</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term “Original Issue Discount Security” shall mean any Security that is issued with “original issue discount” within the meaning of Section 1273(a) of the Code and the regulations thereunder, or any successor provision, and any other Security designated by the Company as issued with original issue discount for United States federal income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term “Outstanding,”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1140" w:hanging="255"/>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7" w:lineRule="exact"/>
        <w:rPr>
          <w:rFonts w:ascii="Arial" w:cs="Arial" w:eastAsia="Arial" w:hAnsi="Arial"/>
          <w:sz w:val="18"/>
          <w:szCs w:val="18"/>
          <w:color w:val="auto"/>
        </w:rPr>
      </w:pPr>
    </w:p>
    <w:p>
      <w:pPr>
        <w:ind w:right="60" w:firstLine="885"/>
        <w:spacing w:after="0" w:line="257" w:lineRule="auto"/>
        <w:tabs>
          <w:tab w:leader="none" w:pos="11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80" w:lineRule="exact"/>
        <w:rPr>
          <w:rFonts w:ascii="Arial" w:cs="Arial" w:eastAsia="Arial" w:hAnsi="Arial"/>
          <w:sz w:val="18"/>
          <w:szCs w:val="18"/>
          <w:color w:val="auto"/>
        </w:rPr>
      </w:pPr>
    </w:p>
    <w:p>
      <w:pPr>
        <w:ind w:firstLine="885"/>
        <w:spacing w:after="0" w:line="259" w:lineRule="auto"/>
        <w:tabs>
          <w:tab w:leader="none" w:pos="11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in determining whether the Holders of the requisite principal amount of Securities of a series Outstanding have performed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35" w:name="page36"/>
    <w:bookmarkEnd w:id="3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“Paying Agent” shall have the meaning assigned to it in Section 6.02(a).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term “Person” shall mean any individual, a corporation, a limited liability company, a partnership, an association, a joint stock company, a trust, an unincorporated organization or a government or an agency or political subdivision thereof or other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Payment:</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Security:</w:t>
      </w:r>
    </w:p>
    <w:p>
      <w:pPr>
        <w:spacing w:after="0" w:line="121"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The term “Predecessor Security” shall mean, with respect to any Security, every previous Security evidencing all or a portion of the same Indebtedness as that evidenced by such particular Security, and, for the purposes of this definition, any Security authenticated and delivered under Section 3.07 in lieu of a lost, destroyed or stolen Security shall be deemed to evidence the same Indebtedness as the lost, destroyed or stolen Security.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term “Record Date” shall mean, with respect to any interest payable on any Security on any Interest Payment Date, any date specified in such Security or pursuant to Section 3.01 with respect to such Security as the record date for the payment of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Date:</w:t>
      </w:r>
    </w:p>
    <w:p>
      <w:pPr>
        <w:spacing w:after="0" w:line="12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Price:</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term “Redemption Price,” when used with respect to any Security to be redeemed, in whole or in part, shall mean the price at which it is to be redeemed pursuant to the terms of the applicable Security and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“Register” shall have the meaning assigned to it in Section 3.05(a).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“Registrar” shall have the meaning assigned to it in Section 3.05(a).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Officers:</w:t>
      </w:r>
    </w:p>
    <w:p>
      <w:pPr>
        <w:spacing w:after="0" w:line="121"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term “Responsible Officers” of the Trustee hereunder shall mean any vice president, any assistant vice president, any trust officer, any assistant trust officer, secretary, associate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“SEC” shall mean the United States Securities and Exchange Commission, as constituted from time to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Custodian:</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term “Security Custodian” shall mean the custodian with respect to any Global Security appointed by the Depositary, or any successor Person thereto, and shall initially be the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Securityholder; Holder of Securities; Holder:</w:t>
      </w:r>
    </w:p>
    <w:p>
      <w:pPr>
        <w:spacing w:after="0" w:line="12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The term “Securityholder” or “Holder of Securities” or “Holder,” shall mean the Person in whose name Securities shall be registered in the Register kept for that purpose hereunder.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Indebtedness:</w:t>
      </w:r>
    </w:p>
    <w:p>
      <w:pPr>
        <w:spacing w:after="0" w:line="121"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w:t>
      </w:r>
    </w:p>
    <w:p>
      <w:pPr>
        <w:spacing w:after="0" w:line="2" w:lineRule="exact"/>
        <w:rPr>
          <w:sz w:val="20"/>
          <w:szCs w:val="20"/>
          <w:color w:val="auto"/>
        </w:rPr>
      </w:pPr>
    </w:p>
    <w:p>
      <w:pPr>
        <w:ind w:right="360" w:firstLine="4"/>
        <w:spacing w:after="0" w:line="281" w:lineRule="auto"/>
        <w:tabs>
          <w:tab w:leader="none" w:pos="2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w:t>
      </w:r>
    </w:p>
    <w:p>
      <w:pPr>
        <w:spacing w:after="0" w:line="2" w:lineRule="exact"/>
        <w:rPr>
          <w:rFonts w:ascii="Arial" w:cs="Arial" w:eastAsia="Arial" w:hAnsi="Arial"/>
          <w:sz w:val="16"/>
          <w:szCs w:val="16"/>
          <w:color w:val="auto"/>
        </w:rPr>
      </w:pPr>
    </w:p>
    <w:p>
      <w:pPr>
        <w:ind w:firstLine="4"/>
        <w:spacing w:after="0" w:line="254"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unsecured indebtedness shall not be deemed to be subordinated in right of payment to secured indebtedness merely by virtue of the fact that it is unsecured, and (ii) 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Record Date: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“Special Record Date” shall have the meaning assigned to it in Section 3.08(b)(i).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Stated Maturity:</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term “Stated Maturity” when used with respect to any Security or any installment of interest thereon, shall mean the date specified in such Security or pursuant to Section 3.01 with respect to such Security as the fixed date on which the principal (or any portion thereof) of or premium, if any, on such Security or such installment of interest is due and payable.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w:t>
      </w:r>
    </w:p>
    <w:p>
      <w:pPr>
        <w:spacing w:after="0" w:line="121"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The term “Subsidiary,” when used with respect to any Person, shall mean with respect to any Person, a corporation, partnership, association, joint venture, trust, limited liability company or other business entity which is required to be consolidated with such Person in accordance with GAAP.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“Successor Company” shall have the meaning assigned to it in Section 3.06(i).</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Trade Payables: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Indenture Act; TIA:</w:t>
      </w:r>
    </w:p>
    <w:p>
      <w:pPr>
        <w:spacing w:after="0" w:line="12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term “U.S. Dollars” shall mean such currency of the United States as at the time of payment shall be legal tender for the payment of public and private debts.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“U.S. Government Obligations” shall have the meaning assigned to it in Section 12.03.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term “United States” shall mean the United States of America, its territories and possessions, any State of the United States and the District of Columbia.</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FORMS OF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Terms of the Securities</w:t>
      </w:r>
      <w:r>
        <w:rPr>
          <w:rFonts w:ascii="Arial" w:cs="Arial" w:eastAsia="Arial" w:hAnsi="Arial"/>
          <w:sz w:val="18"/>
          <w:szCs w:val="18"/>
          <w:color w:val="auto"/>
        </w:rPr>
        <w:t>.</w:t>
      </w:r>
    </w:p>
    <w:p>
      <w:pPr>
        <w:spacing w:after="0" w:line="117" w:lineRule="exact"/>
        <w:rPr>
          <w:sz w:val="20"/>
          <w:szCs w:val="20"/>
          <w:color w:val="auto"/>
        </w:rPr>
      </w:pPr>
    </w:p>
    <w:p>
      <w:pPr>
        <w:ind w:right="100" w:firstLine="885"/>
        <w:spacing w:after="0" w:line="257" w:lineRule="auto"/>
        <w:tabs>
          <w:tab w:leader="none" w:pos="11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of each series shall be substantially in the form set forth in a Board Resolution,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rule or regulation of any securities exchange on which any series of the Securities may be listed or of any automated quotation system on which any such series may be quoted, or to conform to usage, all as determined by any of the officers executing such Securities as conclusively evidenced by their execution of such Securities.</w:t>
      </w:r>
    </w:p>
    <w:p>
      <w:pPr>
        <w:spacing w:after="0" w:line="73" w:lineRule="exact"/>
        <w:rPr>
          <w:sz w:val="20"/>
          <w:szCs w:val="20"/>
          <w:color w:val="auto"/>
        </w:rPr>
      </w:pPr>
    </w:p>
    <w:p>
      <w:pPr>
        <w:ind w:firstLine="885"/>
        <w:spacing w:after="0" w:line="264" w:lineRule="auto"/>
        <w:tabs>
          <w:tab w:leader="none" w:pos="11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64" w:lineRule="auto"/>
        <w:tabs>
          <w:tab w:leader="none" w:pos="11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73" w:lineRule="exact"/>
        <w:rPr>
          <w:rFonts w:ascii="Arial" w:cs="Arial" w:eastAsia="Arial" w:hAnsi="Arial"/>
          <w:sz w:val="18"/>
          <w:szCs w:val="18"/>
          <w:color w:val="auto"/>
        </w:rPr>
      </w:pPr>
    </w:p>
    <w:p>
      <w:pPr>
        <w:ind w:right="440" w:firstLine="885"/>
        <w:spacing w:after="0" w:line="277" w:lineRule="auto"/>
        <w:tabs>
          <w:tab w:leader="none" w:pos="11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 except that any Global Security shall be dated as of the date specified as contemplated in Section 3.01.</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form of the Trustee’s certificate of authentication to be borne by the Securities shall be substantially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U.S.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-10160</wp:posOffset>
            </wp:positionV>
            <wp:extent cx="571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4"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 by an Authenticating Agent</w:t>
      </w:r>
      <w:r>
        <w:rPr>
          <w:rFonts w:ascii="Arial" w:cs="Arial" w:eastAsia="Arial" w:hAnsi="Arial"/>
          <w:sz w:val="18"/>
          <w:szCs w:val="18"/>
          <w:color w:val="auto"/>
        </w:rPr>
        <w:t>. If at any time there shall be an Authenticating Agent appointed with respect to any series of Securities, then the Trustee’s Certificate of Authentication by such Authenticating Agent to be borne by Securities of each such series shall be substantially as follows: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40" w:name="page41"/>
    <w:bookmarkEnd w:id="40"/>
    <w:p>
      <w:pPr>
        <w:spacing w:after="0"/>
        <w:tabs>
          <w:tab w:leader="none" w:pos="5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authentication:</w:t>
      </w:r>
      <w:r>
        <w:rPr>
          <w:sz w:val="20"/>
          <w:szCs w:val="20"/>
          <w:color w:val="auto"/>
        </w:rPr>
        <w:tab/>
      </w:r>
      <w:r>
        <w:rPr>
          <w:rFonts w:ascii="Arial" w:cs="Arial" w:eastAsia="Arial" w:hAnsi="Arial"/>
          <w:sz w:val="16"/>
          <w:szCs w:val="16"/>
          <w:color w:val="auto"/>
        </w:rPr>
        <w:t>U.S.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-10160</wp:posOffset>
            </wp:positionV>
            <wp:extent cx="571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[NAME OF AUTHENTICATING AGENT]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Authenticating Agent</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DEBT SECURITIES</w:t>
      </w:r>
    </w:p>
    <w:p>
      <w:pPr>
        <w:spacing w:after="0" w:line="229"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 The Securities may be issued in one or more series. At or prior to the issuance of Securities of any series, the title and terms on each series of Securities shall be as set forth in a Board Resolution, Company Order or in one or more indentures supplemental hereto, including the following:</w:t>
      </w:r>
    </w:p>
    <w:p>
      <w:pPr>
        <w:spacing w:after="0" w:line="79" w:lineRule="exact"/>
        <w:rPr>
          <w:sz w:val="20"/>
          <w:szCs w:val="20"/>
          <w:color w:val="auto"/>
        </w:rPr>
      </w:pPr>
    </w:p>
    <w:p>
      <w:pPr>
        <w:ind w:right="120" w:firstLine="885"/>
        <w:spacing w:after="0" w:line="277" w:lineRule="auto"/>
        <w:tabs>
          <w:tab w:leader="none" w:pos="11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62" w:lineRule="exact"/>
        <w:rPr>
          <w:rFonts w:ascii="Arial" w:cs="Arial" w:eastAsia="Arial" w:hAnsi="Arial"/>
          <w:sz w:val="18"/>
          <w:szCs w:val="18"/>
          <w:color w:val="auto"/>
        </w:rPr>
      </w:pPr>
    </w:p>
    <w:p>
      <w:pPr>
        <w:ind w:firstLine="885"/>
        <w:spacing w:after="0" w:line="291" w:lineRule="auto"/>
        <w:tabs>
          <w:tab w:leader="none" w:pos="11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w:t>
      </w:r>
    </w:p>
    <w:p>
      <w:pPr>
        <w:spacing w:after="0"/>
        <w:rPr>
          <w:rFonts w:ascii="Arial" w:cs="Arial" w:eastAsia="Arial" w:hAnsi="Arial"/>
          <w:sz w:val="16"/>
          <w:szCs w:val="16"/>
          <w:color w:val="auto"/>
        </w:rPr>
      </w:pPr>
      <w:r>
        <w:rPr>
          <w:rFonts w:ascii="Arial" w:cs="Arial" w:eastAsia="Arial" w:hAnsi="Arial"/>
          <w:sz w:val="18"/>
          <w:szCs w:val="18"/>
          <w:color w:val="auto"/>
        </w:rPr>
        <w:t>Section 3.04, 3.06, 3.07, 4.06, or 14.05);</w:t>
      </w:r>
    </w:p>
    <w:p>
      <w:pPr>
        <w:spacing w:after="0" w:line="102" w:lineRule="exact"/>
        <w:rPr>
          <w:rFonts w:ascii="Arial" w:cs="Arial" w:eastAsia="Arial" w:hAnsi="Arial"/>
          <w:sz w:val="16"/>
          <w:szCs w:val="16"/>
          <w:color w:val="auto"/>
        </w:rPr>
      </w:pPr>
    </w:p>
    <w:p>
      <w:pPr>
        <w:ind w:right="280" w:firstLine="885"/>
        <w:spacing w:after="0" w:line="264" w:lineRule="auto"/>
        <w:tabs>
          <w:tab w:leader="none" w:pos="11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73" w:lineRule="exact"/>
        <w:rPr>
          <w:rFonts w:ascii="Arial" w:cs="Arial" w:eastAsia="Arial" w:hAnsi="Arial"/>
          <w:sz w:val="18"/>
          <w:szCs w:val="18"/>
          <w:color w:val="auto"/>
        </w:rPr>
      </w:pPr>
    </w:p>
    <w:p>
      <w:pPr>
        <w:ind w:right="40" w:firstLine="885"/>
        <w:spacing w:after="0" w:line="273" w:lineRule="auto"/>
        <w:tabs>
          <w:tab w:leader="none" w:pos="1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70" w:lineRule="exact"/>
        <w:rPr>
          <w:rFonts w:ascii="Arial" w:cs="Arial" w:eastAsia="Arial" w:hAnsi="Arial"/>
          <w:sz w:val="17"/>
          <w:szCs w:val="17"/>
          <w:color w:val="auto"/>
        </w:rPr>
      </w:pPr>
    </w:p>
    <w:p>
      <w:pPr>
        <w:ind w:right="520" w:firstLine="885"/>
        <w:spacing w:after="0" w:line="342" w:lineRule="auto"/>
        <w:tabs>
          <w:tab w:leader="none" w:pos="112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1" w:name="page42"/>
    <w:bookmarkEnd w:id="41"/>
    <w:p>
      <w:pPr>
        <w:ind w:left="-20" w:right="100" w:firstLine="885"/>
        <w:spacing w:after="0" w:line="264" w:lineRule="auto"/>
        <w:tabs>
          <w:tab w:leader="none" w:pos="108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73" w:lineRule="exact"/>
        <w:rPr>
          <w:rFonts w:ascii="Arial" w:cs="Arial" w:eastAsia="Arial" w:hAnsi="Arial"/>
          <w:sz w:val="18"/>
          <w:szCs w:val="18"/>
          <w:color w:val="auto"/>
        </w:rPr>
      </w:pPr>
    </w:p>
    <w:p>
      <w:pPr>
        <w:ind w:left="-20" w:right="60" w:firstLine="885"/>
        <w:spacing w:after="0" w:line="257" w:lineRule="auto"/>
        <w:tabs>
          <w:tab w:leader="none" w:pos="11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80" w:lineRule="exact"/>
        <w:rPr>
          <w:rFonts w:ascii="Arial" w:cs="Arial" w:eastAsia="Arial" w:hAnsi="Arial"/>
          <w:sz w:val="18"/>
          <w:szCs w:val="18"/>
          <w:color w:val="auto"/>
        </w:rPr>
      </w:pPr>
    </w:p>
    <w:p>
      <w:pPr>
        <w:ind w:left="-20" w:right="140" w:firstLine="885"/>
        <w:spacing w:after="0" w:line="312" w:lineRule="auto"/>
        <w:tabs>
          <w:tab w:leader="none" w:pos="11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38" w:lineRule="exact"/>
        <w:rPr>
          <w:rFonts w:ascii="Arial" w:cs="Arial" w:eastAsia="Arial" w:hAnsi="Arial"/>
          <w:sz w:val="16"/>
          <w:szCs w:val="16"/>
          <w:color w:val="auto"/>
        </w:rPr>
      </w:pPr>
    </w:p>
    <w:p>
      <w:pPr>
        <w:ind w:left="-20" w:right="200" w:firstLine="885"/>
        <w:spacing w:after="0" w:line="308" w:lineRule="auto"/>
        <w:tabs>
          <w:tab w:leader="none" w:pos="10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38" w:lineRule="exact"/>
        <w:rPr>
          <w:rFonts w:ascii="Arial" w:cs="Arial" w:eastAsia="Arial" w:hAnsi="Arial"/>
          <w:sz w:val="17"/>
          <w:szCs w:val="17"/>
          <w:color w:val="auto"/>
        </w:rPr>
      </w:pPr>
    </w:p>
    <w:p>
      <w:pPr>
        <w:ind w:left="-20" w:right="80" w:firstLine="885"/>
        <w:spacing w:after="0" w:line="259" w:lineRule="auto"/>
        <w:tabs>
          <w:tab w:leader="none" w:pos="10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78" w:lineRule="exact"/>
        <w:rPr>
          <w:rFonts w:ascii="Arial" w:cs="Arial" w:eastAsia="Arial" w:hAnsi="Arial"/>
          <w:sz w:val="18"/>
          <w:szCs w:val="18"/>
          <w:color w:val="auto"/>
        </w:rPr>
      </w:pPr>
    </w:p>
    <w:p>
      <w:pPr>
        <w:ind w:left="-20" w:firstLine="885"/>
        <w:spacing w:after="0" w:line="277" w:lineRule="auto"/>
        <w:tabs>
          <w:tab w:leader="none" w:pos="11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denominations of $2,000 and any integral multiple of $1,000 in excess thereof, the denominations in which Securities of the series shall be issuable;</w:t>
      </w:r>
    </w:p>
    <w:p>
      <w:pPr>
        <w:spacing w:after="0" w:line="62" w:lineRule="exact"/>
        <w:rPr>
          <w:rFonts w:ascii="Arial" w:cs="Arial" w:eastAsia="Arial" w:hAnsi="Arial"/>
          <w:sz w:val="18"/>
          <w:szCs w:val="18"/>
          <w:color w:val="auto"/>
        </w:rPr>
      </w:pPr>
    </w:p>
    <w:p>
      <w:pPr>
        <w:ind w:left="-20" w:right="100" w:firstLine="885"/>
        <w:spacing w:after="0" w:line="277" w:lineRule="auto"/>
        <w:tabs>
          <w:tab w:leader="none" w:pos="10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which shall be payable upon declaration of acceleration of the Maturity thereof pursuant to Section 7.02;</w:t>
      </w:r>
    </w:p>
    <w:p>
      <w:pPr>
        <w:spacing w:after="0" w:line="62" w:lineRule="exact"/>
        <w:rPr>
          <w:rFonts w:ascii="Arial" w:cs="Arial" w:eastAsia="Arial" w:hAnsi="Arial"/>
          <w:sz w:val="18"/>
          <w:szCs w:val="18"/>
          <w:color w:val="auto"/>
        </w:rPr>
      </w:pPr>
    </w:p>
    <w:p>
      <w:pPr>
        <w:ind w:left="-20" w:right="680" w:firstLine="885"/>
        <w:spacing w:after="0" w:line="342" w:lineRule="auto"/>
        <w:tabs>
          <w:tab w:leader="none" w:pos="116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5" w:lineRule="exact"/>
        <w:rPr>
          <w:rFonts w:ascii="Arial" w:cs="Arial" w:eastAsia="Arial" w:hAnsi="Arial"/>
          <w:sz w:val="16"/>
          <w:szCs w:val="16"/>
          <w:color w:val="auto"/>
        </w:rPr>
      </w:pPr>
    </w:p>
    <w:p>
      <w:pPr>
        <w:ind w:left="-20" w:right="260" w:firstLine="885"/>
        <w:spacing w:after="0" w:line="277" w:lineRule="auto"/>
        <w:tabs>
          <w:tab w:leader="none" w:pos="11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as Original Issue Discount Securities and the amount of discount with which such Securities may be issued;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42" w:name="page43"/>
    <w:bookmarkEnd w:id="42"/>
    <w:p>
      <w:pPr>
        <w:ind w:right="60" w:firstLine="885"/>
        <w:spacing w:after="0" w:line="264" w:lineRule="auto"/>
        <w:tabs>
          <w:tab w:leader="none" w:pos="1136"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provisions of Article XII hereof shall not be applicable with respect to the Securities of such series; or any addition to or change in the provisions of Article XII and, if the Securities of any series are payable in a Currency other than U.S. Dollars, the Currency or the nature of the government obligations to be deposited with the Trustee pursuant to Section 12.08;</w:t>
      </w:r>
    </w:p>
    <w:p>
      <w:pPr>
        <w:spacing w:after="0" w:line="73" w:lineRule="exact"/>
        <w:rPr>
          <w:rFonts w:ascii="Arial" w:cs="Arial" w:eastAsia="Arial" w:hAnsi="Arial"/>
          <w:sz w:val="18"/>
          <w:szCs w:val="18"/>
          <w:color w:val="auto"/>
        </w:rPr>
      </w:pPr>
    </w:p>
    <w:p>
      <w:pPr>
        <w:ind w:right="20" w:firstLine="885"/>
        <w:spacing w:after="0" w:line="259" w:lineRule="auto"/>
        <w:tabs>
          <w:tab w:leader="none" w:pos="11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date as of which any Global Security of the series shall be dated if other than the original issuance of the first Security of the series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issued;</w:t>
      </w:r>
    </w:p>
    <w:p>
      <w:pPr>
        <w:spacing w:after="0" w:line="102" w:lineRule="exact"/>
        <w:rPr>
          <w:rFonts w:ascii="Arial" w:cs="Arial" w:eastAsia="Arial" w:hAnsi="Arial"/>
          <w:sz w:val="16"/>
          <w:szCs w:val="16"/>
          <w:color w:val="auto"/>
        </w:rPr>
      </w:pPr>
    </w:p>
    <w:p>
      <w:pPr>
        <w:ind w:left="1120" w:hanging="23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or forms of the Securities of the series including such legends as may be required by applicable law;</w:t>
      </w:r>
    </w:p>
    <w:p>
      <w:pPr>
        <w:spacing w:after="0" w:line="117" w:lineRule="exact"/>
        <w:rPr>
          <w:rFonts w:ascii="Arial" w:cs="Arial" w:eastAsia="Arial" w:hAnsi="Arial"/>
          <w:sz w:val="18"/>
          <w:szCs w:val="18"/>
          <w:color w:val="auto"/>
        </w:rPr>
      </w:pPr>
    </w:p>
    <w:p>
      <w:pPr>
        <w:ind w:right="140" w:firstLine="885"/>
        <w:spacing w:after="0" w:line="264" w:lineRule="auto"/>
        <w:tabs>
          <w:tab w:leader="none" w:pos="11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73" w:lineRule="exact"/>
        <w:rPr>
          <w:rFonts w:ascii="Arial" w:cs="Arial" w:eastAsia="Arial" w:hAnsi="Arial"/>
          <w:sz w:val="18"/>
          <w:szCs w:val="18"/>
          <w:color w:val="auto"/>
        </w:rPr>
      </w:pPr>
    </w:p>
    <w:p>
      <w:pPr>
        <w:ind w:firstLine="885"/>
        <w:spacing w:after="0" w:line="277" w:lineRule="auto"/>
        <w:tabs>
          <w:tab w:leader="none" w:pos="10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of such series are subject to subordination and the terms of such subordination (for avoidance of doubt, Article XV shall not apply to the Securities of any series unless the terms of such series expressly state it applies);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of such series are to be secured and the terms of such security;</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Securities of such series;</w:t>
      </w:r>
    </w:p>
    <w:p>
      <w:pPr>
        <w:spacing w:after="0" w:line="117" w:lineRule="exact"/>
        <w:rPr>
          <w:rFonts w:ascii="Arial" w:cs="Arial" w:eastAsia="Arial" w:hAnsi="Arial"/>
          <w:sz w:val="18"/>
          <w:szCs w:val="18"/>
          <w:color w:val="auto"/>
        </w:rPr>
      </w:pPr>
    </w:p>
    <w:p>
      <w:pPr>
        <w:ind w:left="1180" w:hanging="295"/>
        <w:spacing w:after="0"/>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addition or change in the provisions related to compensation and reimbursement of the Trustee which applies to Securities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right="60" w:firstLine="885"/>
        <w:spacing w:after="0" w:line="277" w:lineRule="auto"/>
        <w:tabs>
          <w:tab w:leader="none" w:pos="11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supplemental indentures set forth in Sections 14.01, 14.02 and 14.04 which applies to Securities of such series;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upon the occurrence of specified events;</w:t>
      </w:r>
    </w:p>
    <w:p>
      <w:pPr>
        <w:spacing w:after="0" w:line="117" w:lineRule="exact"/>
        <w:rPr>
          <w:rFonts w:ascii="Arial" w:cs="Arial" w:eastAsia="Arial" w:hAnsi="Arial"/>
          <w:sz w:val="18"/>
          <w:szCs w:val="18"/>
          <w:color w:val="auto"/>
        </w:rPr>
      </w:pPr>
    </w:p>
    <w:p>
      <w:pPr>
        <w:ind w:right="60" w:firstLine="885"/>
        <w:spacing w:after="0" w:line="264" w:lineRule="auto"/>
        <w:tabs>
          <w:tab w:leader="none" w:pos="11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3" w:name="page44"/>
    <w:bookmarkEnd w:id="43"/>
    <w:p>
      <w:pPr>
        <w:ind w:left="1220" w:hanging="33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addition to or change in the covenants set forth in Article VI which applies to Securities of the series;</w:t>
      </w:r>
    </w:p>
    <w:p>
      <w:pPr>
        <w:spacing w:after="0" w:line="117" w:lineRule="exact"/>
        <w:rPr>
          <w:rFonts w:ascii="Arial" w:cs="Arial" w:eastAsia="Arial" w:hAnsi="Arial"/>
          <w:sz w:val="18"/>
          <w:szCs w:val="18"/>
          <w:color w:val="auto"/>
        </w:rPr>
      </w:pPr>
    </w:p>
    <w:p>
      <w:pPr>
        <w:ind w:right="120" w:firstLine="885"/>
        <w:spacing w:after="0" w:line="277" w:lineRule="auto"/>
        <w:tabs>
          <w:tab w:leader="none" w:pos="12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Securities of such series (which terms shall not be inconsistent with the provisions of the TIA, but may modify, amend, supplement or delete any of the terms of this Indenture with respect to such series); and</w:t>
      </w:r>
    </w:p>
    <w:p>
      <w:pPr>
        <w:spacing w:after="0" w:line="62" w:lineRule="exact"/>
        <w:rPr>
          <w:rFonts w:ascii="Arial" w:cs="Arial" w:eastAsia="Arial" w:hAnsi="Arial"/>
          <w:sz w:val="18"/>
          <w:szCs w:val="18"/>
          <w:color w:val="auto"/>
        </w:rPr>
      </w:pPr>
    </w:p>
    <w:p>
      <w:pPr>
        <w:ind w:left="1220" w:hanging="335"/>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limitations on recourse to any subsidiaries of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herein or set forth in a Board Resolution, a Company Order or in one or more indentures supplemental hereto.</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Unless otherwise specified with respect to the Securities of any series pursuant to this Section 3.01, the Company may, at its option, at any time and from time to time, issue additional Securities of any series of Securities previously issued under this Indenture which together shall constitute a single series of Securities under this Indenture.</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In the absence of any specification pursuant to Section 3.01 with respect to Securities of any series, the Securities of such series shall be issuable only as Securities in denominations of $2,000 and any integral multiple of $1,000 in excess thereof, and shall be payable only in U.S. Dollars.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64" w:lineRule="auto"/>
        <w:tabs>
          <w:tab w:leader="none" w:pos="11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Securities shall be executed in the name and on behalf of the Company by the manual or facsimile signature of any Officer. If the Person whose signature is on a Security no longer holds that office at the time the Security is authenticated and delivered, the Security shall nevertheless be valid.</w:t>
      </w:r>
    </w:p>
    <w:p>
      <w:pPr>
        <w:spacing w:after="0" w:line="73" w:lineRule="exact"/>
        <w:rPr>
          <w:rFonts w:ascii="Arial" w:cs="Arial" w:eastAsia="Arial" w:hAnsi="Arial"/>
          <w:sz w:val="18"/>
          <w:szCs w:val="18"/>
          <w:color w:val="auto"/>
        </w:rPr>
      </w:pPr>
    </w:p>
    <w:p>
      <w:pPr>
        <w:ind w:right="20" w:firstLine="885"/>
        <w:spacing w:after="0" w:line="276" w:lineRule="auto"/>
        <w:tabs>
          <w:tab w:leader="none" w:pos="11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64" w:lineRule="exact"/>
        <w:rPr>
          <w:rFonts w:ascii="Arial" w:cs="Arial" w:eastAsia="Arial" w:hAnsi="Arial"/>
          <w:sz w:val="17"/>
          <w:szCs w:val="17"/>
          <w:color w:val="auto"/>
        </w:rPr>
      </w:pPr>
    </w:p>
    <w:p>
      <w:pPr>
        <w:jc w:val="both"/>
        <w:ind w:right="60" w:firstLine="885"/>
        <w:spacing w:after="0" w:line="259" w:lineRule="auto"/>
        <w:tabs>
          <w:tab w:leader="none" w:pos="11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44" w:name="page45"/>
    <w:bookmarkEnd w:id="44"/>
    <w:p>
      <w:pPr>
        <w:ind w:left="-4" w:right="120" w:firstLine="885"/>
        <w:spacing w:after="0" w:line="264" w:lineRule="auto"/>
        <w:tabs>
          <w:tab w:leader="none" w:pos="1133"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73" w:lineRule="exact"/>
        <w:rPr>
          <w:rFonts w:ascii="Arial" w:cs="Arial" w:eastAsia="Arial" w:hAnsi="Arial"/>
          <w:sz w:val="18"/>
          <w:szCs w:val="18"/>
          <w:color w:val="auto"/>
        </w:rPr>
      </w:pPr>
    </w:p>
    <w:p>
      <w:pPr>
        <w:ind w:left="-4" w:right="400" w:firstLine="885"/>
        <w:spacing w:after="0" w:line="277" w:lineRule="auto"/>
        <w:tabs>
          <w:tab w:leader="none" w:pos="112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Security shall be dated the date of its authentication, except as otherwise provided pursuant to Section 3.01 with respect to the Securities of such series.</w:t>
      </w:r>
    </w:p>
    <w:p>
      <w:pPr>
        <w:spacing w:after="0" w:line="62" w:lineRule="exact"/>
        <w:rPr>
          <w:rFonts w:ascii="Arial" w:cs="Arial" w:eastAsia="Arial" w:hAnsi="Arial"/>
          <w:sz w:val="18"/>
          <w:szCs w:val="18"/>
          <w:color w:val="auto"/>
        </w:rPr>
      </w:pPr>
    </w:p>
    <w:p>
      <w:pPr>
        <w:ind w:left="-4" w:firstLine="885"/>
        <w:spacing w:after="0" w:line="264" w:lineRule="auto"/>
        <w:tabs>
          <w:tab w:leader="none" w:pos="1103"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73" w:lineRule="exact"/>
        <w:rPr>
          <w:rFonts w:ascii="Arial" w:cs="Arial" w:eastAsia="Arial" w:hAnsi="Arial"/>
          <w:sz w:val="18"/>
          <w:szCs w:val="18"/>
          <w:color w:val="auto"/>
        </w:rPr>
      </w:pPr>
    </w:p>
    <w:p>
      <w:pPr>
        <w:ind w:left="-4" w:right="40" w:firstLine="885"/>
        <w:spacing w:after="0" w:line="286" w:lineRule="auto"/>
        <w:tabs>
          <w:tab w:leader="none" w:pos="1133"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in the name of the Depositary for such Global Security or Global Securities or the nominee of such Depositary,</w:t>
      </w:r>
    </w:p>
    <w:p>
      <w:pPr>
        <w:spacing w:after="0" w:line="1" w:lineRule="exact"/>
        <w:rPr>
          <w:rFonts w:ascii="Arial" w:cs="Arial" w:eastAsia="Arial" w:hAnsi="Arial"/>
          <w:sz w:val="16"/>
          <w:szCs w:val="16"/>
          <w:color w:val="auto"/>
        </w:rPr>
      </w:pPr>
    </w:p>
    <w:p>
      <w:pPr>
        <w:ind w:left="-4" w:right="360" w:firstLine="4"/>
        <w:spacing w:after="0" w:line="261" w:lineRule="auto"/>
        <w:tabs>
          <w:tab w:leader="none" w:pos="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be delivered by the Trustee to such Depositary or pursuant to such Depositary’s instruction and (iv) shall bear a legend substantially to the following effect:</w:t>
      </w:r>
    </w:p>
    <w:p>
      <w:pPr>
        <w:spacing w:after="0" w:line="76" w:lineRule="exact"/>
        <w:rPr>
          <w:sz w:val="20"/>
          <w:szCs w:val="20"/>
          <w:color w:val="auto"/>
        </w:rPr>
      </w:pPr>
    </w:p>
    <w:p>
      <w:pPr>
        <w:jc w:val="both"/>
        <w:ind w:left="436" w:right="160"/>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SHALL BE TREATED BY THE COMPANY, THE TRUSTEE AND ANY AGENT THEREOF AS OWNER AND HOLDER OF THIS SECURITY FOR ALL PURPOSES.</w:t>
      </w:r>
    </w:p>
    <w:p>
      <w:pPr>
        <w:spacing w:after="0" w:line="57" w:lineRule="exact"/>
        <w:rPr>
          <w:sz w:val="20"/>
          <w:szCs w:val="20"/>
          <w:color w:val="auto"/>
        </w:rPr>
      </w:pPr>
    </w:p>
    <w:p>
      <w:pPr>
        <w:ind w:left="436" w:right="20"/>
        <w:spacing w:after="0" w:line="272"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INC. TO THE COMPANY OR ITS AGENT FOR REGISTRATION OF TRANSFER, EXCHANGE OR PAYMENT, AND ANY CERTIFICATE ISSUED IS REGISTERED IN THE NAME OF CEDE &amp; CO. OR IN SUCH OTHER NAME AS IS REQUESTED BY AN AUTHORIZED REPRESENTATIVE OF THE DEPOSITORY TRUST COMPANY INC. (AND ANY PAYMENT HEREON IS MADE TO CEDE &amp; CO. OR TO SUCH OTHER ENTITY AS IS REQUESTED BY AN AUTHORIZED REPRESENTATIVE OF THE DEPOSITORY TRUST COMPANY INC.), ANY TRANSFER, PLEDGE OR OTHER USE HEREOF FOR VALUE OR OTHERWISE BY OR TO ANY PERSON IS WRONGFUL SINCE THE REGISTERED OWNER HEREOF, CEDE &amp; CO., HAS AN INTEREST HEREIN.</w:t>
      </w:r>
    </w:p>
    <w:p>
      <w:pPr>
        <w:spacing w:after="0" w:line="70" w:lineRule="exact"/>
        <w:rPr>
          <w:sz w:val="20"/>
          <w:szCs w:val="20"/>
          <w:color w:val="auto"/>
        </w:rPr>
      </w:pPr>
    </w:p>
    <w:p>
      <w:pPr>
        <w:ind w:left="436" w:right="6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96"/>
          </w:cols>
          <w:pgMar w:left="444" w:top="274" w:right="459" w:bottom="1440" w:gutter="0" w:footer="0" w:header="0"/>
        </w:sectPr>
      </w:pPr>
    </w:p>
    <w:bookmarkStart w:id="45" w:name="page46"/>
    <w:bookmarkEnd w:id="45"/>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principal amount of each Global Security may from time to time be increased or decreased by adjustments made on the records of the Security Custodian, as provided in this Indenture.</w:t>
      </w:r>
    </w:p>
    <w:p>
      <w:pPr>
        <w:spacing w:after="0" w:line="62" w:lineRule="exact"/>
        <w:rPr>
          <w:sz w:val="20"/>
          <w:szCs w:val="20"/>
          <w:color w:val="auto"/>
        </w:rPr>
      </w:pPr>
    </w:p>
    <w:p>
      <w:pPr>
        <w:ind w:right="180" w:firstLine="885"/>
        <w:spacing w:after="0" w:line="342" w:lineRule="auto"/>
        <w:tabs>
          <w:tab w:leader="none" w:pos="11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5" w:lineRule="exact"/>
        <w:rPr>
          <w:rFonts w:ascii="Arial" w:cs="Arial" w:eastAsia="Arial" w:hAnsi="Arial"/>
          <w:sz w:val="16"/>
          <w:szCs w:val="16"/>
          <w:color w:val="auto"/>
        </w:rPr>
      </w:pPr>
    </w:p>
    <w:p>
      <w:pPr>
        <w:jc w:val="both"/>
        <w:ind w:right="60" w:firstLine="885"/>
        <w:spacing w:after="0" w:line="288" w:lineRule="auto"/>
        <w:tabs>
          <w:tab w:leader="none" w:pos="10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Members of, or participants in, the Depositary (“Members”) shall have no rights under this Indenture with respect to any Global Security held on their behalf by the Depositary or by the Security Custodian under such Global Security, and the Depositary shall be treated by the Company, the Trustee, the Paying Agent and the Registrar and any of their agents as the absolute owner of such Global Security for all purposes whatsoever.</w:t>
      </w:r>
    </w:p>
    <w:p>
      <w:pPr>
        <w:spacing w:after="0" w:line="271" w:lineRule="auto"/>
        <w:rPr>
          <w:rFonts w:ascii="Arial" w:cs="Arial" w:eastAsia="Arial" w:hAnsi="Arial"/>
          <w:sz w:val="16"/>
          <w:szCs w:val="16"/>
          <w:color w:val="auto"/>
        </w:rPr>
      </w:pPr>
      <w:r>
        <w:rPr>
          <w:rFonts w:ascii="Arial" w:cs="Arial" w:eastAsia="Arial" w:hAnsi="Arial"/>
          <w:sz w:val="17"/>
          <w:szCs w:val="17"/>
          <w:color w:val="auto"/>
        </w:rPr>
        <w:t>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70" w:lineRule="exact"/>
        <w:rPr>
          <w:rFonts w:ascii="Arial" w:cs="Arial" w:eastAsia="Arial" w:hAnsi="Arial"/>
          <w:sz w:val="16"/>
          <w:szCs w:val="16"/>
          <w:color w:val="auto"/>
        </w:rPr>
      </w:pPr>
    </w:p>
    <w:p>
      <w:pPr>
        <w:ind w:right="80" w:firstLine="885"/>
        <w:spacing w:after="0" w:line="257" w:lineRule="auto"/>
        <w:tabs>
          <w:tab w:leader="none" w:pos="10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or Authenticating Agent, and such certificate upon any Security shall be conclusive evidence, and the only evidence, that such Security has been duly authenticated and delivered hereunder and is entitled to the benefits of this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54" w:lineRule="auto"/>
        <w:tabs>
          <w:tab w:leader="none" w:pos="11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denominations,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6" w:name="page47"/>
    <w:bookmarkEnd w:id="46"/>
    <w:p>
      <w:pPr>
        <w:ind w:left="-60" w:right="100" w:firstLine="885"/>
        <w:spacing w:after="0" w:line="272" w:lineRule="auto"/>
        <w:tabs>
          <w:tab w:leader="none" w:pos="1076"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69" w:lineRule="exact"/>
        <w:rPr>
          <w:rFonts w:ascii="Arial" w:cs="Arial" w:eastAsia="Arial" w:hAnsi="Arial"/>
          <w:sz w:val="17"/>
          <w:szCs w:val="17"/>
          <w:color w:val="auto"/>
        </w:rPr>
      </w:pPr>
    </w:p>
    <w:p>
      <w:pPr>
        <w:ind w:left="-60" w:firstLine="885"/>
        <w:spacing w:after="0" w:line="259" w:lineRule="auto"/>
        <w:tabs>
          <w:tab w:leader="none" w:pos="10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Registrar</w:t>
      </w:r>
      <w:r>
        <w:rPr>
          <w:rFonts w:ascii="Arial" w:cs="Arial" w:eastAsia="Arial" w:hAnsi="Arial"/>
          <w:sz w:val="18"/>
          <w:szCs w:val="18"/>
          <w:color w:val="auto"/>
        </w:rPr>
        <w:t>.</w:t>
      </w:r>
    </w:p>
    <w:p>
      <w:pPr>
        <w:spacing w:after="0" w:line="117" w:lineRule="exact"/>
        <w:rPr>
          <w:sz w:val="20"/>
          <w:szCs w:val="20"/>
          <w:color w:val="auto"/>
        </w:rPr>
      </w:pPr>
    </w:p>
    <w:p>
      <w:pPr>
        <w:ind w:left="-60" w:firstLine="885"/>
        <w:spacing w:after="0" w:line="272" w:lineRule="auto"/>
        <w:tabs>
          <w:tab w:leader="none" w:pos="10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69" w:lineRule="exact"/>
        <w:rPr>
          <w:rFonts w:ascii="Arial" w:cs="Arial" w:eastAsia="Arial" w:hAnsi="Arial"/>
          <w:sz w:val="17"/>
          <w:szCs w:val="17"/>
          <w:color w:val="auto"/>
        </w:rPr>
      </w:pPr>
    </w:p>
    <w:p>
      <w:pPr>
        <w:ind w:left="-60" w:right="180" w:firstLine="885"/>
        <w:spacing w:after="0" w:line="302" w:lineRule="auto"/>
        <w:tabs>
          <w:tab w:leader="none" w:pos="10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46" w:lineRule="exact"/>
        <w:rPr>
          <w:rFonts w:ascii="Arial" w:cs="Arial" w:eastAsia="Arial" w:hAnsi="Arial"/>
          <w:sz w:val="16"/>
          <w:szCs w:val="16"/>
          <w:color w:val="auto"/>
        </w:rPr>
      </w:pPr>
    </w:p>
    <w:p>
      <w:pPr>
        <w:ind w:left="-60" w:right="20" w:firstLine="885"/>
        <w:spacing w:after="0" w:line="277" w:lineRule="auto"/>
        <w:tabs>
          <w:tab w:leader="none" w:pos="10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hereby appoints the Trustee at its Corporate Trust Office as Registrar in connection with the Securities and this Indenture, until such time as another Person is appointed as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500" w:top="274" w:right="47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3.06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left="1120" w:hanging="25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w:t>
      </w:r>
    </w:p>
    <w:p>
      <w:pPr>
        <w:spacing w:after="0" w:line="117" w:lineRule="exact"/>
        <w:rPr>
          <w:rFonts w:ascii="Arial" w:cs="Arial" w:eastAsia="Arial" w:hAnsi="Arial"/>
          <w:sz w:val="18"/>
          <w:szCs w:val="18"/>
          <w:color w:val="auto"/>
        </w:rPr>
      </w:pPr>
    </w:p>
    <w:p>
      <w:pPr>
        <w:ind w:left="420" w:right="40" w:firstLine="851"/>
        <w:spacing w:after="0" w:line="257" w:lineRule="auto"/>
        <w:tabs>
          <w:tab w:leader="none" w:pos="14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80" w:lineRule="exact"/>
        <w:rPr>
          <w:rFonts w:ascii="Arial" w:cs="Arial" w:eastAsia="Arial" w:hAnsi="Arial"/>
          <w:sz w:val="18"/>
          <w:szCs w:val="18"/>
          <w:color w:val="auto"/>
        </w:rPr>
      </w:pPr>
    </w:p>
    <w:p>
      <w:pPr>
        <w:ind w:left="420" w:right="40" w:firstLine="851"/>
        <w:spacing w:after="0" w:line="302" w:lineRule="auto"/>
        <w:tabs>
          <w:tab w:leader="none" w:pos="1531"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46" w:lineRule="exact"/>
        <w:rPr>
          <w:rFonts w:ascii="Arial" w:cs="Arial" w:eastAsia="Arial" w:hAnsi="Arial"/>
          <w:sz w:val="16"/>
          <w:szCs w:val="16"/>
          <w:color w:val="auto"/>
        </w:rPr>
      </w:pPr>
    </w:p>
    <w:p>
      <w:pPr>
        <w:ind w:left="1120" w:hanging="25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Exchange.</w:t>
      </w:r>
    </w:p>
    <w:p>
      <w:pPr>
        <w:spacing w:after="0" w:line="117" w:lineRule="exact"/>
        <w:rPr>
          <w:rFonts w:ascii="Arial" w:cs="Arial" w:eastAsia="Arial" w:hAnsi="Arial"/>
          <w:sz w:val="18"/>
          <w:szCs w:val="18"/>
          <w:color w:val="auto"/>
        </w:rPr>
      </w:pPr>
    </w:p>
    <w:p>
      <w:pPr>
        <w:ind w:left="420" w:right="120" w:firstLine="851"/>
        <w:spacing w:after="0" w:line="264" w:lineRule="auto"/>
        <w:tabs>
          <w:tab w:leader="none" w:pos="14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73" w:lineRule="exact"/>
        <w:rPr>
          <w:rFonts w:ascii="Arial" w:cs="Arial" w:eastAsia="Arial" w:hAnsi="Arial"/>
          <w:sz w:val="18"/>
          <w:szCs w:val="18"/>
          <w:color w:val="auto"/>
        </w:rPr>
      </w:pPr>
    </w:p>
    <w:p>
      <w:pPr>
        <w:ind w:left="420" w:right="300" w:firstLine="851"/>
        <w:spacing w:after="0" w:line="277" w:lineRule="auto"/>
        <w:tabs>
          <w:tab w:leader="none" w:pos="1531" w:val="left"/>
        </w:tabs>
        <w:numPr>
          <w:ilvl w:val="1"/>
          <w:numId w:val="43"/>
        </w:numPr>
        <w:rPr>
          <w:rFonts w:ascii="Arial" w:cs="Arial" w:eastAsia="Arial" w:hAnsi="Arial"/>
          <w:sz w:val="18"/>
          <w:szCs w:val="18"/>
          <w:color w:val="auto"/>
        </w:rPr>
      </w:pPr>
      <w:r>
        <w:rPr>
          <w:rFonts w:ascii="Arial" w:cs="Arial" w:eastAsia="Arial" w:hAnsi="Arial"/>
          <w:sz w:val="18"/>
          <w:szCs w:val="18"/>
          <w:color w:val="auto"/>
        </w:rPr>
        <w:t>Whenever any Securities are so surrendered for exchange, the Company shall execute, and the Trustee or Authenticating Agent shall authenticate and deliver, the Securities that the Holder making the exchange is entitled to receive.</w:t>
      </w:r>
    </w:p>
    <w:p>
      <w:pPr>
        <w:spacing w:after="0" w:line="170" w:lineRule="exact"/>
        <w:rPr>
          <w:rFonts w:ascii="Arial" w:cs="Arial" w:eastAsia="Arial" w:hAnsi="Arial"/>
          <w:sz w:val="18"/>
          <w:szCs w:val="18"/>
          <w:color w:val="auto"/>
        </w:rPr>
      </w:pPr>
    </w:p>
    <w:p>
      <w:pPr>
        <w:ind w:left="-20" w:right="280" w:firstLine="885"/>
        <w:spacing w:after="0" w:line="277" w:lineRule="auto"/>
        <w:tabs>
          <w:tab w:leader="none" w:pos="11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Exchange of Global Securities for Individual Securities. Except as provided below, owners of beneficial interests in Global Securities will not be entitled to receive Individual Securities.</w:t>
      </w:r>
    </w:p>
    <w:p>
      <w:pPr>
        <w:spacing w:after="0" w:line="62" w:lineRule="exact"/>
        <w:rPr>
          <w:rFonts w:ascii="Arial" w:cs="Arial" w:eastAsia="Arial" w:hAnsi="Arial"/>
          <w:sz w:val="18"/>
          <w:szCs w:val="18"/>
          <w:color w:val="auto"/>
        </w:rPr>
      </w:pPr>
    </w:p>
    <w:p>
      <w:pPr>
        <w:ind w:left="420" w:firstLine="851"/>
        <w:spacing w:after="0" w:line="276" w:lineRule="auto"/>
        <w:tabs>
          <w:tab w:leader="none" w:pos="1481" w:val="left"/>
        </w:tabs>
        <w:numPr>
          <w:ilvl w:val="1"/>
          <w:numId w:val="43"/>
        </w:numPr>
        <w:rPr>
          <w:rFonts w:ascii="Arial" w:cs="Arial" w:eastAsia="Arial" w:hAnsi="Arial"/>
          <w:sz w:val="17"/>
          <w:szCs w:val="17"/>
          <w:color w:val="auto"/>
        </w:rPr>
      </w:pPr>
      <w:r>
        <w:rPr>
          <w:rFonts w:ascii="Arial" w:cs="Arial" w:eastAsia="Arial" w:hAnsi="Arial"/>
          <w:sz w:val="17"/>
          <w:szCs w:val="17"/>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an Company Order stating that such Global Security shall be so exchangeable.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60" w:top="274" w:right="439" w:bottom="1440" w:gutter="0" w:footer="0" w:header="0"/>
        </w:sectPr>
      </w:pPr>
    </w:p>
    <w:bookmarkStart w:id="48" w:name="page49"/>
    <w:bookmarkEnd w:id="48"/>
    <w:p>
      <w:pPr>
        <w:ind w:right="14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80" w:lineRule="exact"/>
        <w:rPr>
          <w:sz w:val="20"/>
          <w:szCs w:val="20"/>
          <w:color w:val="auto"/>
        </w:rPr>
      </w:pPr>
    </w:p>
    <w:p>
      <w:pPr>
        <w:ind w:firstLine="851"/>
        <w:spacing w:after="0" w:line="257" w:lineRule="auto"/>
        <w:tabs>
          <w:tab w:leader="none" w:pos="11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 (y) debit or cause to be debited an equivalent amount of beneficial interest in such Global Security, subject to the rules and regulations of the Depositary:</w:t>
      </w:r>
    </w:p>
    <w:p>
      <w:pPr>
        <w:spacing w:after="0" w:line="80" w:lineRule="exact"/>
        <w:rPr>
          <w:rFonts w:ascii="Arial" w:cs="Arial" w:eastAsia="Arial" w:hAnsi="Arial"/>
          <w:sz w:val="18"/>
          <w:szCs w:val="18"/>
          <w:color w:val="auto"/>
        </w:rPr>
      </w:pPr>
    </w:p>
    <w:p>
      <w:pPr>
        <w:ind w:left="440" w:right="240" w:firstLine="1323"/>
        <w:spacing w:after="0" w:line="277" w:lineRule="auto"/>
        <w:tabs>
          <w:tab w:leader="none" w:pos="205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Security Custodian and Registrar shall notify the Company and the Trustee of such instructions, identifying the owner and amount of such beneficial interest in such Global Security;</w:t>
      </w:r>
    </w:p>
    <w:p>
      <w:pPr>
        <w:spacing w:after="0" w:line="62" w:lineRule="exact"/>
        <w:rPr>
          <w:rFonts w:ascii="Arial" w:cs="Arial" w:eastAsia="Arial" w:hAnsi="Arial"/>
          <w:sz w:val="18"/>
          <w:szCs w:val="18"/>
          <w:color w:val="auto"/>
        </w:rPr>
      </w:pPr>
    </w:p>
    <w:p>
      <w:pPr>
        <w:ind w:left="440" w:right="20" w:firstLine="1323"/>
        <w:spacing w:after="0" w:line="264" w:lineRule="auto"/>
        <w:tabs>
          <w:tab w:leader="none" w:pos="204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73" w:lineRule="exact"/>
        <w:rPr>
          <w:rFonts w:ascii="Arial" w:cs="Arial" w:eastAsia="Arial" w:hAnsi="Arial"/>
          <w:sz w:val="18"/>
          <w:szCs w:val="18"/>
          <w:color w:val="auto"/>
        </w:rPr>
      </w:pPr>
    </w:p>
    <w:p>
      <w:pPr>
        <w:ind w:left="440" w:right="20" w:firstLine="1323"/>
        <w:spacing w:after="0" w:line="255" w:lineRule="auto"/>
        <w:tabs>
          <w:tab w:leader="none" w:pos="204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80" w:top="274" w:right="459" w:bottom="1440" w:gutter="0" w:footer="0" w:header="0"/>
        </w:sectPr>
      </w:pPr>
    </w:p>
    <w:bookmarkStart w:id="49" w:name="page50"/>
    <w:bookmarkEnd w:id="49"/>
    <w:p>
      <w:pPr>
        <w:ind w:left="440" w:right="120" w:firstLine="851"/>
        <w:spacing w:after="0" w:line="259" w:lineRule="auto"/>
        <w:tabs>
          <w:tab w:leader="none" w:pos="1601"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78" w:lineRule="exact"/>
        <w:rPr>
          <w:rFonts w:ascii="Arial" w:cs="Arial" w:eastAsia="Arial" w:hAnsi="Arial"/>
          <w:sz w:val="18"/>
          <w:szCs w:val="18"/>
          <w:color w:val="auto"/>
        </w:rPr>
      </w:pPr>
    </w:p>
    <w:p>
      <w:pPr>
        <w:ind w:left="880" w:right="480" w:firstLine="1323"/>
        <w:spacing w:after="0" w:line="264" w:lineRule="auto"/>
        <w:tabs>
          <w:tab w:leader="none" w:pos="2493"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73" w:lineRule="exact"/>
        <w:rPr>
          <w:rFonts w:ascii="Arial" w:cs="Arial" w:eastAsia="Arial" w:hAnsi="Arial"/>
          <w:sz w:val="18"/>
          <w:szCs w:val="18"/>
          <w:color w:val="auto"/>
        </w:rPr>
      </w:pPr>
    </w:p>
    <w:p>
      <w:pPr>
        <w:ind w:left="880" w:right="400" w:firstLine="1323"/>
        <w:spacing w:after="0" w:line="342" w:lineRule="auto"/>
        <w:tabs>
          <w:tab w:leader="none" w:pos="2483" w:val="left"/>
        </w:tabs>
        <w:numPr>
          <w:ilvl w:val="2"/>
          <w:numId w:val="45"/>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Individual Securities delivered to Holders thereof.</w:t>
      </w:r>
    </w:p>
    <w:p>
      <w:pPr>
        <w:spacing w:after="0" w:line="15" w:lineRule="exact"/>
        <w:rPr>
          <w:rFonts w:ascii="Arial" w:cs="Arial" w:eastAsia="Arial" w:hAnsi="Arial"/>
          <w:sz w:val="16"/>
          <w:szCs w:val="16"/>
          <w:color w:val="auto"/>
        </w:rPr>
      </w:pPr>
    </w:p>
    <w:p>
      <w:pPr>
        <w:ind w:left="440" w:right="200" w:firstLine="851"/>
        <w:spacing w:after="0" w:line="277" w:lineRule="auto"/>
        <w:tabs>
          <w:tab w:leader="none" w:pos="1591"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any exchange provided for in clauses (i) through (iii), the Company will execute and the Trustee will authenticate and deliver Individual Securities in registered form in authorized denominations.</w:t>
      </w:r>
    </w:p>
    <w:p>
      <w:pPr>
        <w:spacing w:after="0" w:line="62" w:lineRule="exact"/>
        <w:rPr>
          <w:rFonts w:ascii="Arial" w:cs="Arial" w:eastAsia="Arial" w:hAnsi="Arial"/>
          <w:sz w:val="18"/>
          <w:szCs w:val="18"/>
          <w:color w:val="auto"/>
        </w:rPr>
      </w:pPr>
    </w:p>
    <w:p>
      <w:pPr>
        <w:jc w:val="both"/>
        <w:ind w:left="440" w:right="280" w:firstLine="851"/>
        <w:spacing w:after="0" w:line="302" w:lineRule="auto"/>
        <w:tabs>
          <w:tab w:leader="none" w:pos="15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46" w:lineRule="exact"/>
        <w:rPr>
          <w:rFonts w:ascii="Arial" w:cs="Arial" w:eastAsia="Arial" w:hAnsi="Arial"/>
          <w:sz w:val="16"/>
          <w:szCs w:val="16"/>
          <w:color w:val="auto"/>
        </w:rPr>
      </w:pPr>
    </w:p>
    <w:p>
      <w:pPr>
        <w:ind w:right="20" w:firstLine="885"/>
        <w:spacing w:after="0" w:line="342" w:lineRule="auto"/>
        <w:tabs>
          <w:tab w:leader="none" w:pos="11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5" w:lineRule="exact"/>
        <w:rPr>
          <w:rFonts w:ascii="Arial" w:cs="Arial" w:eastAsia="Arial" w:hAnsi="Arial"/>
          <w:sz w:val="16"/>
          <w:szCs w:val="16"/>
          <w:color w:val="auto"/>
        </w:rPr>
      </w:pPr>
    </w:p>
    <w:p>
      <w:pPr>
        <w:jc w:val="both"/>
        <w:ind w:firstLine="885"/>
        <w:spacing w:after="0" w:line="286" w:lineRule="auto"/>
        <w:tabs>
          <w:tab w:leader="none" w:pos="1126"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57" w:lineRule="exact"/>
        <w:rPr>
          <w:rFonts w:ascii="Arial" w:cs="Arial" w:eastAsia="Arial" w:hAnsi="Arial"/>
          <w:sz w:val="17"/>
          <w:szCs w:val="17"/>
          <w:color w:val="auto"/>
        </w:rPr>
      </w:pPr>
    </w:p>
    <w:p>
      <w:pPr>
        <w:jc w:val="both"/>
        <w:ind w:right="180" w:firstLine="885"/>
        <w:spacing w:after="0" w:line="259" w:lineRule="auto"/>
        <w:tabs>
          <w:tab w:leader="none" w:pos="1106"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50" w:name="page51"/>
    <w:bookmarkEnd w:id="50"/>
    <w:p>
      <w:pPr>
        <w:jc w:val="both"/>
        <w:ind w:right="120" w:firstLine="885"/>
        <w:spacing w:after="0" w:line="259" w:lineRule="auto"/>
        <w:tabs>
          <w:tab w:leader="none" w:pos="1136"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4.02 and ending at the close of business on the day of such transmission, or (ii) register, transfer or exchange any Security so selected for redemption in whole or in part, except the unredeemed portion of any Security being redeemed in part.</w:t>
      </w:r>
    </w:p>
    <w:p>
      <w:pPr>
        <w:spacing w:after="0" w:line="78" w:lineRule="exact"/>
        <w:rPr>
          <w:rFonts w:ascii="Arial" w:cs="Arial" w:eastAsia="Arial" w:hAnsi="Arial"/>
          <w:sz w:val="18"/>
          <w:szCs w:val="18"/>
          <w:color w:val="auto"/>
        </w:rPr>
      </w:pPr>
    </w:p>
    <w:p>
      <w:pPr>
        <w:ind w:firstLine="885"/>
        <w:spacing w:after="0" w:line="271" w:lineRule="auto"/>
        <w:tabs>
          <w:tab w:leader="none" w:pos="11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case a successor Company (“Successor Company”) has executed an indenture supplemental hereto with the Trustee pursuant to Section 6.04, any of the Securities previously authenticated or delivered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70" w:lineRule="exact"/>
        <w:rPr>
          <w:rFonts w:ascii="Arial" w:cs="Arial" w:eastAsia="Arial" w:hAnsi="Arial"/>
          <w:sz w:val="17"/>
          <w:szCs w:val="17"/>
          <w:color w:val="auto"/>
        </w:rPr>
      </w:pPr>
    </w:p>
    <w:p>
      <w:pPr>
        <w:ind w:right="60" w:firstLine="885"/>
        <w:spacing w:after="0" w:line="279" w:lineRule="auto"/>
        <w:tabs>
          <w:tab w:leader="none" w:pos="10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63" w:lineRule="exact"/>
        <w:rPr>
          <w:rFonts w:ascii="Arial" w:cs="Arial" w:eastAsia="Arial" w:hAnsi="Arial"/>
          <w:sz w:val="17"/>
          <w:szCs w:val="17"/>
          <w:color w:val="auto"/>
        </w:rPr>
      </w:pPr>
    </w:p>
    <w:p>
      <w:pPr>
        <w:ind w:left="1100" w:hanging="215"/>
        <w:spacing w:after="0"/>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Neither the Trustee nor any agent of the Trustee shall have any responsibility for any actions taken or not taken by the Depositary.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55" w:lineRule="auto"/>
        <w:tabs>
          <w:tab w:leader="none" w:pos="11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such that neither gain nor loss in interest shall result from such exchange or substitution.</w:t>
      </w:r>
    </w:p>
    <w:p>
      <w:pPr>
        <w:spacing w:after="0" w:line="81" w:lineRule="exact"/>
        <w:rPr>
          <w:rFonts w:ascii="Arial" w:cs="Arial" w:eastAsia="Arial" w:hAnsi="Arial"/>
          <w:sz w:val="18"/>
          <w:szCs w:val="18"/>
          <w:color w:val="auto"/>
        </w:rPr>
      </w:pPr>
    </w:p>
    <w:p>
      <w:pPr>
        <w:ind w:right="360" w:firstLine="885"/>
        <w:spacing w:after="0" w:line="277" w:lineRule="auto"/>
        <w:tabs>
          <w:tab w:leader="none" w:pos="11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51" w:name="page52"/>
    <w:bookmarkEnd w:id="51"/>
    <w:p>
      <w:pPr>
        <w:ind w:right="60" w:firstLine="885"/>
        <w:spacing w:after="0" w:line="264" w:lineRule="auto"/>
        <w:tabs>
          <w:tab w:leader="none" w:pos="1126"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73" w:lineRule="exact"/>
        <w:rPr>
          <w:rFonts w:ascii="Arial" w:cs="Arial" w:eastAsia="Arial" w:hAnsi="Arial"/>
          <w:sz w:val="18"/>
          <w:szCs w:val="18"/>
          <w:color w:val="auto"/>
        </w:rPr>
      </w:pPr>
    </w:p>
    <w:p>
      <w:pPr>
        <w:ind w:right="80" w:firstLine="885"/>
        <w:spacing w:after="0" w:line="286" w:lineRule="auto"/>
        <w:tabs>
          <w:tab w:leader="none" w:pos="11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57" w:lineRule="exact"/>
        <w:rPr>
          <w:rFonts w:ascii="Arial" w:cs="Arial" w:eastAsia="Arial" w:hAnsi="Arial"/>
          <w:sz w:val="17"/>
          <w:szCs w:val="17"/>
          <w:color w:val="auto"/>
        </w:rPr>
      </w:pPr>
    </w:p>
    <w:p>
      <w:pPr>
        <w:ind w:right="360" w:firstLine="885"/>
        <w:spacing w:after="0" w:line="277" w:lineRule="auto"/>
        <w:tabs>
          <w:tab w:leader="none" w:pos="11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Payment of Interest; Interest Rights Preserved</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55" w:lineRule="auto"/>
        <w:tabs>
          <w:tab w:leader="none" w:pos="11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85" w:lineRule="exact"/>
        <w:rPr>
          <w:rFonts w:ascii="Arial" w:cs="Arial" w:eastAsia="Arial" w:hAnsi="Arial"/>
          <w:sz w:val="18"/>
          <w:szCs w:val="18"/>
          <w:color w:val="auto"/>
        </w:rPr>
      </w:pPr>
    </w:p>
    <w:p>
      <w:pPr>
        <w:ind w:right="40" w:firstLine="885"/>
        <w:spacing w:after="0" w:line="286" w:lineRule="auto"/>
        <w:tabs>
          <w:tab w:leader="none" w:pos="11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57" w:lineRule="exact"/>
        <w:rPr>
          <w:rFonts w:ascii="Arial" w:cs="Arial" w:eastAsia="Arial" w:hAnsi="Arial"/>
          <w:sz w:val="17"/>
          <w:szCs w:val="17"/>
          <w:color w:val="auto"/>
        </w:rPr>
      </w:pPr>
    </w:p>
    <w:p>
      <w:pPr>
        <w:ind w:left="440" w:firstLine="851"/>
        <w:spacing w:after="0" w:line="290" w:lineRule="auto"/>
        <w:tabs>
          <w:tab w:leader="none" w:pos="1501"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52" w:name="page53"/>
    <w:bookmarkEnd w:id="52"/>
    <w:p>
      <w:pPr>
        <w:ind w:left="44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59" w:lineRule="exact"/>
        <w:rPr>
          <w:sz w:val="20"/>
          <w:szCs w:val="20"/>
          <w:color w:val="auto"/>
        </w:rPr>
      </w:pPr>
    </w:p>
    <w:p>
      <w:pPr>
        <w:ind w:left="440" w:right="220" w:firstLine="851"/>
        <w:spacing w:after="0" w:line="259" w:lineRule="auto"/>
        <w:tabs>
          <w:tab w:leader="none" w:pos="1551"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8" w:lineRule="exact"/>
        <w:rPr>
          <w:rFonts w:ascii="Arial" w:cs="Arial" w:eastAsia="Arial" w:hAnsi="Arial"/>
          <w:sz w:val="18"/>
          <w:szCs w:val="18"/>
          <w:color w:val="auto"/>
        </w:rPr>
      </w:pPr>
    </w:p>
    <w:p>
      <w:pPr>
        <w:jc w:val="both"/>
        <w:ind w:right="40" w:firstLine="885"/>
        <w:spacing w:after="0" w:line="264" w:lineRule="auto"/>
        <w:tabs>
          <w:tab w:leader="none" w:pos="1126"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8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Cancellation</w:t>
      </w:r>
      <w:r>
        <w:rPr>
          <w:rFonts w:ascii="Arial" w:cs="Arial" w:eastAsia="Arial" w:hAnsi="Arial"/>
          <w:sz w:val="16"/>
          <w:szCs w:val="16"/>
          <w:color w:val="auto"/>
        </w:rPr>
        <w:t>. 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16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pursuant to Section 3.01 for Securities of any series, interest on the Securities of each series shall be computed on the basis of a 360-day year of twelve 30-day months.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3.11 </w:t>
      </w:r>
      <w:r>
        <w:rPr>
          <w:rFonts w:ascii="Arial" w:cs="Arial" w:eastAsia="Arial" w:hAnsi="Arial"/>
          <w:sz w:val="18"/>
          <w:szCs w:val="18"/>
          <w:u w:val="single" w:color="auto"/>
          <w:color w:val="auto"/>
        </w:rPr>
        <w:t>Currency of Payments in Respect of Securities</w:t>
      </w:r>
      <w:r>
        <w:rPr>
          <w:rFonts w:ascii="Arial" w:cs="Arial" w:eastAsia="Arial" w:hAnsi="Arial"/>
          <w:sz w:val="18"/>
          <w:szCs w:val="18"/>
          <w:color w:val="auto"/>
        </w:rPr>
        <w:t>.</w:t>
      </w:r>
    </w:p>
    <w:p>
      <w:pPr>
        <w:spacing w:after="0" w:line="117" w:lineRule="exact"/>
        <w:rPr>
          <w:sz w:val="20"/>
          <w:szCs w:val="20"/>
          <w:color w:val="auto"/>
        </w:rPr>
      </w:pPr>
    </w:p>
    <w:p>
      <w:pPr>
        <w:ind w:right="100" w:firstLine="885"/>
        <w:spacing w:after="0" w:line="277" w:lineRule="auto"/>
        <w:tabs>
          <w:tab w:leader="none" w:pos="11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specified pursuant to Section 3.01 for Securities of any series, payment of the principal of and premium, if any, and interest on Securities of such series will be made in U.S. Dollars.</w:t>
      </w:r>
    </w:p>
    <w:p>
      <w:pPr>
        <w:spacing w:after="0" w:line="62" w:lineRule="exact"/>
        <w:rPr>
          <w:rFonts w:ascii="Arial" w:cs="Arial" w:eastAsia="Arial" w:hAnsi="Arial"/>
          <w:sz w:val="18"/>
          <w:szCs w:val="18"/>
          <w:color w:val="auto"/>
        </w:rPr>
      </w:pPr>
    </w:p>
    <w:p>
      <w:pPr>
        <w:ind w:right="20" w:firstLine="885"/>
        <w:spacing w:after="0" w:line="255" w:lineRule="auto"/>
        <w:tabs>
          <w:tab w:leader="none" w:pos="11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81" w:lineRule="exact"/>
        <w:rPr>
          <w:rFonts w:ascii="Arial" w:cs="Arial" w:eastAsia="Arial" w:hAnsi="Arial"/>
          <w:sz w:val="18"/>
          <w:szCs w:val="18"/>
          <w:color w:val="auto"/>
        </w:rPr>
      </w:pPr>
    </w:p>
    <w:p>
      <w:pPr>
        <w:ind w:right="20" w:firstLine="885"/>
        <w:spacing w:after="0" w:line="276" w:lineRule="auto"/>
        <w:tabs>
          <w:tab w:leader="none" w:pos="1126"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7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Judgments</w:t>
      </w:r>
      <w:r>
        <w:rPr>
          <w:rFonts w:ascii="Arial" w:cs="Arial" w:eastAsia="Arial" w:hAnsi="Arial"/>
          <w:sz w:val="17"/>
          <w:szCs w:val="17"/>
          <w:color w:val="auto"/>
        </w:rPr>
        <w:t>. 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54" w:name="page55"/>
    <w:bookmarkEnd w:id="54"/>
    <w:p>
      <w:pPr>
        <w:ind w:right="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3.13 </w:t>
      </w:r>
      <w:r>
        <w:rPr>
          <w:rFonts w:ascii="Arial" w:cs="Arial" w:eastAsia="Arial" w:hAnsi="Arial"/>
          <w:sz w:val="18"/>
          <w:szCs w:val="18"/>
          <w:u w:val="single" w:color="auto"/>
          <w:color w:val="auto"/>
        </w:rPr>
        <w:t>CUSIP Numbers</w:t>
      </w:r>
      <w:r>
        <w:rPr>
          <w:rFonts w:ascii="Arial" w:cs="Arial" w:eastAsia="Arial" w:hAnsi="Arial"/>
          <w:sz w:val="18"/>
          <w:szCs w:val="18"/>
          <w:color w:val="auto"/>
        </w:rPr>
        <w:t>. 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REDEMPTION OF SECURITIES</w:t>
      </w:r>
    </w:p>
    <w:p>
      <w:pPr>
        <w:spacing w:after="0" w:line="22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Applicability of Right of Redemption</w:t>
      </w:r>
      <w:r>
        <w:rPr>
          <w:rFonts w:ascii="Arial" w:cs="Arial" w:eastAsia="Arial" w:hAnsi="Arial"/>
          <w:sz w:val="18"/>
          <w:szCs w:val="18"/>
          <w:color w:val="auto"/>
        </w:rPr>
        <w:t>. 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71" w:lineRule="auto"/>
        <w:tabs>
          <w:tab w:leader="none" w:pos="1126"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Company shall at any time elect to redeem all or any portion of the Securities of a series then Outstanding, it shall at least 15 days prior to the Redemption Date fixed by the Company (unless a shorter period shall be satisfactory to the Trustee) notify the Trustee of such Redemption Date and of the principal amount of Securities to be redeemed, and thereupon the Trustee shall select, by lot or in such other manner in accordance with the procedures of the Depositary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70" w:lineRule="exact"/>
        <w:rPr>
          <w:rFonts w:ascii="Arial" w:cs="Arial" w:eastAsia="Arial" w:hAnsi="Arial"/>
          <w:sz w:val="17"/>
          <w:szCs w:val="17"/>
          <w:color w:val="auto"/>
        </w:rPr>
      </w:pPr>
    </w:p>
    <w:p>
      <w:pPr>
        <w:ind w:right="120" w:firstLine="885"/>
        <w:spacing w:after="0" w:line="259" w:lineRule="auto"/>
        <w:tabs>
          <w:tab w:leader="none" w:pos="1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80" w:firstLine="885"/>
        <w:spacing w:after="0" w:line="273" w:lineRule="auto"/>
        <w:tabs>
          <w:tab w:leader="none" w:pos="1126"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Notice of redemption shall be given by the Company or, at the Company’s request, by the Trustee in the name and at the expense of the Company, not less than 10 nor more than 60 days prior to the Redemption Date (unless a shorter period shall be satisfactory to the Trustee),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70" w:lineRule="exact"/>
        <w:rPr>
          <w:rFonts w:ascii="Arial" w:cs="Arial" w:eastAsia="Arial" w:hAnsi="Arial"/>
          <w:sz w:val="17"/>
          <w:szCs w:val="17"/>
          <w:color w:val="auto"/>
        </w:rPr>
      </w:pPr>
    </w:p>
    <w:p>
      <w:pPr>
        <w:ind w:right="400" w:firstLine="885"/>
        <w:spacing w:after="0" w:line="277" w:lineRule="auto"/>
        <w:tabs>
          <w:tab w:leader="none" w:pos="11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notices of redemption shall identify the Securities to be redeemed (including CUSIP, ISIN or other similar numbers, if available along with the statement in Section 3.13) and shall state:</w:t>
      </w:r>
    </w:p>
    <w:p>
      <w:pPr>
        <w:spacing w:after="0" w:line="62" w:lineRule="exact"/>
        <w:rPr>
          <w:rFonts w:ascii="Arial" w:cs="Arial" w:eastAsia="Arial" w:hAnsi="Arial"/>
          <w:sz w:val="18"/>
          <w:szCs w:val="18"/>
          <w:color w:val="auto"/>
        </w:rPr>
      </w:pPr>
    </w:p>
    <w:p>
      <w:pPr>
        <w:ind w:left="440" w:right="80" w:firstLine="851"/>
        <w:spacing w:after="0" w:line="277" w:lineRule="auto"/>
        <w:tabs>
          <w:tab w:leader="none" w:pos="15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62" w:lineRule="exact"/>
        <w:rPr>
          <w:rFonts w:ascii="Arial" w:cs="Arial" w:eastAsia="Arial" w:hAnsi="Arial"/>
          <w:sz w:val="18"/>
          <w:szCs w:val="18"/>
          <w:color w:val="auto"/>
        </w:rPr>
      </w:pPr>
    </w:p>
    <w:p>
      <w:pPr>
        <w:ind w:left="1560" w:hanging="269"/>
        <w:spacing w:after="0"/>
        <w:tabs>
          <w:tab w:leader="none" w:pos="15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600" w:hanging="309"/>
        <w:spacing w:after="0"/>
        <w:tabs>
          <w:tab w:leader="none" w:pos="1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40" w:right="240" w:firstLine="851"/>
        <w:spacing w:after="0" w:line="277" w:lineRule="auto"/>
        <w:tabs>
          <w:tab w:leader="none" w:pos="1591"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amounts) of the Securities of such series to be redeemed;</w:t>
      </w:r>
    </w:p>
    <w:p>
      <w:pPr>
        <w:spacing w:after="0" w:line="62" w:lineRule="exact"/>
        <w:rPr>
          <w:rFonts w:ascii="Arial" w:cs="Arial" w:eastAsia="Arial" w:hAnsi="Arial"/>
          <w:sz w:val="18"/>
          <w:szCs w:val="18"/>
          <w:color w:val="auto"/>
        </w:rPr>
      </w:pPr>
    </w:p>
    <w:p>
      <w:pPr>
        <w:ind w:left="440" w:firstLine="851"/>
        <w:spacing w:after="0" w:line="277" w:lineRule="auto"/>
        <w:tabs>
          <w:tab w:leader="none" w:pos="154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that, if applicable, interest thereon shall cease to accrue on and after said date;</w:t>
      </w:r>
    </w:p>
    <w:p>
      <w:pPr>
        <w:spacing w:after="0" w:line="62" w:lineRule="exact"/>
        <w:rPr>
          <w:rFonts w:ascii="Arial" w:cs="Arial" w:eastAsia="Arial" w:hAnsi="Arial"/>
          <w:sz w:val="18"/>
          <w:szCs w:val="18"/>
          <w:color w:val="auto"/>
        </w:rPr>
      </w:pPr>
    </w:p>
    <w:p>
      <w:pPr>
        <w:ind w:left="1600" w:hanging="309"/>
        <w:spacing w:after="0"/>
        <w:tabs>
          <w:tab w:leader="none" w:pos="1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are to be surrendered for payment of the Redemption Price;</w:t>
      </w:r>
    </w:p>
    <w:p>
      <w:pPr>
        <w:spacing w:after="0" w:line="117" w:lineRule="exact"/>
        <w:rPr>
          <w:rFonts w:ascii="Arial" w:cs="Arial" w:eastAsia="Arial" w:hAnsi="Arial"/>
          <w:sz w:val="18"/>
          <w:szCs w:val="18"/>
          <w:color w:val="auto"/>
        </w:rPr>
      </w:pPr>
    </w:p>
    <w:p>
      <w:pPr>
        <w:ind w:left="1640" w:hanging="349"/>
        <w:spacing w:after="0"/>
        <w:tabs>
          <w:tab w:leader="none" w:pos="1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1700" w:hanging="409"/>
        <w:spacing w:after="0"/>
        <w:tabs>
          <w:tab w:leader="none" w:pos="1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225"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56" w:name="page57"/>
    <w:bookmarkEnd w:id="56"/>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4.05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 Notice of redemption having been given as aforesaid, any Securities so to be redeemed shall, on the Redemption Date, become due and payable at the Redemption Price, subject to any condition stated therein, and from and after such date (unless the Company shall Default in the payment of the Redemption Price) such Securities shall cease to bear interest unless subject to a condition precedent that has not been satisfied.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8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thereof and premium, if any, thereon shall, until paid, bear interest from the Redemption Date at the rate borne by or prescribed in such Securities.</w:t>
      </w:r>
    </w:p>
    <w:p>
      <w:pPr>
        <w:spacing w:after="0" w:line="170"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If any condition precedent has not been satisfied, the Company shall provide written notice to the Trustee prior to the close of business at least two Business Days prior to the Redemption Date (unless a shorter period of time shall be agreed to by the Trustee). Upon receipt of such notice, the notice of redemption shall be rescinded and the redemption of the series of Securities shall not occur. Upon receipt, the Trustee shall provide such notice to each Holder of the Securities that were to be redeemed in the same manner in which the notice of redemption was given.</w:t>
      </w:r>
    </w:p>
    <w:p>
      <w:pPr>
        <w:spacing w:after="0" w:line="171"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Securities Redeemed in Part</w:t>
      </w:r>
      <w:r>
        <w:rPr>
          <w:rFonts w:ascii="Arial" w:cs="Arial" w:eastAsia="Arial" w:hAnsi="Arial"/>
          <w:sz w:val="17"/>
          <w:szCs w:val="17"/>
          <w:color w:val="auto"/>
        </w:rPr>
        <w:t>. Any Security that is to be redeemed only in part shall be surrendered at the Corporate Trust Office or such other office or agency of the Company as is specified in the notice of redemption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SINKING FUNDS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Applicability of Sinking Fund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57" w:name="page58"/>
    <w:bookmarkEnd w:id="57"/>
    <w:p>
      <w:pPr>
        <w:ind w:firstLine="885"/>
        <w:spacing w:after="0" w:line="259" w:lineRule="auto"/>
        <w:tabs>
          <w:tab w:leader="none" w:pos="1126"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Article IV for Securities of such series, provided, however, that if any such terms of a series of Securities shall conflict with any provision of this Article, the terms of such series shall govern.</w:t>
      </w:r>
    </w:p>
    <w:p>
      <w:pPr>
        <w:spacing w:after="0" w:line="78" w:lineRule="exact"/>
        <w:rPr>
          <w:rFonts w:ascii="Arial" w:cs="Arial" w:eastAsia="Arial" w:hAnsi="Arial"/>
          <w:sz w:val="18"/>
          <w:szCs w:val="18"/>
          <w:color w:val="auto"/>
        </w:rPr>
      </w:pPr>
    </w:p>
    <w:p>
      <w:pPr>
        <w:ind w:firstLine="885"/>
        <w:spacing w:after="0" w:line="259" w:lineRule="auto"/>
        <w:tabs>
          <w:tab w:leader="none" w:pos="11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87"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Mandatory Sinking Fund Obligation</w:t>
      </w:r>
      <w:r>
        <w:rPr>
          <w:rFonts w:ascii="Arial" w:cs="Arial" w:eastAsia="Arial" w:hAnsi="Arial"/>
          <w:sz w:val="16"/>
          <w:szCs w:val="16"/>
          <w:color w:val="auto"/>
        </w:rPr>
        <w:t>. The Company may, at its option, satisfy any Mandatory Sinking Fund Payment obligation, in whole or in part, with respect to a particular series of Securities by (a) delivering to the Trustee Securities of such series in transferable form theretofore purchased or otherwise acquired by the Company or redeemed at the election of the Company pursuant to Article IV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6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Optional Redemption at Sinking Fund Redemption Price</w:t>
      </w:r>
      <w:r>
        <w:rPr>
          <w:rFonts w:ascii="Arial" w:cs="Arial" w:eastAsia="Arial" w:hAnsi="Arial"/>
          <w:sz w:val="16"/>
          <w:szCs w:val="16"/>
          <w:color w:val="auto"/>
        </w:rPr>
        <w:t>. 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58" w:name="page59"/>
    <w:bookmarkEnd w:id="58"/>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5.04 </w:t>
      </w:r>
      <w:r>
        <w:rPr>
          <w:rFonts w:ascii="Arial" w:cs="Arial" w:eastAsia="Arial" w:hAnsi="Arial"/>
          <w:sz w:val="18"/>
          <w:szCs w:val="18"/>
          <w:u w:val="single" w:color="auto"/>
          <w:color w:val="auto"/>
        </w:rPr>
        <w:t>Application of Sinking Fund Payment</w:t>
      </w:r>
      <w:r>
        <w:rPr>
          <w:rFonts w:ascii="Arial" w:cs="Arial" w:eastAsia="Arial" w:hAnsi="Arial"/>
          <w:sz w:val="18"/>
          <w:szCs w:val="18"/>
          <w:color w:val="auto"/>
        </w:rPr>
        <w:t>.</w:t>
      </w:r>
    </w:p>
    <w:p>
      <w:pPr>
        <w:spacing w:after="0" w:line="117" w:lineRule="exact"/>
        <w:rPr>
          <w:sz w:val="20"/>
          <w:szCs w:val="20"/>
          <w:color w:val="auto"/>
        </w:rPr>
      </w:pPr>
    </w:p>
    <w:p>
      <w:pPr>
        <w:ind w:left="-60" w:firstLine="885"/>
        <w:spacing w:after="0" w:line="268" w:lineRule="auto"/>
        <w:tabs>
          <w:tab w:leader="none" w:pos="1066"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77" w:lineRule="exact"/>
        <w:rPr>
          <w:rFonts w:ascii="Arial" w:cs="Arial" w:eastAsia="Arial" w:hAnsi="Arial"/>
          <w:sz w:val="17"/>
          <w:szCs w:val="17"/>
          <w:color w:val="auto"/>
        </w:rPr>
      </w:pPr>
    </w:p>
    <w:p>
      <w:pPr>
        <w:ind w:left="-60" w:right="500" w:firstLine="885"/>
        <w:spacing w:after="0" w:line="342" w:lineRule="auto"/>
        <w:tabs>
          <w:tab w:leader="none" w:pos="10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5" w:lineRule="exact"/>
        <w:rPr>
          <w:rFonts w:ascii="Arial" w:cs="Arial" w:eastAsia="Arial" w:hAnsi="Arial"/>
          <w:sz w:val="16"/>
          <w:szCs w:val="16"/>
          <w:color w:val="auto"/>
        </w:rPr>
      </w:pPr>
    </w:p>
    <w:p>
      <w:pPr>
        <w:ind w:left="-60" w:right="40" w:firstLine="885"/>
        <w:spacing w:after="0" w:line="270" w:lineRule="auto"/>
        <w:tabs>
          <w:tab w:leader="none" w:pos="106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500" w:top="274" w:right="4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u w:val="single" w:color="auto"/>
          <w:color w:val="auto"/>
        </w:rPr>
        <w:t>PARTICULAR COVENANTS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covenants and agrees as follows:</w:t>
      </w:r>
    </w:p>
    <w:p>
      <w:pPr>
        <w:spacing w:after="0" w:line="117"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Payments of Securities</w:t>
      </w:r>
      <w:r>
        <w:rPr>
          <w:rFonts w:ascii="Arial" w:cs="Arial" w:eastAsia="Arial" w:hAnsi="Arial"/>
          <w:sz w:val="16"/>
          <w:szCs w:val="16"/>
          <w:color w:val="auto"/>
        </w:rPr>
        <w:t>. 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Paying Agent</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72" w:lineRule="auto"/>
        <w:tabs>
          <w:tab w:leader="none" w:pos="11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will maintain in each Place of Payment for any series of Securities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(but not service of process) may be made at the Corporate Trust Office of the Trustee, and the Company hereby appoints the Trustee as Paying Agent to receive all presentations, surrenders, notices and demands.</w:t>
      </w:r>
    </w:p>
    <w:p>
      <w:pPr>
        <w:spacing w:after="0" w:line="69" w:lineRule="exact"/>
        <w:rPr>
          <w:rFonts w:ascii="Arial" w:cs="Arial" w:eastAsia="Arial" w:hAnsi="Arial"/>
          <w:sz w:val="17"/>
          <w:szCs w:val="17"/>
          <w:color w:val="auto"/>
        </w:rPr>
      </w:pPr>
    </w:p>
    <w:p>
      <w:pPr>
        <w:ind w:firstLine="885"/>
        <w:spacing w:after="0" w:line="291" w:lineRule="auto"/>
        <w:tabs>
          <w:tab w:leader="none" w:pos="11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To Hold Payment in Trust</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72" w:lineRule="auto"/>
        <w:tabs>
          <w:tab w:leader="none" w:pos="1126"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60" w:name="page61"/>
    <w:bookmarkEnd w:id="60"/>
    <w:p>
      <w:pPr>
        <w:ind w:left="-20" w:right="20" w:firstLine="885"/>
        <w:spacing w:after="0" w:line="273" w:lineRule="auto"/>
        <w:tabs>
          <w:tab w:leader="none" w:pos="1116"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70" w:lineRule="exact"/>
        <w:rPr>
          <w:rFonts w:ascii="Arial" w:cs="Arial" w:eastAsia="Arial" w:hAnsi="Arial"/>
          <w:sz w:val="17"/>
          <w:szCs w:val="17"/>
          <w:color w:val="auto"/>
        </w:rPr>
      </w:pPr>
    </w:p>
    <w:p>
      <w:pPr>
        <w:ind w:left="-20" w:right="160" w:firstLine="885"/>
        <w:spacing w:after="0" w:line="342" w:lineRule="auto"/>
        <w:tabs>
          <w:tab w:leader="none" w:pos="11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15" w:lineRule="exact"/>
        <w:rPr>
          <w:rFonts w:ascii="Arial" w:cs="Arial" w:eastAsia="Arial" w:hAnsi="Arial"/>
          <w:sz w:val="16"/>
          <w:szCs w:val="16"/>
          <w:color w:val="auto"/>
        </w:rPr>
      </w:pPr>
    </w:p>
    <w:p>
      <w:pPr>
        <w:ind w:left="420" w:right="40" w:firstLine="851"/>
        <w:spacing w:after="0" w:line="342" w:lineRule="auto"/>
        <w:tabs>
          <w:tab w:leader="none" w:pos="1481" w:val="left"/>
        </w:tabs>
        <w:numPr>
          <w:ilvl w:val="1"/>
          <w:numId w:val="60"/>
        </w:numPr>
        <w:rPr>
          <w:rFonts w:ascii="Arial" w:cs="Arial" w:eastAsia="Arial" w:hAnsi="Arial"/>
          <w:sz w:val="16"/>
          <w:szCs w:val="16"/>
          <w:color w:val="auto"/>
        </w:rPr>
      </w:pPr>
      <w:r>
        <w:rPr>
          <w:rFonts w:ascii="Arial" w:cs="Arial" w:eastAsia="Arial" w:hAnsi="Arial"/>
          <w:sz w:val="16"/>
          <w:szCs w:val="16"/>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15" w:lineRule="exact"/>
        <w:rPr>
          <w:rFonts w:ascii="Arial" w:cs="Arial" w:eastAsia="Arial" w:hAnsi="Arial"/>
          <w:sz w:val="16"/>
          <w:szCs w:val="16"/>
          <w:color w:val="auto"/>
        </w:rPr>
      </w:pPr>
    </w:p>
    <w:p>
      <w:pPr>
        <w:ind w:left="420" w:right="220" w:firstLine="851"/>
        <w:spacing w:after="0" w:line="277" w:lineRule="auto"/>
        <w:tabs>
          <w:tab w:leader="none" w:pos="1531" w:val="left"/>
        </w:tabs>
        <w:numPr>
          <w:ilvl w:val="1"/>
          <w:numId w:val="60"/>
        </w:numPr>
        <w:rPr>
          <w:rFonts w:ascii="Arial" w:cs="Arial" w:eastAsia="Arial" w:hAnsi="Arial"/>
          <w:sz w:val="18"/>
          <w:szCs w:val="18"/>
          <w:color w:val="auto"/>
        </w:rPr>
      </w:pPr>
      <w:r>
        <w:rPr>
          <w:rFonts w:ascii="Arial" w:cs="Arial" w:eastAsia="Arial" w:hAnsi="Arial"/>
          <w:sz w:val="18"/>
          <w:szCs w:val="18"/>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62" w:lineRule="exact"/>
        <w:rPr>
          <w:rFonts w:ascii="Arial" w:cs="Arial" w:eastAsia="Arial" w:hAnsi="Arial"/>
          <w:sz w:val="18"/>
          <w:szCs w:val="18"/>
          <w:color w:val="auto"/>
        </w:rPr>
      </w:pPr>
    </w:p>
    <w:p>
      <w:pPr>
        <w:ind w:left="420" w:firstLine="851"/>
        <w:spacing w:after="0" w:line="277" w:lineRule="auto"/>
        <w:tabs>
          <w:tab w:leader="none" w:pos="158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pay to the Trustee all sums so held in trust by such Paying Agent.</w:t>
      </w:r>
    </w:p>
    <w:p>
      <w:pPr>
        <w:spacing w:after="0" w:line="62" w:lineRule="exact"/>
        <w:rPr>
          <w:rFonts w:ascii="Arial" w:cs="Arial" w:eastAsia="Arial" w:hAnsi="Arial"/>
          <w:sz w:val="18"/>
          <w:szCs w:val="18"/>
          <w:color w:val="auto"/>
        </w:rPr>
      </w:pPr>
    </w:p>
    <w:p>
      <w:pPr>
        <w:ind w:left="-20" w:right="40" w:firstLine="885"/>
        <w:spacing w:after="0" w:line="259" w:lineRule="auto"/>
        <w:tabs>
          <w:tab w:leader="none" w:pos="11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78" w:lineRule="exact"/>
        <w:rPr>
          <w:rFonts w:ascii="Arial" w:cs="Arial" w:eastAsia="Arial" w:hAnsi="Arial"/>
          <w:sz w:val="18"/>
          <w:szCs w:val="18"/>
          <w:color w:val="auto"/>
        </w:rPr>
      </w:pPr>
    </w:p>
    <w:p>
      <w:pPr>
        <w:ind w:left="-20" w:right="20" w:firstLine="885"/>
        <w:spacing w:after="0" w:line="293" w:lineRule="auto"/>
        <w:tabs>
          <w:tab w:leader="none" w:pos="11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60" w:top="274" w:right="439" w:bottom="1440" w:gutter="0" w:footer="0" w:header="0"/>
        </w:sectPr>
      </w:pPr>
    </w:p>
    <w:bookmarkStart w:id="61" w:name="page62"/>
    <w:bookmarkEnd w:id="61"/>
    <w:p>
      <w:pPr>
        <w:ind w:right="1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6.04 </w:t>
      </w:r>
      <w:r>
        <w:rPr>
          <w:rFonts w:ascii="Arial" w:cs="Arial" w:eastAsia="Arial" w:hAnsi="Arial"/>
          <w:sz w:val="18"/>
          <w:szCs w:val="18"/>
          <w:u w:val="single" w:color="auto"/>
          <w:color w:val="auto"/>
        </w:rPr>
        <w:t>Merger, Consolidation and Sale of Assets</w:t>
      </w:r>
      <w:r>
        <w:rPr>
          <w:rFonts w:ascii="Arial" w:cs="Arial" w:eastAsia="Arial" w:hAnsi="Arial"/>
          <w:sz w:val="18"/>
          <w:szCs w:val="18"/>
          <w:color w:val="auto"/>
        </w:rPr>
        <w:t>. Except as otherwise provided as contemplated by Section 3.01 with respect to any series of Securities:</w:t>
      </w:r>
    </w:p>
    <w:p>
      <w:pPr>
        <w:spacing w:after="0" w:line="62" w:lineRule="exact"/>
        <w:rPr>
          <w:sz w:val="20"/>
          <w:szCs w:val="20"/>
          <w:color w:val="auto"/>
        </w:rPr>
      </w:pPr>
    </w:p>
    <w:p>
      <w:pPr>
        <w:ind w:right="40" w:firstLine="885"/>
        <w:spacing w:after="0" w:line="290" w:lineRule="auto"/>
        <w:tabs>
          <w:tab w:leader="none" w:pos="11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will not consolidate with any other entity or permit a merger of any other entity into the Company or permit the Company to be merged into any other entity, or sell, convey, transfer or lease all or substantially all its assets to another entity, unless (i) either the Company shall be the continuing entity, or the successor, transferee or lessee entity (if other than the Company) shall expressly assume, by indenture supplemental hereto, executed and delivered by such entity prior to or simultaneously with such consolidation, merger, sale, conveyance, transfer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and (ii) immediately after such consolidation, merger, sale, conveyance, transfer or lease the Company or the successor, transferee or lessee entity (if other than the Company) would not be in Default in the performance of any covenant or condition of this Indenture.</w:t>
      </w:r>
    </w:p>
    <w:p>
      <w:pPr>
        <w:spacing w:after="0" w:line="58" w:lineRule="exact"/>
        <w:rPr>
          <w:rFonts w:ascii="Arial" w:cs="Arial" w:eastAsia="Arial" w:hAnsi="Arial"/>
          <w:sz w:val="16"/>
          <w:szCs w:val="16"/>
          <w:color w:val="auto"/>
        </w:rPr>
      </w:pPr>
    </w:p>
    <w:p>
      <w:pPr>
        <w:ind w:firstLine="885"/>
        <w:spacing w:after="0" w:line="269" w:lineRule="auto"/>
        <w:tabs>
          <w:tab w:leader="none" w:pos="1136" w:val="left"/>
        </w:tabs>
        <w:numPr>
          <w:ilvl w:val="0"/>
          <w:numId w:val="61"/>
        </w:numPr>
        <w:rPr>
          <w:rFonts w:ascii="Arial" w:cs="Arial" w:eastAsia="Arial" w:hAnsi="Arial"/>
          <w:sz w:val="17"/>
          <w:szCs w:val="17"/>
          <w:color w:val="auto"/>
        </w:rPr>
      </w:pPr>
      <w:r>
        <w:rPr>
          <w:rFonts w:ascii="Arial" w:cs="Arial" w:eastAsia="Arial" w:hAnsi="Arial"/>
          <w:sz w:val="17"/>
          <w:szCs w:val="17"/>
          <w:color w:val="auto"/>
        </w:rPr>
        <w:t>Upon any consolidation with or merger into any other entity, or any sale, conveyance or transfer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83"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Except as otherwise provided as contemplated by Section 3.01 with respect to any series of Securities, the Company shall furnish to the Trustee annually, within 120 days after the end of each fiscal year, a brief certificate from an Officer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62" w:name="page63"/>
    <w:bookmarkEnd w:id="62"/>
    <w:p>
      <w:pPr>
        <w:ind w:firstLine="44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6.06 </w:t>
      </w:r>
      <w:r>
        <w:rPr>
          <w:rFonts w:ascii="Arial" w:cs="Arial" w:eastAsia="Arial" w:hAnsi="Arial"/>
          <w:sz w:val="16"/>
          <w:szCs w:val="16"/>
          <w:u w:val="single" w:color="auto"/>
          <w:color w:val="auto"/>
        </w:rPr>
        <w:t>Conditional Waiver by Holders of Securities</w:t>
      </w:r>
      <w:r>
        <w:rPr>
          <w:rFonts w:ascii="Arial" w:cs="Arial" w:eastAsia="Arial" w:hAnsi="Arial"/>
          <w:sz w:val="16"/>
          <w:szCs w:val="16"/>
          <w:color w:val="auto"/>
        </w:rPr>
        <w:t>. 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6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REMEDIES OF TRUSTEE AND SECURITYHOLDERS</w:t>
      </w:r>
    </w:p>
    <w:p>
      <w:pPr>
        <w:spacing w:after="0" w:line="229"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Except where otherwise indicated by the context or where the term is otherwise defined for a specific purpose, the term “Event of Default” as used in this Indenture with respect to Securities of any series shall mean any of the following described events unless it is either inapplicable to a particular series or it is specifically deleted or modified in the manner contemplated in Section 3.01:</w:t>
      </w:r>
    </w:p>
    <w:p>
      <w:pPr>
        <w:spacing w:after="0" w:line="57" w:lineRule="exact"/>
        <w:rPr>
          <w:sz w:val="20"/>
          <w:szCs w:val="20"/>
          <w:color w:val="auto"/>
        </w:rPr>
      </w:pPr>
    </w:p>
    <w:p>
      <w:pPr>
        <w:ind w:right="60" w:firstLine="885"/>
        <w:spacing w:after="0" w:line="277" w:lineRule="auto"/>
        <w:tabs>
          <w:tab w:leader="none" w:pos="11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of the Company to pay any installment of interest on any Security of such series when and as the same shall become payable, which failure shall have continued unremedied for a period of 30 days;</w:t>
      </w:r>
    </w:p>
    <w:p>
      <w:pPr>
        <w:spacing w:after="0" w:line="62" w:lineRule="exact"/>
        <w:rPr>
          <w:rFonts w:ascii="Arial" w:cs="Arial" w:eastAsia="Arial" w:hAnsi="Arial"/>
          <w:sz w:val="18"/>
          <w:szCs w:val="18"/>
          <w:color w:val="auto"/>
        </w:rPr>
      </w:pPr>
    </w:p>
    <w:p>
      <w:pPr>
        <w:ind w:right="160" w:firstLine="885"/>
        <w:spacing w:after="0" w:line="264" w:lineRule="auto"/>
        <w:tabs>
          <w:tab w:leader="none" w:pos="11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of the Company to pay the principal of (and premium, if any, on) any Security of such series, when and as the same shall become payable, whether at Maturity as therein expressed, by call for redemption (otherwise than pursuant to a sinking fund), upon acceleration under this Indenture or otherwise;</w:t>
      </w:r>
    </w:p>
    <w:p>
      <w:pPr>
        <w:spacing w:after="0" w:line="73" w:lineRule="exact"/>
        <w:rPr>
          <w:rFonts w:ascii="Arial" w:cs="Arial" w:eastAsia="Arial" w:hAnsi="Arial"/>
          <w:sz w:val="18"/>
          <w:szCs w:val="18"/>
          <w:color w:val="auto"/>
        </w:rPr>
      </w:pPr>
    </w:p>
    <w:p>
      <w:pPr>
        <w:ind w:right="520" w:firstLine="885"/>
        <w:spacing w:after="0" w:line="277" w:lineRule="auto"/>
        <w:tabs>
          <w:tab w:leader="none" w:pos="11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63" w:name="page64"/>
    <w:bookmarkEnd w:id="63"/>
    <w:p>
      <w:pPr>
        <w:ind w:firstLine="885"/>
        <w:spacing w:after="0" w:line="254" w:lineRule="auto"/>
        <w:tabs>
          <w:tab w:leader="none" w:pos="113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failure of the Company, subject to the provisions of Section 6.06, to perform any covenants or satisfy any conditions contained in this Indenture (or the terms of the Securities of such series or a supplemental indenture establishing such series) (other than a covenant or condition which has been expressly included in this Indenture solely for the benefit of a series of Securities other than that series and other than a covenant or condition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84" w:lineRule="exact"/>
        <w:rPr>
          <w:rFonts w:ascii="Arial" w:cs="Arial" w:eastAsia="Arial" w:hAnsi="Arial"/>
          <w:sz w:val="18"/>
          <w:szCs w:val="18"/>
          <w:color w:val="auto"/>
        </w:rPr>
      </w:pPr>
    </w:p>
    <w:p>
      <w:pPr>
        <w:ind w:right="100" w:firstLine="885"/>
        <w:spacing w:after="0" w:line="257" w:lineRule="auto"/>
        <w:tabs>
          <w:tab w:leader="none" w:pos="112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80" w:lineRule="exact"/>
        <w:rPr>
          <w:rFonts w:ascii="Arial" w:cs="Arial" w:eastAsia="Arial" w:hAnsi="Arial"/>
          <w:sz w:val="18"/>
          <w:szCs w:val="18"/>
          <w:color w:val="auto"/>
        </w:rPr>
      </w:pPr>
    </w:p>
    <w:p>
      <w:pPr>
        <w:ind w:right="20" w:firstLine="885"/>
        <w:spacing w:after="0" w:line="273" w:lineRule="auto"/>
        <w:tabs>
          <w:tab w:leader="none" w:pos="110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70" w:lineRule="exact"/>
        <w:rPr>
          <w:rFonts w:ascii="Arial" w:cs="Arial" w:eastAsia="Arial" w:hAnsi="Arial"/>
          <w:sz w:val="17"/>
          <w:szCs w:val="17"/>
          <w:color w:val="auto"/>
        </w:rPr>
      </w:pPr>
    </w:p>
    <w:p>
      <w:pPr>
        <w:ind w:left="1140" w:hanging="255"/>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occurrence of any other Event of Default with respect to Securities of such series as provided in Section 3.01;</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provided, however, that no event described in clause (d) or (other than with respect to a payment default) (g) above shall constitute an Event of Default hereunder until the Trustee or the Holders of 25% or more in aggregate principal amount of the Securities of such series the Outstanding, notify the Company (and the Trustee in case of notice by the Holders) of the Default, specifying the Default, requiring the Company to remedy the same and stating that such notice is a “Notice of Default” hereunder.</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64" w:name="page65"/>
    <w:bookmarkEnd w:id="64"/>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Acceleration; Rescission and Annulment</w:t>
      </w:r>
      <w:r>
        <w:rPr>
          <w:rFonts w:ascii="Arial" w:cs="Arial" w:eastAsia="Arial" w:hAnsi="Arial"/>
          <w:sz w:val="18"/>
          <w:szCs w:val="18"/>
          <w:color w:val="auto"/>
        </w:rPr>
        <w:t>.</w:t>
      </w:r>
    </w:p>
    <w:p>
      <w:pPr>
        <w:spacing w:after="0" w:line="117" w:lineRule="exact"/>
        <w:rPr>
          <w:sz w:val="20"/>
          <w:szCs w:val="20"/>
          <w:color w:val="auto"/>
        </w:rPr>
      </w:pPr>
    </w:p>
    <w:p>
      <w:pPr>
        <w:ind w:right="100" w:firstLine="885"/>
        <w:spacing w:after="0" w:line="286" w:lineRule="auto"/>
        <w:tabs>
          <w:tab w:leader="none" w:pos="1126"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and unpaid interest on all the Securities of such series then Outstanding to be due and payable immediately by a notice in writing to the Company (and to the Trustee if given by Holders), and upon any such acceleration such principal amount (or specified amount) and accrued and unpaid interest thereon shall become immediately due and payable. If an Event of Default specified in Section 7.01(e) or 7.01(f) occurs and is continuing, then in every such case, the principal amount (or, if the Securities of that series are Original Issue Discount Securities, such portion of the principal amount as may be specified by the terms of that series) of and accrued and unpaid interest on all of the Securities of that series then Outstanding shall automatically, and without any acceleration or any other action on the part of the Trustee or any Holder, become due and payable immediately. Upon payment of such amounts in the Currency in which such Securities are denominated (subject to the last paragraph of Section 7.01 and except as otherwise provided pursuant to Section 3.01), all obligations of the Company in respect of the payment of principal of and interest on the Securities of such series shall terminate.</w:t>
      </w:r>
    </w:p>
    <w:p>
      <w:pPr>
        <w:spacing w:after="0" w:line="66" w:lineRule="exact"/>
        <w:rPr>
          <w:rFonts w:ascii="Arial" w:cs="Arial" w:eastAsia="Arial" w:hAnsi="Arial"/>
          <w:sz w:val="16"/>
          <w:szCs w:val="16"/>
          <w:color w:val="auto"/>
        </w:rPr>
      </w:pPr>
    </w:p>
    <w:p>
      <w:pPr>
        <w:ind w:firstLine="885"/>
        <w:spacing w:after="0" w:line="276" w:lineRule="auto"/>
        <w:tabs>
          <w:tab w:leader="none" w:pos="113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provisions of Section 7.02(a), however, are subject to the condition that, at any time after the principal and accrued and unpaid interest on all the Securities of such series, to which any one or more of the above-described Events of Default is applicable, shall have been so declared to be or shall have automatically become due and payable, and before a judgment or decree for payment of the money due has been obtained by the Trustee as hereinafter provided in this Article, Holders of a majority in principal amount of the Securities of that Series then Outstanding, by written notice to the Company and the Trustee, may rescind and annual such acceleration if:</w:t>
      </w:r>
    </w:p>
    <w:p>
      <w:pPr>
        <w:spacing w:after="0" w:line="64" w:lineRule="exact"/>
        <w:rPr>
          <w:rFonts w:ascii="Arial" w:cs="Arial" w:eastAsia="Arial" w:hAnsi="Arial"/>
          <w:sz w:val="17"/>
          <w:szCs w:val="17"/>
          <w:color w:val="auto"/>
        </w:rPr>
      </w:pPr>
    </w:p>
    <w:p>
      <w:pPr>
        <w:jc w:val="both"/>
        <w:ind w:left="440" w:right="780" w:firstLine="851"/>
        <w:spacing w:after="0" w:line="342" w:lineRule="auto"/>
        <w:tabs>
          <w:tab w:leader="none" w:pos="1501"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or Paying Agent a sum in the Currency in which such Securities are denominated (subject to the last paragraph of Section 7.01 and except as otherwise provided pursuant to Section 3.01) sufficient to pay:</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65" w:name="page66"/>
    <w:bookmarkEnd w:id="65"/>
    <w:p>
      <w:pPr>
        <w:ind w:left="880" w:right="60" w:firstLine="1323"/>
        <w:spacing w:after="0" w:line="277" w:lineRule="auto"/>
        <w:tabs>
          <w:tab w:leader="none" w:pos="2493" w:val="left"/>
        </w:tabs>
        <w:numPr>
          <w:ilvl w:val="2"/>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amounts owing the Trustee and any predecessor trustee hereunder under Section 11.01(a) (provided, however, that all sums payable under this clause (A) shall be paid in U.S. Dollars);</w:t>
      </w:r>
    </w:p>
    <w:p>
      <w:pPr>
        <w:spacing w:after="0" w:line="62" w:lineRule="exact"/>
        <w:rPr>
          <w:rFonts w:ascii="Arial" w:cs="Arial" w:eastAsia="Arial" w:hAnsi="Arial"/>
          <w:sz w:val="18"/>
          <w:szCs w:val="18"/>
          <w:color w:val="auto"/>
        </w:rPr>
      </w:pPr>
    </w:p>
    <w:p>
      <w:pPr>
        <w:ind w:left="880" w:right="100" w:firstLine="1323"/>
        <w:spacing w:after="0" w:line="342" w:lineRule="auto"/>
        <w:tabs>
          <w:tab w:leader="none" w:pos="2483" w:val="left"/>
        </w:tabs>
        <w:numPr>
          <w:ilvl w:val="2"/>
          <w:numId w:val="65"/>
        </w:numPr>
        <w:rPr>
          <w:rFonts w:ascii="Arial" w:cs="Arial" w:eastAsia="Arial" w:hAnsi="Arial"/>
          <w:sz w:val="16"/>
          <w:szCs w:val="16"/>
          <w:color w:val="auto"/>
        </w:rPr>
      </w:pPr>
      <w:r>
        <w:rPr>
          <w:rFonts w:ascii="Arial" w:cs="Arial" w:eastAsia="Arial" w:hAnsi="Arial"/>
          <w:sz w:val="16"/>
          <w:szCs w:val="16"/>
          <w:color w:val="auto"/>
        </w:rPr>
        <w:t>all accrued and unpaid interest, if any, upon all the Securities of such series with interest thereon to the extent that interest thereon shall be legally enforceable, on any overdue installment of interest at the rate borne by or prescribed in such Securities; and</w:t>
      </w:r>
    </w:p>
    <w:p>
      <w:pPr>
        <w:spacing w:after="0" w:line="15" w:lineRule="exact"/>
        <w:rPr>
          <w:rFonts w:ascii="Arial" w:cs="Arial" w:eastAsia="Arial" w:hAnsi="Arial"/>
          <w:sz w:val="16"/>
          <w:szCs w:val="16"/>
          <w:color w:val="auto"/>
        </w:rPr>
      </w:pPr>
    </w:p>
    <w:p>
      <w:pPr>
        <w:ind w:left="880" w:right="420" w:firstLine="1323"/>
        <w:spacing w:after="0" w:line="264" w:lineRule="auto"/>
        <w:tabs>
          <w:tab w:leader="none" w:pos="2483"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principal of and accrued and unpaid premium, if any, on any Securities of such series that have become due otherwise than by such acceleration with interest thereon to the extent that interest thereon shall be legally enforceable, on any overdue installment of interest at the rate borne by or prescribed in such Securities; and</w:t>
      </w:r>
    </w:p>
    <w:p>
      <w:pPr>
        <w:spacing w:after="0" w:line="73" w:lineRule="exact"/>
        <w:rPr>
          <w:rFonts w:ascii="Arial" w:cs="Arial" w:eastAsia="Arial" w:hAnsi="Arial"/>
          <w:sz w:val="18"/>
          <w:szCs w:val="18"/>
          <w:color w:val="auto"/>
        </w:rPr>
      </w:pPr>
    </w:p>
    <w:p>
      <w:pPr>
        <w:ind w:left="440" w:right="280" w:firstLine="851"/>
        <w:spacing w:after="0" w:line="342" w:lineRule="auto"/>
        <w:tabs>
          <w:tab w:leader="none" w:pos="1551"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every other Default and Event of Default with respect to Securities of that series, other than the non-payment of the principal of Securities of that series which have become due solely by such acceleration, have been cured or waived as provided in Section 7.06.</w:t>
      </w:r>
    </w:p>
    <w:p>
      <w:pPr>
        <w:spacing w:after="0" w:line="15" w:lineRule="exact"/>
        <w:rPr>
          <w:rFonts w:ascii="Arial" w:cs="Arial" w:eastAsia="Arial" w:hAnsi="Arial"/>
          <w:sz w:val="16"/>
          <w:szCs w:val="16"/>
          <w:color w:val="auto"/>
        </w:rPr>
      </w:pPr>
    </w:p>
    <w:p>
      <w:pPr>
        <w:ind w:left="1140" w:hanging="255"/>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such rescission shall affect any subsequent default or impair any right consequent thereon.</w:t>
      </w:r>
    </w:p>
    <w:p>
      <w:pPr>
        <w:spacing w:after="0" w:line="117" w:lineRule="exact"/>
        <w:rPr>
          <w:rFonts w:ascii="Arial" w:cs="Arial" w:eastAsia="Arial" w:hAnsi="Arial"/>
          <w:sz w:val="18"/>
          <w:szCs w:val="18"/>
          <w:color w:val="auto"/>
        </w:rPr>
      </w:pPr>
    </w:p>
    <w:p>
      <w:pPr>
        <w:ind w:right="40" w:firstLine="885"/>
        <w:spacing w:after="0" w:line="255" w:lineRule="auto"/>
        <w:tabs>
          <w:tab w:leader="none" w:pos="11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acceleration, unless such acceleration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3"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Other Remedies</w:t>
      </w:r>
      <w:r>
        <w:rPr>
          <w:rFonts w:ascii="Arial" w:cs="Arial" w:eastAsia="Arial" w:hAnsi="Arial"/>
          <w:sz w:val="16"/>
          <w:szCs w:val="16"/>
          <w:color w:val="auto"/>
        </w:rPr>
        <w:t>. If the Company shall fail for a period of 30 days to pay any installment of interest on the Securities of any series or shall fail to pay any principal of and premium, if any, on any of the Securities of such series when and as the same shall become due and payable, whether at Maturity, or by call for redemption (other than pursuant to the sinking fund), by acceleration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for principal, premium, if any, and accrued and unpaid interest, with interest (so far as the same may be legally enforceable) on the overdue principal and on the overdue premium, if any, and accrued and unpaid interest at the rate borne by or prescribed in such Securities, and all amounts owing the Trustee and any predecessor trustee hereunder under Section 11.01(a).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66" w:name="page67"/>
    <w:bookmarkEnd w:id="66"/>
    <w:p>
      <w:pPr>
        <w:ind w:right="10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2"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Trustee as Attorney-in-Fact</w:t>
      </w:r>
      <w:r>
        <w:rPr>
          <w:rFonts w:ascii="Arial" w:cs="Arial" w:eastAsia="Arial" w:hAnsi="Arial"/>
          <w:sz w:val="16"/>
          <w:szCs w:val="16"/>
          <w:color w:val="auto"/>
        </w:rPr>
        <w:t>. 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premium, if any, or interest on, any of the Securities),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or debtor in any such proceeding is hereby authorized, and each and every taker or Holder of the Securities, by receiving and holding the same, shall be conclusively deemed to have authorized any such receiver, assignee, trustee, custodian or debtor, to make any such payment or delivery only to or on the order of the Trustee, and to pay to the Trustee any amount due it and any predecessor trustee hereunder under Section 11.01(a); provided, however, that nothing herein contained shall be deemed to authorize or empower the Trustee to consent to or accept or adopt, on behalf of any Holder of Securities, any plan of reorganization or readjustment affecting the Securities or the rights of any Holder thereof, or to authorize or empower the Trustee to vote in respect of the claim of any Holder of any Securities in any such proceeding.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67" w:name="page68"/>
    <w:bookmarkEnd w:id="67"/>
    <w:p>
      <w:pPr>
        <w:ind w:right="3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7.05 </w:t>
      </w:r>
      <w:r>
        <w:rPr>
          <w:rFonts w:ascii="Arial" w:cs="Arial" w:eastAsia="Arial" w:hAnsi="Arial"/>
          <w:sz w:val="18"/>
          <w:szCs w:val="18"/>
          <w:u w:val="single" w:color="auto"/>
          <w:color w:val="auto"/>
        </w:rPr>
        <w:t>Priorities</w:t>
      </w:r>
      <w:r>
        <w:rPr>
          <w:rFonts w:ascii="Arial" w:cs="Arial" w:eastAsia="Arial" w:hAnsi="Arial"/>
          <w:sz w:val="18"/>
          <w:szCs w:val="18"/>
          <w:color w:val="auto"/>
        </w:rPr>
        <w:t>. 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First: To the payment of all amounts due to the Trustee and any predecessor trustee hereunder under Section 11.01(a).</w:t>
      </w:r>
    </w:p>
    <w:p>
      <w:pPr>
        <w:spacing w:after="0" w:line="117"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8"/>
          <w:szCs w:val="18"/>
          <w:color w:val="auto"/>
        </w:rPr>
        <w:t>Second: Subject to Article XV (to the extent applicable to any series of Securities then outstanding), to the payment of the amounts then due and unpaid for principal of and any premium and interest on the Outstanding Securities of such series in respect of which or for the benefit of which such money has been collected, ratably, without preference or priority of any kind, according to the amounts due and payable on such Outstanding Securities for principal and any premium and interest,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surplus then remaining shall be paid to the Company or as directed by a court of competent jurisdiction.</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Control by Securityholders; Waiver of Past Defaults</w:t>
      </w:r>
      <w:r>
        <w:rPr>
          <w:rFonts w:ascii="Arial" w:cs="Arial" w:eastAsia="Arial" w:hAnsi="Arial"/>
          <w:sz w:val="17"/>
          <w:szCs w:val="17"/>
          <w:color w:val="auto"/>
        </w:rPr>
        <w:t>. 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acceleration of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and except as to a covenant or condition which under Section 14.02 cannot be modified or amended without the consent of the Holder of each Outstanding Security of such series affected, in which case the consent of the Holder of each Outstanding Security of such series affected shall be required for such waiver.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83"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68" w:name="page69"/>
    <w:bookmarkEnd w:id="6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herein specified with respect to such series of Securities, and unless also the Holders of 25% or more in principal amount of the Securities of such series then Outstanding shall have requested the Trustee in writing to take action in respect of the matter complained of, and unless also there shall have been offered to the Trustee security and indemnity reasonably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6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Undertaking for Costs</w:t>
      </w:r>
      <w:r>
        <w:rPr>
          <w:rFonts w:ascii="Arial" w:cs="Arial" w:eastAsia="Arial" w:hAnsi="Arial"/>
          <w:sz w:val="17"/>
          <w:szCs w:val="17"/>
          <w:color w:val="auto"/>
        </w:rPr>
        <w:t>. 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 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229" w:lineRule="exact"/>
        <w:rPr>
          <w:sz w:val="20"/>
          <w:szCs w:val="20"/>
          <w:color w:val="auto"/>
        </w:rPr>
      </w:pPr>
    </w:p>
    <w:p>
      <w:pPr>
        <w:ind w:right="220" w:firstLine="441"/>
        <w:spacing w:after="0" w:line="289"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Evidence of Action of Securityholders</w:t>
      </w:r>
      <w:r>
        <w:rPr>
          <w:rFonts w:ascii="Arial" w:cs="Arial" w:eastAsia="Arial" w:hAnsi="Arial"/>
          <w:sz w:val="16"/>
          <w:szCs w:val="16"/>
          <w:color w:val="auto"/>
        </w:rPr>
        <w:t>. 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6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or Holding of Securities</w:t>
      </w:r>
      <w:r>
        <w:rPr>
          <w:rFonts w:ascii="Arial" w:cs="Arial" w:eastAsia="Arial" w:hAnsi="Arial"/>
          <w:sz w:val="18"/>
          <w:szCs w:val="18"/>
          <w:color w:val="auto"/>
        </w:rPr>
        <w:t>. Proof of the execution of any instrument by a Securityholder or his, her or its agent or proxy and proof of the holding by any Person of any of the Securities shall be sufficient if made in the following manner:</w:t>
      </w:r>
    </w:p>
    <w:p>
      <w:pPr>
        <w:spacing w:after="0" w:line="62" w:lineRule="exact"/>
        <w:rPr>
          <w:sz w:val="20"/>
          <w:szCs w:val="20"/>
          <w:color w:val="auto"/>
        </w:rPr>
      </w:pPr>
    </w:p>
    <w:p>
      <w:pPr>
        <w:ind w:firstLine="885"/>
        <w:spacing w:after="0" w:line="276" w:lineRule="auto"/>
        <w:tabs>
          <w:tab w:leader="none" w:pos="112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64" w:lineRule="exact"/>
        <w:rPr>
          <w:rFonts w:ascii="Arial" w:cs="Arial" w:eastAsia="Arial" w:hAnsi="Arial"/>
          <w:sz w:val="17"/>
          <w:szCs w:val="17"/>
          <w:color w:val="auto"/>
        </w:rPr>
      </w:pPr>
    </w:p>
    <w:p>
      <w:pPr>
        <w:ind w:left="1140" w:hanging="255"/>
        <w:spacing w:after="0"/>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ownership of Securities of any series shall be proved by the Register of such Securities or by a certificate of the Registrar for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102" w:lineRule="exact"/>
        <w:rPr>
          <w:rFonts w:ascii="Arial" w:cs="Arial" w:eastAsia="Arial" w:hAnsi="Arial"/>
          <w:sz w:val="16"/>
          <w:szCs w:val="16"/>
          <w:color w:val="auto"/>
        </w:rPr>
      </w:pPr>
    </w:p>
    <w:p>
      <w:pPr>
        <w:ind w:left="1140" w:hanging="255"/>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record of any Holders’ meeting shall be proved in the manner provided in Section 9.06.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70" w:name="page71"/>
    <w:bookmarkEnd w:id="70"/>
    <w:p>
      <w:pPr>
        <w:ind w:right="80" w:firstLine="885"/>
        <w:spacing w:after="0" w:line="277" w:lineRule="auto"/>
        <w:tabs>
          <w:tab w:leader="none" w:pos="1136"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require such additional proof of any matter referred to in this Section 8.02 as it shall deem appropriate or necessary, so long as the request is a reasonable one.</w:t>
      </w:r>
    </w:p>
    <w:p>
      <w:pPr>
        <w:spacing w:after="0" w:line="62" w:lineRule="exact"/>
        <w:rPr>
          <w:rFonts w:ascii="Arial" w:cs="Arial" w:eastAsia="Arial" w:hAnsi="Arial"/>
          <w:sz w:val="18"/>
          <w:szCs w:val="18"/>
          <w:color w:val="auto"/>
        </w:rPr>
      </w:pPr>
    </w:p>
    <w:p>
      <w:pPr>
        <w:ind w:right="100" w:firstLine="885"/>
        <w:spacing w:after="0" w:line="273" w:lineRule="auto"/>
        <w:tabs>
          <w:tab w:leader="none" w:pos="112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76" w:lineRule="auto"/>
        <w:tabs>
          <w:tab w:leader="none" w:pos="1126"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the Trustee or any of their agents shall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of their agents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64" w:lineRule="exact"/>
        <w:rPr>
          <w:rFonts w:ascii="Arial" w:cs="Arial" w:eastAsia="Arial" w:hAnsi="Arial"/>
          <w:sz w:val="17"/>
          <w:szCs w:val="17"/>
          <w:color w:val="auto"/>
        </w:rPr>
      </w:pPr>
    </w:p>
    <w:p>
      <w:pPr>
        <w:jc w:val="both"/>
        <w:ind w:right="60" w:firstLine="885"/>
        <w:spacing w:after="0" w:line="264" w:lineRule="auto"/>
        <w:tabs>
          <w:tab w:leader="none" w:pos="11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 of the Company, the Trustee, or any of their agents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Effect of Consents</w:t>
      </w:r>
      <w:r>
        <w:rPr>
          <w:rFonts w:ascii="Arial" w:cs="Arial" w:eastAsia="Arial" w:hAnsi="Arial"/>
          <w:sz w:val="18"/>
          <w:szCs w:val="18"/>
          <w:color w:val="auto"/>
        </w:rPr>
        <w:t>. 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SECURITYHOLDERS’ MEETINGS</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Purposes of Meetings</w:t>
      </w:r>
      <w:r>
        <w:rPr>
          <w:rFonts w:ascii="Arial" w:cs="Arial" w:eastAsia="Arial" w:hAnsi="Arial"/>
          <w:sz w:val="18"/>
          <w:szCs w:val="18"/>
          <w:color w:val="auto"/>
        </w:rPr>
        <w:t>. A meeting of Securityholders of any or all series may be called at any time and from time to time pursuant to the provisions of this Article IX for any of the following purposes:</w:t>
      </w:r>
    </w:p>
    <w:p>
      <w:pPr>
        <w:spacing w:after="0" w:line="62" w:lineRule="exact"/>
        <w:rPr>
          <w:sz w:val="20"/>
          <w:szCs w:val="20"/>
          <w:color w:val="auto"/>
        </w:rPr>
      </w:pPr>
    </w:p>
    <w:p>
      <w:pPr>
        <w:ind w:right="120" w:firstLine="885"/>
        <w:spacing w:after="0" w:line="264" w:lineRule="auto"/>
        <w:tabs>
          <w:tab w:leader="none" w:pos="11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71" w:name="page72"/>
    <w:bookmarkEnd w:id="71"/>
    <w:p>
      <w:pPr>
        <w:ind w:left="1140" w:hanging="255"/>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remove the Trustee and nominate a successor trustee pursuant to the provisions of Article XI;</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consent to the execution of an Indenture or of indentures supplemental hereto pursuant to the provisions of Section 14.02; or</w:t>
      </w:r>
    </w:p>
    <w:p>
      <w:pPr>
        <w:spacing w:after="0" w:line="128" w:lineRule="exact"/>
        <w:rPr>
          <w:rFonts w:ascii="Arial" w:cs="Arial" w:eastAsia="Arial" w:hAnsi="Arial"/>
          <w:sz w:val="17"/>
          <w:szCs w:val="17"/>
          <w:color w:val="auto"/>
        </w:rPr>
      </w:pPr>
    </w:p>
    <w:p>
      <w:pPr>
        <w:ind w:right="660" w:firstLine="885"/>
        <w:spacing w:after="0" w:line="308" w:lineRule="auto"/>
        <w:tabs>
          <w:tab w:leader="none" w:pos="11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47"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Call of Meetings by Trustee</w:t>
      </w:r>
      <w:r>
        <w:rPr>
          <w:rFonts w:ascii="Arial" w:cs="Arial" w:eastAsia="Arial" w:hAnsi="Arial"/>
          <w:sz w:val="16"/>
          <w:szCs w:val="16"/>
          <w:color w:val="auto"/>
        </w:rPr>
        <w:t>. The Trustee may at any time call a meeting of all Securityholders of any or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at the expense of the Company to Holders of Securities of such series at their addresses as they shall appear on the Register of the Company. Such notice shall be mailed not less than 20 nor more than 90 days prior to the date fixed for the meeting.</w:t>
      </w:r>
    </w:p>
    <w:p>
      <w:pPr>
        <w:spacing w:after="0" w:line="15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Call of Meetings by Company or Securityholders</w:t>
      </w:r>
      <w:r>
        <w:rPr>
          <w:rFonts w:ascii="Arial" w:cs="Arial" w:eastAsia="Arial" w:hAnsi="Arial"/>
          <w:sz w:val="18"/>
          <w:szCs w:val="18"/>
          <w:color w:val="auto"/>
        </w:rPr>
        <w:t>. In case at any time the Company or the Holders of at least 10% in aggregate principal amount of the Securities of any or all series then Outstanding that may be affected by the action proposed to be taken, shall have requested the Trustee to call a meeting of Securityholders of such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93"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Qualifications for Voting</w:t>
      </w:r>
      <w:r>
        <w:rPr>
          <w:rFonts w:ascii="Arial" w:cs="Arial" w:eastAsia="Arial" w:hAnsi="Arial"/>
          <w:sz w:val="18"/>
          <w:szCs w:val="18"/>
          <w:color w:val="auto"/>
        </w:rPr>
        <w:t>. 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 Unless otherwise expressly provided pursuant to Section 3.01 with respect to the Securities of any series, any vote, consent, waiver or other action given or taken by the Holders of any series of Securities at a meeting shall be given or taken, as the case may be, by the Holders of such series of Securities as a separate class.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Regulation of Meetings</w:t>
      </w:r>
      <w:r>
        <w:rPr>
          <w:rFonts w:ascii="Arial" w:cs="Arial" w:eastAsia="Arial" w:hAnsi="Arial"/>
          <w:sz w:val="18"/>
          <w:szCs w:val="18"/>
          <w:color w:val="auto"/>
        </w:rPr>
        <w:t>.</w:t>
      </w:r>
    </w:p>
    <w:p>
      <w:pPr>
        <w:spacing w:after="0" w:line="117" w:lineRule="exact"/>
        <w:rPr>
          <w:sz w:val="20"/>
          <w:szCs w:val="20"/>
          <w:color w:val="auto"/>
        </w:rPr>
      </w:pPr>
    </w:p>
    <w:p>
      <w:pPr>
        <w:ind w:right="120" w:firstLine="885"/>
        <w:spacing w:after="0" w:line="259" w:lineRule="auto"/>
        <w:tabs>
          <w:tab w:leader="none" w:pos="11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72" w:name="page73"/>
    <w:bookmarkEnd w:id="72"/>
    <w:p>
      <w:pPr>
        <w:jc w:val="both"/>
        <w:ind w:right="180" w:firstLine="885"/>
        <w:spacing w:after="0" w:line="259" w:lineRule="auto"/>
        <w:tabs>
          <w:tab w:leader="none" w:pos="1136"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78" w:lineRule="exact"/>
        <w:rPr>
          <w:rFonts w:ascii="Arial" w:cs="Arial" w:eastAsia="Arial" w:hAnsi="Arial"/>
          <w:sz w:val="18"/>
          <w:szCs w:val="18"/>
          <w:color w:val="auto"/>
        </w:rPr>
      </w:pPr>
    </w:p>
    <w:p>
      <w:pPr>
        <w:ind w:right="100" w:firstLine="885"/>
        <w:spacing w:after="0" w:line="287" w:lineRule="auto"/>
        <w:tabs>
          <w:tab w:leader="none" w:pos="1126" w:val="left"/>
        </w:tabs>
        <w:numPr>
          <w:ilvl w:val="0"/>
          <w:numId w:val="74"/>
        </w:numPr>
        <w:rPr>
          <w:rFonts w:ascii="Arial" w:cs="Arial" w:eastAsia="Arial" w:hAnsi="Arial"/>
          <w:sz w:val="16"/>
          <w:szCs w:val="16"/>
          <w:color w:val="auto"/>
        </w:rPr>
      </w:pPr>
      <w:r>
        <w:rPr>
          <w:rFonts w:ascii="Arial" w:cs="Arial" w:eastAsia="Arial" w:hAnsi="Arial"/>
          <w:sz w:val="16"/>
          <w:szCs w:val="16"/>
          <w:color w:val="auto"/>
        </w:rPr>
        <w:t>At any meeting of Securityholders of a series, each Securityholder of such series of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If the Securities of any series are issuable in minimum denominations of less than $1,000, then a Holder of such a Security in a principal amount of less than $1,000 shall be entitled to a fraction of one vote which is equal to the fraction that the principal amount of such Security bears to $1,000.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of any series duly called pursuant to the provisions of Section 9.02 or 9.03, the presence of Persons holding or representing Securities of such series in an aggregate principal amount sufficient to take action as it concerns the Securities of such series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7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Voting</w:t>
      </w:r>
      <w:r>
        <w:rPr>
          <w:rFonts w:ascii="Arial" w:cs="Arial" w:eastAsia="Arial" w:hAnsi="Arial"/>
          <w:sz w:val="17"/>
          <w:szCs w:val="17"/>
          <w:color w:val="auto"/>
        </w:rPr>
        <w:t>. 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73" w:name="page74"/>
    <w:bookmarkEnd w:id="73"/>
    <w:p>
      <w:pPr>
        <w:ind w:right="10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9.07 </w:t>
      </w:r>
      <w:r>
        <w:rPr>
          <w:rFonts w:ascii="Arial" w:cs="Arial" w:eastAsia="Arial" w:hAnsi="Arial"/>
          <w:sz w:val="18"/>
          <w:szCs w:val="18"/>
          <w:u w:val="single" w:color="auto"/>
          <w:color w:val="auto"/>
        </w:rPr>
        <w:t>No Delay of Rights by Meeting</w:t>
      </w:r>
      <w:r>
        <w:rPr>
          <w:rFonts w:ascii="Arial" w:cs="Arial" w:eastAsia="Arial" w:hAnsi="Arial"/>
          <w:sz w:val="18"/>
          <w:szCs w:val="18"/>
          <w:color w:val="auto"/>
        </w:rPr>
        <w:t>. 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REPORTS BY THE COMPANY AND THE TRUSTEE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SECURITYHOLDERS’ LISTS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59" w:lineRule="auto"/>
        <w:tabs>
          <w:tab w:leader="none" w:pos="11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shall, at the time of the transmission to the Holders of Securities of any report pursuant to the provisions of this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82" w:lineRule="exact"/>
        <w:rPr>
          <w:sz w:val="20"/>
          <w:szCs w:val="20"/>
          <w:color w:val="auto"/>
        </w:rPr>
      </w:pPr>
    </w:p>
    <w:p>
      <w:pPr>
        <w:ind w:right="420" w:firstLine="885"/>
        <w:spacing w:after="0" w:line="277" w:lineRule="auto"/>
        <w:tabs>
          <w:tab w:leader="none" w:pos="112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will reimburse the Trustee for all expenses incurred in the preparation and transmission of any report pursuant to the provisions of this Section 10.01 and of Section 10.02.</w:t>
      </w:r>
    </w:p>
    <w:p>
      <w:pPr>
        <w:spacing w:after="0" w:line="17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Reports by the Company</w:t>
      </w:r>
      <w:r>
        <w:rPr>
          <w:rFonts w:ascii="Arial" w:cs="Arial" w:eastAsia="Arial" w:hAnsi="Arial"/>
          <w:sz w:val="16"/>
          <w:szCs w:val="16"/>
          <w:color w:val="auto"/>
        </w:rPr>
        <w:t>. 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w:t>
      </w:r>
    </w:p>
    <w:p>
      <w:pPr>
        <w:spacing w:after="0" w:line="154"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responsibility for the filing, timeliness or content of such reports.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Securityholders’ Lists</w:t>
      </w:r>
      <w:r>
        <w:rPr>
          <w:rFonts w:ascii="Arial" w:cs="Arial" w:eastAsia="Arial" w:hAnsi="Arial"/>
          <w:sz w:val="18"/>
          <w:szCs w:val="18"/>
          <w:color w:val="auto"/>
        </w:rPr>
        <w:t>. The Company covenants and agrees that it will furnish or cause to be furnished to the Trustee:</w:t>
      </w:r>
    </w:p>
    <w:p>
      <w:pPr>
        <w:spacing w:after="0" w:line="117" w:lineRule="exact"/>
        <w:rPr>
          <w:sz w:val="20"/>
          <w:szCs w:val="20"/>
          <w:color w:val="auto"/>
        </w:rPr>
      </w:pPr>
    </w:p>
    <w:p>
      <w:pPr>
        <w:ind w:right="20" w:firstLine="885"/>
        <w:spacing w:after="0" w:line="342" w:lineRule="auto"/>
        <w:tabs>
          <w:tab w:leader="none" w:pos="11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5" w:lineRule="exact"/>
        <w:rPr>
          <w:rFonts w:ascii="Arial" w:cs="Arial" w:eastAsia="Arial" w:hAnsi="Arial"/>
          <w:sz w:val="16"/>
          <w:szCs w:val="16"/>
          <w:color w:val="auto"/>
        </w:rPr>
      </w:pPr>
    </w:p>
    <w:p>
      <w:pPr>
        <w:ind w:right="420" w:firstLine="885"/>
        <w:spacing w:after="0" w:line="277" w:lineRule="auto"/>
        <w:tabs>
          <w:tab w:leader="none" w:pos="11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so long as the Trustee shall be the Registrar, such lists shall not be required to be furnished.</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229"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Rights of Trustees; Compensation and Indemnity</w:t>
      </w:r>
      <w:r>
        <w:rPr>
          <w:rFonts w:ascii="Arial" w:cs="Arial" w:eastAsia="Arial" w:hAnsi="Arial"/>
          <w:sz w:val="16"/>
          <w:szCs w:val="16"/>
          <w:color w:val="auto"/>
        </w:rPr>
        <w:t>. The Trustee accepts the trusts created by this Indenture upon the terms and conditions hereof, including the following, to all of which the parties hereto and the Holders from time to time of the Securities agree:</w:t>
      </w:r>
    </w:p>
    <w:p>
      <w:pPr>
        <w:spacing w:after="0" w:line="16" w:lineRule="exact"/>
        <w:rPr>
          <w:sz w:val="20"/>
          <w:szCs w:val="20"/>
          <w:color w:val="auto"/>
        </w:rPr>
      </w:pPr>
    </w:p>
    <w:p>
      <w:pPr>
        <w:ind w:right="160" w:firstLine="885"/>
        <w:spacing w:after="0" w:line="273" w:lineRule="auto"/>
        <w:tabs>
          <w:tab w:leader="none" w:pos="1126"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(including the reasonable expenses and disbursements of its agents and counsel), except any such expense, disbursement or advance as may be attributable to its own negligence, bad faith or willful misconduct as determined by a court of competent jurisdiction in a final non-appealable order.</w:t>
      </w:r>
    </w:p>
    <w:p>
      <w:pPr>
        <w:spacing w:after="0" w:line="17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The Company also agrees to indemnify each of the Trustee, any predecessor Trustee hereunder, and their respective officers, agents, directors and employees for, and to hold them harmless against, any and all loss, liability, damage, claim, or expense (including the reasonable expenses and disbursements of its agents and counsel) incurred without their own negligence, bad faith or willful misconduct as determined by a court of competent jurisdiction in a final non-appealable order, arising out of or in connection with the acceptance or administration of the trust or trusts hereunder and the performance of their duties (including in any agent capacity in which they act), as well as the costs and expenses (including the reasonable expenses and disbursements of its agents and counsel) of enforcing this Indenture (including this Section 11.01) and the Securities and of defending themselves against any claim or liability in connection with the exercise or performance of any of their powers or duties hereunder, except those attributable to their negligence, willful misconduct or bad faith as determined by a court of competent jurisdiction in a final non-appealable order.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4" w:right="479" w:bottom="1440" w:gutter="0" w:footer="0" w:header="0"/>
        </w:sectPr>
      </w:pPr>
    </w:p>
    <w:bookmarkStart w:id="75" w:name="page76"/>
    <w:bookmarkEnd w:id="75"/>
    <w:p>
      <w:pPr>
        <w:ind w:right="10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security for the performance of the obligations of the Company under this Section 11.01(a), the Trustee shall have a lien upon all property and funds held or collected by the Trustee as such, except funds held in trust by the Trustee to pay principal of, premium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after an Event of Default specified in clause (e) or (f) of Section 7.01 occurs, the expenses and compensation for the services are intended to constitute expenses of administration under any applicable federal or state bankruptcy, insolvency or similar laws.</w:t>
      </w:r>
    </w:p>
    <w:p>
      <w:pPr>
        <w:spacing w:after="0" w:line="81" w:lineRule="exact"/>
        <w:rPr>
          <w:sz w:val="20"/>
          <w:szCs w:val="20"/>
          <w:color w:val="auto"/>
        </w:rPr>
      </w:pPr>
    </w:p>
    <w:p>
      <w:pPr>
        <w:ind w:right="360" w:firstLine="885"/>
        <w:spacing w:after="0" w:line="342" w:lineRule="auto"/>
        <w:tabs>
          <w:tab w:leader="none" w:pos="11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shall be entitled to receive an Officer’s Certificate and an Opinion of Counsel. The Trustee shall not be liable for any action it takes or omits to take in good faith in reliance on the Officer’s Certificate or Opinion of Counsel.</w:t>
      </w:r>
    </w:p>
    <w:p>
      <w:pPr>
        <w:spacing w:after="0" w:line="15" w:lineRule="exact"/>
        <w:rPr>
          <w:rFonts w:ascii="Arial" w:cs="Arial" w:eastAsia="Arial" w:hAnsi="Arial"/>
          <w:sz w:val="16"/>
          <w:szCs w:val="16"/>
          <w:color w:val="auto"/>
        </w:rPr>
      </w:pPr>
    </w:p>
    <w:p>
      <w:pPr>
        <w:ind w:right="60" w:firstLine="885"/>
        <w:spacing w:after="0" w:line="342" w:lineRule="auto"/>
        <w:tabs>
          <w:tab w:leader="none" w:pos="112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hereof and perform any duty hereunder either directly or by its agents and attorneys and shall not be responsible for any misconduct or negligence on the part of any agent or attorney appointed with due care by it hereunder.</w:t>
      </w:r>
    </w:p>
    <w:p>
      <w:pPr>
        <w:spacing w:after="0" w:line="15" w:lineRule="exact"/>
        <w:rPr>
          <w:rFonts w:ascii="Arial" w:cs="Arial" w:eastAsia="Arial" w:hAnsi="Arial"/>
          <w:sz w:val="16"/>
          <w:szCs w:val="16"/>
          <w:color w:val="auto"/>
        </w:rPr>
      </w:pPr>
    </w:p>
    <w:p>
      <w:pPr>
        <w:ind w:firstLine="885"/>
        <w:spacing w:after="0" w:line="271" w:lineRule="auto"/>
        <w:tabs>
          <w:tab w:leader="none" w:pos="11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70" w:lineRule="exact"/>
        <w:rPr>
          <w:rFonts w:ascii="Arial" w:cs="Arial" w:eastAsia="Arial" w:hAnsi="Arial"/>
          <w:sz w:val="17"/>
          <w:szCs w:val="17"/>
          <w:color w:val="auto"/>
        </w:rPr>
      </w:pPr>
    </w:p>
    <w:p>
      <w:pPr>
        <w:ind w:right="240" w:firstLine="885"/>
        <w:spacing w:after="0" w:line="308" w:lineRule="auto"/>
        <w:tabs>
          <w:tab w:leader="none" w:pos="112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may consult with counsel of its selection, and advice of counsel shall be full and complete authorization and protection in respect of any action taken or suffered by the Trustee hereunder in good faith and in accordance with such advice of counsel.</w:t>
      </w:r>
    </w:p>
    <w:p>
      <w:pPr>
        <w:spacing w:after="0" w:line="38" w:lineRule="exact"/>
        <w:rPr>
          <w:rFonts w:ascii="Arial" w:cs="Arial" w:eastAsia="Arial" w:hAnsi="Arial"/>
          <w:sz w:val="17"/>
          <w:szCs w:val="17"/>
          <w:color w:val="auto"/>
        </w:rPr>
      </w:pPr>
    </w:p>
    <w:p>
      <w:pPr>
        <w:ind w:right="60" w:firstLine="885"/>
        <w:spacing w:after="0" w:line="257" w:lineRule="auto"/>
        <w:tabs>
          <w:tab w:leader="none" w:pos="110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76" w:name="page77"/>
    <w:bookmarkEnd w:id="76"/>
    <w:p>
      <w:pPr>
        <w:ind w:left="-20" w:right="220" w:firstLine="885"/>
        <w:spacing w:after="0" w:line="264" w:lineRule="auto"/>
        <w:tabs>
          <w:tab w:leader="none" w:pos="1116"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73" w:lineRule="exact"/>
        <w:rPr>
          <w:rFonts w:ascii="Arial" w:cs="Arial" w:eastAsia="Arial" w:hAnsi="Arial"/>
          <w:sz w:val="18"/>
          <w:szCs w:val="18"/>
          <w:color w:val="auto"/>
        </w:rPr>
      </w:pPr>
    </w:p>
    <w:p>
      <w:pPr>
        <w:ind w:left="-20" w:right="120" w:firstLine="885"/>
        <w:spacing w:after="0" w:line="308" w:lineRule="auto"/>
        <w:tabs>
          <w:tab w:leader="none" w:pos="1116" w:val="left"/>
        </w:tabs>
        <w:numPr>
          <w:ilvl w:val="0"/>
          <w:numId w:val="80"/>
        </w:numPr>
        <w:rPr>
          <w:rFonts w:ascii="Arial" w:cs="Arial" w:eastAsia="Arial" w:hAnsi="Arial"/>
          <w:sz w:val="17"/>
          <w:szCs w:val="17"/>
          <w:color w:val="auto"/>
        </w:rPr>
      </w:pPr>
      <w:r>
        <w:rPr>
          <w:rFonts w:ascii="Arial" w:cs="Arial" w:eastAsia="Arial" w:hAnsi="Arial"/>
          <w:sz w:val="17"/>
          <w:szCs w:val="17"/>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38" w:lineRule="exact"/>
        <w:rPr>
          <w:rFonts w:ascii="Arial" w:cs="Arial" w:eastAsia="Arial" w:hAnsi="Arial"/>
          <w:sz w:val="17"/>
          <w:szCs w:val="17"/>
          <w:color w:val="auto"/>
        </w:rPr>
      </w:pPr>
    </w:p>
    <w:p>
      <w:pPr>
        <w:ind w:left="-20" w:right="60" w:firstLine="885"/>
        <w:spacing w:after="0" w:line="259" w:lineRule="auto"/>
        <w:tabs>
          <w:tab w:leader="none" w:pos="10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78" w:lineRule="exact"/>
        <w:rPr>
          <w:rFonts w:ascii="Arial" w:cs="Arial" w:eastAsia="Arial" w:hAnsi="Arial"/>
          <w:sz w:val="18"/>
          <w:szCs w:val="18"/>
          <w:color w:val="auto"/>
        </w:rPr>
      </w:pPr>
    </w:p>
    <w:p>
      <w:pPr>
        <w:ind w:left="-20" w:firstLine="885"/>
        <w:spacing w:after="0" w:line="264" w:lineRule="auto"/>
        <w:tabs>
          <w:tab w:leader="none" w:pos="10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consent, order, approval, bond, debenture or other paper or document reasonably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left="-20" w:right="40" w:firstLine="885"/>
        <w:spacing w:after="0" w:line="259" w:lineRule="auto"/>
        <w:tabs>
          <w:tab w:leader="none" w:pos="11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reasonably satisfactory to it against the costs, expenses and liabilities which may be incurred by it therein or thereby.</w:t>
      </w:r>
    </w:p>
    <w:p>
      <w:pPr>
        <w:spacing w:after="0" w:line="78" w:lineRule="exact"/>
        <w:rPr>
          <w:rFonts w:ascii="Arial" w:cs="Arial" w:eastAsia="Arial" w:hAnsi="Arial"/>
          <w:sz w:val="18"/>
          <w:szCs w:val="18"/>
          <w:color w:val="auto"/>
        </w:rPr>
      </w:pPr>
    </w:p>
    <w:p>
      <w:pPr>
        <w:ind w:left="-20" w:right="680" w:firstLine="885"/>
        <w:spacing w:after="0" w:line="277" w:lineRule="auto"/>
        <w:tabs>
          <w:tab w:leader="none" w:pos="107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its discretion or within the rights or powers conferred upon it by this Indenture.</w:t>
      </w:r>
    </w:p>
    <w:p>
      <w:pPr>
        <w:spacing w:after="0" w:line="62" w:lineRule="exact"/>
        <w:rPr>
          <w:rFonts w:ascii="Arial" w:cs="Arial" w:eastAsia="Arial" w:hAnsi="Arial"/>
          <w:sz w:val="18"/>
          <w:szCs w:val="18"/>
          <w:color w:val="auto"/>
        </w:rPr>
      </w:pPr>
    </w:p>
    <w:p>
      <w:pPr>
        <w:ind w:left="-20" w:right="260" w:firstLine="885"/>
        <w:spacing w:after="0" w:line="342" w:lineRule="auto"/>
        <w:tabs>
          <w:tab w:leader="none" w:pos="116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shall not be deemed to have knowledge or notice of any Default or Event of Default unless a Responsible Officer of the Trustee has actual knowledge thereof or unless the Company or Holders of not less than 25% of the Outstanding Securities notify the Trustee thereof.</w:t>
      </w:r>
    </w:p>
    <w:p>
      <w:pPr>
        <w:spacing w:after="0" w:line="15" w:lineRule="exact"/>
        <w:rPr>
          <w:rFonts w:ascii="Arial" w:cs="Arial" w:eastAsia="Arial" w:hAnsi="Arial"/>
          <w:sz w:val="16"/>
          <w:szCs w:val="16"/>
          <w:color w:val="auto"/>
        </w:rPr>
      </w:pPr>
    </w:p>
    <w:p>
      <w:pPr>
        <w:ind w:left="-20" w:right="100" w:firstLine="885"/>
        <w:spacing w:after="0" w:line="286" w:lineRule="auto"/>
        <w:tabs>
          <w:tab w:leader="none" w:pos="1116"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60" w:top="274" w:right="439" w:bottom="1440" w:gutter="0" w:footer="0" w:header="0"/>
        </w:sectPr>
      </w:pPr>
    </w:p>
    <w:bookmarkStart w:id="77" w:name="page78"/>
    <w:bookmarkEnd w:id="77"/>
    <w:p>
      <w:pPr>
        <w:ind w:left="-20" w:firstLine="885"/>
        <w:spacing w:after="0" w:line="277" w:lineRule="auto"/>
        <w:tabs>
          <w:tab w:leader="none" w:pos="1116"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w:t>
      </w:r>
    </w:p>
    <w:p>
      <w:pPr>
        <w:spacing w:after="0" w:line="62" w:lineRule="exact"/>
        <w:rPr>
          <w:rFonts w:ascii="Arial" w:cs="Arial" w:eastAsia="Arial" w:hAnsi="Arial"/>
          <w:sz w:val="18"/>
          <w:szCs w:val="18"/>
          <w:color w:val="auto"/>
        </w:rPr>
      </w:pPr>
    </w:p>
    <w:p>
      <w:pPr>
        <w:ind w:left="-20" w:right="260" w:firstLine="885"/>
        <w:spacing w:after="0" w:line="264" w:lineRule="auto"/>
        <w:tabs>
          <w:tab w:leader="none" w:pos="1116"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1120" w:hanging="255"/>
        <w:spacing w:after="0"/>
        <w:tabs>
          <w:tab w:leader="none" w:pos="11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jc w:val="both"/>
        <w:ind w:left="-20" w:right="220" w:firstLine="885"/>
        <w:spacing w:after="0" w:line="259" w:lineRule="auto"/>
        <w:tabs>
          <w:tab w:leader="none" w:pos="110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78" w:lineRule="exact"/>
        <w:rPr>
          <w:rFonts w:ascii="Arial" w:cs="Arial" w:eastAsia="Arial" w:hAnsi="Arial"/>
          <w:sz w:val="18"/>
          <w:szCs w:val="18"/>
          <w:color w:val="auto"/>
        </w:rPr>
      </w:pPr>
    </w:p>
    <w:p>
      <w:pPr>
        <w:ind w:left="-20" w:right="140" w:firstLine="885"/>
        <w:spacing w:after="0" w:line="308" w:lineRule="auto"/>
        <w:tabs>
          <w:tab w:leader="none" w:pos="1116"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38" w:lineRule="exact"/>
        <w:rPr>
          <w:rFonts w:ascii="Arial" w:cs="Arial" w:eastAsia="Arial" w:hAnsi="Arial"/>
          <w:sz w:val="17"/>
          <w:szCs w:val="17"/>
          <w:color w:val="auto"/>
        </w:rPr>
      </w:pPr>
    </w:p>
    <w:p>
      <w:pPr>
        <w:ind w:left="420" w:right="40" w:firstLine="851"/>
        <w:spacing w:after="0" w:line="277" w:lineRule="auto"/>
        <w:tabs>
          <w:tab w:leader="none" w:pos="1481" w:val="left"/>
        </w:tabs>
        <w:numPr>
          <w:ilvl w:val="1"/>
          <w:numId w:val="82"/>
        </w:numPr>
        <w:rPr>
          <w:rFonts w:ascii="Arial" w:cs="Arial" w:eastAsia="Arial" w:hAnsi="Arial"/>
          <w:sz w:val="18"/>
          <w:szCs w:val="18"/>
          <w:color w:val="auto"/>
        </w:rPr>
      </w:pPr>
      <w:r>
        <w:rPr>
          <w:rFonts w:ascii="Arial" w:cs="Arial" w:eastAsia="Arial" w:hAnsi="Arial"/>
          <w:sz w:val="18"/>
          <w:szCs w:val="18"/>
          <w:color w:val="auto"/>
        </w:rPr>
        <w:t>unless and until an Event of Default specified in Section 7.01 with respect to the Securities of any series shall have happened which at the time is continuing,</w:t>
      </w:r>
    </w:p>
    <w:p>
      <w:pPr>
        <w:spacing w:after="0" w:line="62" w:lineRule="exact"/>
        <w:rPr>
          <w:rFonts w:ascii="Arial" w:cs="Arial" w:eastAsia="Arial" w:hAnsi="Arial"/>
          <w:sz w:val="18"/>
          <w:szCs w:val="18"/>
          <w:color w:val="auto"/>
        </w:rPr>
      </w:pPr>
    </w:p>
    <w:p>
      <w:pPr>
        <w:ind w:left="860" w:right="180" w:firstLine="1323"/>
        <w:spacing w:after="0" w:line="264" w:lineRule="auto"/>
        <w:tabs>
          <w:tab w:leader="none" w:pos="2473"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73" w:lineRule="exact"/>
        <w:rPr>
          <w:rFonts w:ascii="Arial" w:cs="Arial" w:eastAsia="Arial" w:hAnsi="Arial"/>
          <w:sz w:val="18"/>
          <w:szCs w:val="18"/>
          <w:color w:val="auto"/>
        </w:rPr>
      </w:pPr>
    </w:p>
    <w:p>
      <w:pPr>
        <w:ind w:left="860" w:right="120" w:firstLine="1323"/>
        <w:spacing w:after="0" w:line="255" w:lineRule="auto"/>
        <w:tabs>
          <w:tab w:leader="none" w:pos="2463"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Trustee may conclusively rely, as to the truth of the statements and the correctness of the opinions expressed therein, in the absence of bad faith on the part of the Trustee, upon certificates and opinions furnished to it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60" w:top="274" w:right="439" w:bottom="1440" w:gutter="0" w:footer="0" w:header="0"/>
        </w:sectPr>
      </w:pPr>
    </w:p>
    <w:bookmarkStart w:id="78" w:name="page79"/>
    <w:bookmarkEnd w:id="78"/>
    <w:p>
      <w:pPr>
        <w:ind w:left="440" w:right="100" w:firstLine="851"/>
        <w:spacing w:after="0" w:line="342" w:lineRule="auto"/>
        <w:tabs>
          <w:tab w:leader="none" w:pos="1551"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15" w:lineRule="exact"/>
        <w:rPr>
          <w:rFonts w:ascii="Arial" w:cs="Arial" w:eastAsia="Arial" w:hAnsi="Arial"/>
          <w:sz w:val="16"/>
          <w:szCs w:val="16"/>
          <w:color w:val="auto"/>
        </w:rPr>
      </w:pPr>
    </w:p>
    <w:p>
      <w:pPr>
        <w:ind w:left="440" w:right="160" w:firstLine="851"/>
        <w:spacing w:after="0" w:line="312" w:lineRule="auto"/>
        <w:tabs>
          <w:tab w:leader="none" w:pos="1601"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it or exercising any trust or power conferred upon it by this Indenture.</w:t>
      </w:r>
    </w:p>
    <w:p>
      <w:pPr>
        <w:spacing w:after="0" w:line="38" w:lineRule="exact"/>
        <w:rPr>
          <w:rFonts w:ascii="Arial" w:cs="Arial" w:eastAsia="Arial" w:hAnsi="Arial"/>
          <w:sz w:val="16"/>
          <w:szCs w:val="16"/>
          <w:color w:val="auto"/>
        </w:rPr>
      </w:pPr>
    </w:p>
    <w:p>
      <w:pPr>
        <w:ind w:right="440" w:firstLine="885"/>
        <w:spacing w:after="0" w:line="286" w:lineRule="auto"/>
        <w:tabs>
          <w:tab w:leader="none" w:pos="1126"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57" w:lineRule="exact"/>
        <w:rPr>
          <w:rFonts w:ascii="Arial" w:cs="Arial" w:eastAsia="Arial" w:hAnsi="Arial"/>
          <w:sz w:val="17"/>
          <w:szCs w:val="17"/>
          <w:color w:val="auto"/>
        </w:rPr>
      </w:pPr>
    </w:p>
    <w:p>
      <w:pPr>
        <w:ind w:right="380" w:firstLine="885"/>
        <w:spacing w:after="0" w:line="277" w:lineRule="auto"/>
        <w:tabs>
          <w:tab w:leader="none" w:pos="11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170"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Notice of Defaults</w:t>
      </w:r>
      <w:r>
        <w:rPr>
          <w:rFonts w:ascii="Arial" w:cs="Arial" w:eastAsia="Arial" w:hAnsi="Arial"/>
          <w:sz w:val="18"/>
          <w:szCs w:val="18"/>
          <w:color w:val="auto"/>
        </w:rPr>
        <w:t>. 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59" w:lineRule="auto"/>
        <w:tabs>
          <w:tab w:leader="none" w:pos="112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Trustee shall at all times satisfy the requirements of TIA Section 310(a). The Trustee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79" w:name="page80"/>
    <w:bookmarkEnd w:id="79"/>
    <w:p>
      <w:pPr>
        <w:ind w:firstLine="885"/>
        <w:spacing w:after="0" w:line="254" w:lineRule="auto"/>
        <w:tabs>
          <w:tab w:leader="none" w:pos="1136"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comply with TIA Section 310(b); provided, however,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92"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u w:val="single" w:color="auto"/>
          <w:color w:val="auto"/>
        </w:rPr>
        <w:t>Resignation and Notice; Removal</w:t>
      </w:r>
      <w:r>
        <w:rPr>
          <w:rFonts w:ascii="Arial" w:cs="Arial" w:eastAsia="Arial" w:hAnsi="Arial"/>
          <w:sz w:val="17"/>
          <w:szCs w:val="17"/>
          <w:color w:val="auto"/>
        </w:rPr>
        <w:t>. 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at least 30 days prior to such removal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jc w:val="both"/>
        <w:ind w:right="20" w:firstLine="444"/>
        <w:spacing w:after="0" w:line="264" w:lineRule="auto"/>
        <w:tabs>
          <w:tab w:leader="none" w:pos="6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73" w:lineRule="exact"/>
        <w:rPr>
          <w:rFonts w:ascii="Arial" w:cs="Arial" w:eastAsia="Arial" w:hAnsi="Arial"/>
          <w:sz w:val="18"/>
          <w:szCs w:val="18"/>
          <w:color w:val="auto"/>
        </w:rPr>
      </w:pPr>
    </w:p>
    <w:p>
      <w:pPr>
        <w:jc w:val="both"/>
        <w:ind w:right="480" w:firstLine="444"/>
        <w:spacing w:after="0" w:line="264" w:lineRule="auto"/>
        <w:tabs>
          <w:tab w:leader="none" w:pos="6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73" w:lineRule="exact"/>
        <w:rPr>
          <w:rFonts w:ascii="Arial" w:cs="Arial" w:eastAsia="Arial" w:hAnsi="Arial"/>
          <w:sz w:val="18"/>
          <w:szCs w:val="18"/>
          <w:color w:val="auto"/>
        </w:rPr>
      </w:pPr>
    </w:p>
    <w:p>
      <w:pPr>
        <w:ind w:right="40" w:firstLine="444"/>
        <w:spacing w:after="0" w:line="264" w:lineRule="auto"/>
        <w:tabs>
          <w:tab w:leader="none" w:pos="6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80" w:name="page81"/>
    <w:bookmarkEnd w:id="80"/>
    <w:p>
      <w:pPr>
        <w:ind w:right="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Company may remove the Trustee with respect to Securities of any series without cause if the Company gives written notice to the Trustee of such proposed removal at least three months in advance of the proposed effective date of such removal.</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Successor Trustee by Appointment</w:t>
      </w:r>
      <w:r>
        <w:rPr>
          <w:rFonts w:ascii="Arial" w:cs="Arial" w:eastAsia="Arial" w:hAnsi="Arial"/>
          <w:sz w:val="18"/>
          <w:szCs w:val="18"/>
          <w:color w:val="auto"/>
        </w:rPr>
        <w:t>.</w:t>
      </w:r>
    </w:p>
    <w:p>
      <w:pPr>
        <w:spacing w:after="0" w:line="117" w:lineRule="exact"/>
        <w:rPr>
          <w:sz w:val="20"/>
          <w:szCs w:val="20"/>
          <w:color w:val="auto"/>
        </w:rPr>
      </w:pPr>
    </w:p>
    <w:p>
      <w:pPr>
        <w:ind w:right="40" w:firstLine="885"/>
        <w:spacing w:after="0" w:line="288" w:lineRule="auto"/>
        <w:tabs>
          <w:tab w:leader="none" w:pos="112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case at any time the Trustee shall resign, or shall be removed or if a vacancy exists in the office of the Trustee for any reason, with respect to Securities of any or all series, the Company shall promptly appoint a successor Trustee. However, if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shall promptly appoint a successor Trustee with respect to the Securities of any or all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any such series, the Person making such appointment shall forthwith cause notice thereof to be mailed to the Holders of Securities of such series at their addresses as the same shall then appear on the Register of the Company. Any failure of the Company to mail such notice, or any defect therein, shall not, however, in any way impair or affect the validity of such appointment.</w:t>
      </w:r>
    </w:p>
    <w:p>
      <w:pPr>
        <w:spacing w:after="0" w:line="61" w:lineRule="exact"/>
        <w:rPr>
          <w:rFonts w:ascii="Arial" w:cs="Arial" w:eastAsia="Arial" w:hAnsi="Arial"/>
          <w:sz w:val="16"/>
          <w:szCs w:val="16"/>
          <w:color w:val="auto"/>
        </w:rPr>
      </w:pPr>
    </w:p>
    <w:p>
      <w:pPr>
        <w:ind w:right="40" w:firstLine="885"/>
        <w:spacing w:after="0" w:line="272" w:lineRule="auto"/>
        <w:tabs>
          <w:tab w:leader="none" w:pos="1136"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any Trustee with respect to the Securities of any series shall resign or be removed and a successor Trustee shall not have been appointed by the Company or, if any successor Trustee so appointed shall not have accepted its appointment within 30 days after such appointment shall have been made,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69" w:lineRule="exact"/>
        <w:rPr>
          <w:rFonts w:ascii="Arial" w:cs="Arial" w:eastAsia="Arial" w:hAnsi="Arial"/>
          <w:sz w:val="17"/>
          <w:szCs w:val="17"/>
          <w:color w:val="auto"/>
        </w:rPr>
      </w:pPr>
    </w:p>
    <w:p>
      <w:pPr>
        <w:ind w:firstLine="885"/>
        <w:spacing w:after="0" w:line="279" w:lineRule="auto"/>
        <w:tabs>
          <w:tab w:leader="none" w:pos="1126"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81" w:name="page82"/>
    <w:bookmarkEnd w:id="81"/>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with respect to the Securities of such series, subject nevertheless to its lien provided for in Section 11.01(a). Nevertheless, on the written request of the Company or of the successor Trustee or of the Holders of at least 10% in principal amount of the Securities of any such series then Outstanding, such predecessor Trustee, upon payment of its said charges and disbursements, shall execute and deliver an instrument transferring to such successor Trustee upon the trusts herein expressed all the rights, powers and trusts of such predecessor Trustee with respect to the Securities of such series and shall assign, transfer and deliver to the successor Trustee all moneys and properties held by such predecessor Trustee with respect to the Securities of such series, subject nevertheless to its lien provided for in Section 11.01(a); and, upon request of any such successor Trustee or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169"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Successor Trustee by Merger</w:t>
      </w:r>
      <w:r>
        <w:rPr>
          <w:rFonts w:ascii="Arial" w:cs="Arial" w:eastAsia="Arial" w:hAnsi="Arial"/>
          <w:sz w:val="17"/>
          <w:szCs w:val="17"/>
          <w:color w:val="auto"/>
        </w:rPr>
        <w:t>. 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8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Right to Rely on Officer’s Certificate</w:t>
      </w:r>
      <w:r>
        <w:rPr>
          <w:rFonts w:ascii="Arial" w:cs="Arial" w:eastAsia="Arial" w:hAnsi="Arial"/>
          <w:sz w:val="17"/>
          <w:szCs w:val="17"/>
          <w:color w:val="auto"/>
        </w:rPr>
        <w:t>.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82" w:name="page83"/>
    <w:bookmarkEnd w:id="82"/>
    <w:p>
      <w:pPr>
        <w:ind w:right="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11.09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 The Trustee may appoint an agent (the “Authenticating Agent”) acceptable to the Company to authenticate the Securities, and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by the Trustee includes authentication by the Authenticating Agent. Securities so authenticated shall be entitled to the benefits of this Indenture and shall be valid and obligatory for all purposes as if authenticated by the Trustee hereunder.</w:t>
      </w:r>
    </w:p>
    <w:p>
      <w:pPr>
        <w:spacing w:after="0" w:line="193"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Each Authenticating Agent shall at all times be a corporation organized and doing business and in good standing under the laws of the United States, any State thereof or the District of Columbia, authorized under such laws to act as Authenticating Agent, having a combined capital and surplus of not less than $50,000,000 and subject to supervision or examination by Federal or State authority. If such corporation publishes reports of condition at least annually, pursuant to law or to the requirements of said supervising or examining authority, then for the purposes of this Article XI,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Article XI, it shall resign immediately in the manner and with the effect specified in this Article XI.</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188"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79" w:lineRule="exact"/>
        <w:rPr>
          <w:sz w:val="20"/>
          <w:szCs w:val="20"/>
          <w:color w:val="auto"/>
        </w:rPr>
      </w:pPr>
    </w:p>
    <w:p>
      <w:pPr>
        <w:jc w:val="center"/>
        <w:ind w:left="580" w:right="300"/>
        <w:spacing w:after="0" w:line="449" w:lineRule="auto"/>
        <w:rPr>
          <w:sz w:val="20"/>
          <w:szCs w:val="20"/>
          <w:color w:val="auto"/>
        </w:rPr>
      </w:pPr>
      <w:r>
        <w:rPr>
          <w:rFonts w:ascii="Arial" w:cs="Arial" w:eastAsia="Arial" w:hAnsi="Arial"/>
          <w:sz w:val="18"/>
          <w:szCs w:val="18"/>
          <w:color w:val="auto"/>
        </w:rPr>
        <w:t>The Company agrees to pay to each Authenticating Agent from time to time reasonable compensation for its services under this Section 11.09. 55</w:t>
      </w:r>
    </w:p>
    <w:p>
      <w:pPr>
        <w:sectPr>
          <w:pgSz w:w="11900" w:h="16838" w:orient="portrait"/>
          <w:cols w:equalWidth="0" w:num="1">
            <w:col w:w="11020"/>
          </w:cols>
          <w:pgMar w:left="440" w:top="274" w:right="439" w:bottom="1440" w:gutter="0" w:footer="0" w:header="0"/>
        </w:sectPr>
      </w:pPr>
    </w:p>
    <w:bookmarkStart w:id="83" w:name="page84"/>
    <w:bookmarkEnd w:id="83"/>
    <w:p>
      <w:pPr>
        <w:ind w:right="50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11.10 </w:t>
      </w:r>
      <w:r>
        <w:rPr>
          <w:rFonts w:ascii="Arial" w:cs="Arial" w:eastAsia="Arial" w:hAnsi="Arial"/>
          <w:sz w:val="16"/>
          <w:szCs w:val="16"/>
          <w:u w:val="single" w:color="auto"/>
          <w:color w:val="auto"/>
        </w:rPr>
        <w:t>Communications by Securityholders with Other Securityholders</w:t>
      </w:r>
      <w:r>
        <w:rPr>
          <w:rFonts w:ascii="Arial" w:cs="Arial" w:eastAsia="Arial" w:hAnsi="Arial"/>
          <w:sz w:val="16"/>
          <w:szCs w:val="16"/>
          <w:color w:val="auto"/>
        </w:rPr>
        <w:t>. 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SATISFACTION AND DISCHARGE; DEFEASANCE</w:t>
      </w:r>
    </w:p>
    <w:p>
      <w:pPr>
        <w:spacing w:after="0" w:line="229"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the Securities of all series issued pursuant to this Indenture, except as otherwise specified pursuant to Section 3.01.</w:t>
      </w:r>
    </w:p>
    <w:p>
      <w:pPr>
        <w:spacing w:after="0" w:line="170"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the rights of the Holders of the Securities of such series to receive, the principal of and premium, if any, and interest on such Securities as and when the same shall become due and payable and except as otherwise provided in the last paragraph of this Section 12.02), and the Trustee, at the expense of the Company, shall execute proper instruments acknowledging satisfaction and discharge of this Indenture with respect to the Securities of such series, when,</w:t>
      </w:r>
    </w:p>
    <w:p>
      <w:pPr>
        <w:spacing w:after="0" w:line="70" w:lineRule="exact"/>
        <w:rPr>
          <w:sz w:val="20"/>
          <w:szCs w:val="20"/>
          <w:color w:val="auto"/>
        </w:rPr>
      </w:pPr>
    </w:p>
    <w:p>
      <w:pPr>
        <w:ind w:left="1140" w:hanging="255"/>
        <w:spacing w:after="0"/>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40" w:firstLine="851"/>
        <w:spacing w:after="0" w:line="259" w:lineRule="auto"/>
        <w:tabs>
          <w:tab w:leader="none" w:pos="15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6.03(e)) have been delivered to the Trustee for cancellation; or</w:t>
      </w:r>
    </w:p>
    <w:p>
      <w:pPr>
        <w:spacing w:after="0" w:line="78" w:lineRule="exact"/>
        <w:rPr>
          <w:rFonts w:ascii="Arial" w:cs="Arial" w:eastAsia="Arial" w:hAnsi="Arial"/>
          <w:sz w:val="18"/>
          <w:szCs w:val="18"/>
          <w:color w:val="auto"/>
        </w:rPr>
      </w:pPr>
    </w:p>
    <w:p>
      <w:pPr>
        <w:ind w:left="1560" w:hanging="269"/>
        <w:spacing w:after="0"/>
        <w:tabs>
          <w:tab w:leader="none" w:pos="15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the Trustee for cancellation,</w:t>
      </w:r>
    </w:p>
    <w:p>
      <w:pPr>
        <w:spacing w:after="0" w:line="117" w:lineRule="exact"/>
        <w:rPr>
          <w:rFonts w:ascii="Arial" w:cs="Arial" w:eastAsia="Arial" w:hAnsi="Arial"/>
          <w:sz w:val="18"/>
          <w:szCs w:val="18"/>
          <w:color w:val="auto"/>
        </w:rPr>
      </w:pPr>
    </w:p>
    <w:p>
      <w:pPr>
        <w:ind w:left="2500" w:hanging="297"/>
        <w:spacing w:after="0"/>
        <w:tabs>
          <w:tab w:leader="none" w:pos="25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480" w:hanging="277"/>
        <w:spacing w:after="0"/>
        <w:tabs>
          <w:tab w:leader="none" w:pos="24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880" w:right="140" w:firstLine="1323"/>
        <w:spacing w:after="0" w:line="264" w:lineRule="auto"/>
        <w:tabs>
          <w:tab w:leader="none" w:pos="2483" w:val="left"/>
        </w:tabs>
        <w:numPr>
          <w:ilvl w:val="2"/>
          <w:numId w:val="89"/>
        </w:numPr>
        <w:rPr>
          <w:rFonts w:ascii="Arial" w:cs="Arial" w:eastAsia="Arial" w:hAnsi="Arial"/>
          <w:sz w:val="18"/>
          <w:szCs w:val="18"/>
          <w:color w:val="auto"/>
        </w:rPr>
      </w:pPr>
      <w:r>
        <w:rPr>
          <w:rFonts w:ascii="Arial" w:cs="Arial" w:eastAsia="Arial" w:hAnsi="Arial"/>
          <w:sz w:val="18"/>
          <w:szCs w:val="18"/>
          <w:color w:val="auto"/>
        </w:rPr>
        <w:t>if redeemable at the option of the Company (including, without limitation, by operation of any mandatory sinking fund), are to be called for redemption within one year under arrangements satisfactory to the Trustee for the giving of notice of redemption by the Trustee in the name, and at the expense,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84" w:name="page85"/>
    <w:bookmarkEnd w:id="84"/>
    <w:p>
      <w:pPr>
        <w:ind w:left="44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Company, in the case of (A), (B) or (C) above, has irrevocably deposited or caused to be deposited with the Trustee funds in trust for the purpose an amount in cash in the Currency in which such Securities are payable (subject to Section 12.08) sufficient to pay and discharge the entire indebtedness on such Securities for principal and premium, if any, and interest to the date of such deposit (in the case of Securities that have become due and payable) or to the Stated Maturity thereof or, in the case of Securities of such series which are to be called for redemption as contemplated by (C) above, the applicable Redemption Date, as the case may be, and including any mandatory sinking fund payments as and when the same shall become due and payable;</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 the Company has paid or caused to be paid all other sums payable hereunder by the Company with respect to the Securities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and</w:t>
      </w:r>
    </w:p>
    <w:p>
      <w:pPr>
        <w:spacing w:after="0" w:line="103" w:lineRule="exact"/>
        <w:rPr>
          <w:sz w:val="20"/>
          <w:szCs w:val="20"/>
          <w:color w:val="auto"/>
        </w:rPr>
      </w:pPr>
    </w:p>
    <w:p>
      <w:pPr>
        <w:ind w:right="200" w:firstLine="885"/>
        <w:spacing w:after="0" w:line="308" w:lineRule="auto"/>
        <w:tabs>
          <w:tab w:leader="none" w:pos="112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w:t>
      </w:r>
    </w:p>
    <w:p>
      <w:pPr>
        <w:spacing w:after="0" w:line="14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Notwithstanding the satisfaction and discharge of this Indenture with respect to the Securities of any series, the obligations of the Company to the Trustee under Section 11.01, the provisions of Sections 3.04, 3.05, 3.06, 3.07, 3.10, 6.02 and 6.03 and this Article XII, and, if the Securities of such series are to be redeemed prior to their Stated Maturity (including, without limitation, pursuant to a mandatory sinking fund), the provisions of Article IV hereof, and, if the Securities of such series are convertible into or exchangeable for other securities or property, the rights of the Holders of such Securities to convert or exchange, and the obligations of the Company to convert or exchange, such Securities into other securities or property, and, if money shall have been deposited with the Trustee pursuant to clause (a) of this Section, the obligations of the Trustee under Section 12.07 and Section 6.03(e) shall survive such satisfaction and discharge.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Defeasance and Covenant Defeasance upon Deposit of Moneys or U.S. Government Obligations</w:t>
      </w:r>
      <w:r>
        <w:rPr>
          <w:rFonts w:ascii="Arial" w:cs="Arial" w:eastAsia="Arial" w:hAnsi="Arial"/>
          <w:sz w:val="16"/>
          <w:szCs w:val="16"/>
          <w:color w:val="auto"/>
        </w:rPr>
        <w:t>. At the Company’s option, either</w:t>
      </w:r>
    </w:p>
    <w:p>
      <w:pPr>
        <w:spacing w:after="0" w:line="46" w:lineRule="exact"/>
        <w:rPr>
          <w:sz w:val="20"/>
          <w:szCs w:val="20"/>
          <w:color w:val="auto"/>
        </w:rPr>
      </w:pPr>
    </w:p>
    <w:p>
      <w:pPr>
        <w:ind w:right="100" w:firstLine="4"/>
        <w:spacing w:after="0" w:line="253"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shall be deemed to have been Discharged (as defined below) from its obligations with respect to Securities of any series on the first day after the applicable conditions set forth below have been satisfied or (y)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(“covenant defeasance”) upon the satisfaction of the applicable conditions set forth below:</w:t>
      </w:r>
    </w:p>
    <w:p>
      <w:pPr>
        <w:spacing w:after="0" w:line="83" w:lineRule="exact"/>
        <w:rPr>
          <w:rFonts w:ascii="Arial" w:cs="Arial" w:eastAsia="Arial" w:hAnsi="Arial"/>
          <w:sz w:val="18"/>
          <w:szCs w:val="18"/>
          <w:color w:val="auto"/>
        </w:rPr>
      </w:pPr>
    </w:p>
    <w:p>
      <w:pPr>
        <w:ind w:firstLine="885"/>
        <w:spacing w:after="0" w:line="255" w:lineRule="auto"/>
        <w:tabs>
          <w:tab w:leader="none" w:pos="112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the Currency in which such Securities are payable in an amount, or (ii) U.S. Government Obligations (as defined below) that, through the payment of interest and principal in respect thereof in accordance with their terms, will provide, not later than one day before the due date of any payment, money in the Currency in which such Securities are payable in an amount, or (iii) a combination of (i) and (ii), sufficient (without consideration of any reinvestment of such principal and interest) to pay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85" w:name="page86"/>
    <w:bookmarkEnd w:id="8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discharge each installment of principal (including any mandatory sinking fund payments) of and premium, if any, and interest on, the Outstanding Securities of such series on the dates such installments of interest or principal and premium are due and, if the Securities of such series are to be called for redemption as described in clause (d) below, to pay and discharge the Redemption Price on the Securities called for redemption on the applicable Redemption Date;</w:t>
      </w:r>
    </w:p>
    <w:p>
      <w:pPr>
        <w:spacing w:after="0" w:line="79" w:lineRule="exact"/>
        <w:rPr>
          <w:sz w:val="20"/>
          <w:szCs w:val="20"/>
          <w:color w:val="auto"/>
        </w:rPr>
      </w:pPr>
    </w:p>
    <w:p>
      <w:pPr>
        <w:ind w:right="260" w:firstLine="885"/>
        <w:spacing w:after="0" w:line="277" w:lineRule="auto"/>
        <w:tabs>
          <w:tab w:leader="none" w:pos="11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Default with respect to the Securities of such series shall have occurred and be continuing on the date of such deposit (other than a Default resulting from the borrowing of funds and the grant of any related liens to be applied to such deposit);</w:t>
      </w:r>
    </w:p>
    <w:p>
      <w:pPr>
        <w:spacing w:after="0" w:line="62" w:lineRule="exact"/>
        <w:rPr>
          <w:rFonts w:ascii="Arial" w:cs="Arial" w:eastAsia="Arial" w:hAnsi="Arial"/>
          <w:sz w:val="18"/>
          <w:szCs w:val="18"/>
          <w:color w:val="auto"/>
        </w:rPr>
      </w:pPr>
    </w:p>
    <w:p>
      <w:pPr>
        <w:ind w:right="60" w:firstLine="885"/>
        <w:spacing w:after="0" w:line="255" w:lineRule="auto"/>
        <w:tabs>
          <w:tab w:leader="none" w:pos="112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option had not been exercised and, in the case of the Securities of such series being Discharged pursuant to clause (x) of the first paragraph of this Section 12.03, such Opinion of Counsel shall be based upon and accompanied by a ruling to that effect received by the Company from or published by the Internal Revenue Service;</w:t>
      </w:r>
    </w:p>
    <w:p>
      <w:pPr>
        <w:spacing w:after="0" w:line="85" w:lineRule="exact"/>
        <w:rPr>
          <w:rFonts w:ascii="Arial" w:cs="Arial" w:eastAsia="Arial" w:hAnsi="Arial"/>
          <w:sz w:val="18"/>
          <w:szCs w:val="18"/>
          <w:color w:val="auto"/>
        </w:rPr>
      </w:pPr>
    </w:p>
    <w:p>
      <w:pPr>
        <w:ind w:right="100" w:firstLine="885"/>
        <w:spacing w:after="0" w:line="297" w:lineRule="auto"/>
        <w:tabs>
          <w:tab w:leader="none" w:pos="1136"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monies or U.S. Government Obligations or combination thereof, as the case may be, deposited under clause (a) above are sufficient to pay the principal of and premium, if any, and interest on the Securities of such series (including, without limitation, any mandatory sinking fund payment) or any portion thereof to be redeemed on a particular Redemption Date (including, without limitation, pursuant to a mandatory sinking fund), the Company shall have given to the Trustee irrevocable instructions to redeem such Securities on such date and shall have made arrangements satisfactory to the Trustee for the giving of notice of such redemption by the Trustee in the name, and at the expense, of the Company; and</w:t>
      </w:r>
    </w:p>
    <w:p>
      <w:pPr>
        <w:spacing w:after="0" w:line="50" w:lineRule="exact"/>
        <w:rPr>
          <w:rFonts w:ascii="Arial" w:cs="Arial" w:eastAsia="Arial" w:hAnsi="Arial"/>
          <w:sz w:val="16"/>
          <w:szCs w:val="16"/>
          <w:color w:val="auto"/>
        </w:rPr>
      </w:pPr>
    </w:p>
    <w:p>
      <w:pPr>
        <w:ind w:right="500" w:firstLine="885"/>
        <w:spacing w:after="0" w:line="277" w:lineRule="auto"/>
        <w:tabs>
          <w:tab w:leader="none" w:pos="112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such action under this Indenture have been complied with.</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“Discharged” means, with respect to the Securities of any series,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for the following, all of which shall survive such Discharge and remain in full force and effect with respect to the Securities of such series: (A) the rights of Holders of Securities of such series to receive, from the trust fund described in clause (a) above, payment of the principal of and premium, if any, and interest on such Securities when such payments are due, (B) Sections 3.04, 3.05, 3.06, 3.07, 3.10, 6.02 and 6.03, (C) if the Securities of such series are to be redeemed prior to their Stated Maturity, the provisions of Article IV hereof, (D) if the Securities of such series are convertible into or exchangeable for other securities or property, the rights of the Holders of such Securities to convert or exchange, and the obligations of the Company to convert or exchange, such Securities into such other securities or property, (E) the provisions of this Article XII and (F) the rights, powers, trusts, duties and immunities of the Trustee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86" w:name="page87"/>
    <w:bookmarkEnd w:id="86"/>
    <w:p>
      <w:pPr>
        <w:ind w:right="8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16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 The Trustee and any Paying Agent shall promptly pay to the Company (or to its designee) upon delivery of a Company Order any moneys or U.S. Government Obligations deposited pursuant to Sections 12.02 and 12.03 with respect to the Securities of any series and held by them that are in excess of the monies and/or U.S. Government Obligations that were required to effect the satisfaction and discharge, covenant defeasance or Discharge, as applicable, with respect to the Securities of such series, including any such moneys or obligations held by the Trustee under any escrow trust agreement entered into pursuant to Section 12.06. The provisions of Section 6.03(e) shall apply to any money held by the Trustee or any Paying Agent under this Article.</w:t>
      </w:r>
    </w:p>
    <w:p>
      <w:pPr>
        <w:spacing w:after="0" w:line="193"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Indemnity for U.S. Government Obligations</w:t>
      </w:r>
      <w:r>
        <w:rPr>
          <w:rFonts w:ascii="Arial" w:cs="Arial" w:eastAsia="Arial" w:hAnsi="Arial"/>
          <w:sz w:val="18"/>
          <w:szCs w:val="18"/>
          <w:color w:val="auto"/>
        </w:rPr>
        <w:t>. The Company shall pay and shall indemnify the Trustee against any tax, fee or other charge imposed on or assessed against the deposited U.S. Government Obligations or the principal or interest received on such U.S. Government Obligations.</w:t>
      </w:r>
    </w:p>
    <w:p>
      <w:pPr>
        <w:spacing w:after="0" w:line="18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Deposits to Be Held in Escrow</w:t>
      </w:r>
      <w:r>
        <w:rPr>
          <w:rFonts w:ascii="Arial" w:cs="Arial" w:eastAsia="Arial" w:hAnsi="Arial"/>
          <w:sz w:val="16"/>
          <w:szCs w:val="16"/>
          <w:color w:val="auto"/>
        </w:rPr>
        <w:t>. Any deposits with the Trustee referred to in Section 12.03 above shall be irrevocable (except to the extent provided in Sections 12.04 and 6.03(e)) and shall be made under the terms of an escrow trust agreement.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Application of Trust Money</w:t>
      </w:r>
      <w:r>
        <w:rPr>
          <w:rFonts w:ascii="Arial" w:cs="Arial" w:eastAsia="Arial" w:hAnsi="Arial"/>
          <w:sz w:val="18"/>
          <w:szCs w:val="18"/>
          <w:color w:val="auto"/>
        </w:rPr>
        <w:t>.</w:t>
      </w:r>
    </w:p>
    <w:p>
      <w:pPr>
        <w:spacing w:after="0" w:line="117" w:lineRule="exact"/>
        <w:rPr>
          <w:sz w:val="20"/>
          <w:szCs w:val="20"/>
          <w:color w:val="auto"/>
        </w:rPr>
      </w:pPr>
    </w:p>
    <w:p>
      <w:pPr>
        <w:ind w:right="160" w:firstLine="885"/>
        <w:spacing w:after="0" w:line="277" w:lineRule="auto"/>
        <w:tabs>
          <w:tab w:leader="none" w:pos="1126"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Neither the Trustee nor any other Paying Agent shall be required to pay interest on any moneys deposited pursuant to the provisions of this Indenture, except such as it shall agree with the Company in writing to pay thereon.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87" w:name="page88"/>
    <w:bookmarkEnd w:id="87"/>
    <w:p>
      <w:pPr>
        <w:ind w:right="40" w:firstLine="885"/>
        <w:spacing w:after="0" w:line="290" w:lineRule="auto"/>
        <w:tabs>
          <w:tab w:leader="none" w:pos="1136"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6.03(e), any monies and U.S. Government Obligations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and such funds shall be applied by the Trustee or Paying Agent in accordance with the provisions of such Securities and this Indenture to the payment of all sums due and to become due on such Securities in respect of principal and premium, if any, and interest; but such moneys need not be segregated from other funds except to the extent required by law. Anything in this Indenture to the contrary notwithstanding, neither the Company nor any of its Subsidiaries nor any of their respective Affiliates may act as Paying Agent for any Securities in respect of which money or U.S. Government Obligations have been deposited pursuant to this Article XII.</w:t>
      </w:r>
    </w:p>
    <w:p>
      <w:pPr>
        <w:spacing w:after="0" w:line="166" w:lineRule="exact"/>
        <w:rPr>
          <w:sz w:val="20"/>
          <w:szCs w:val="20"/>
          <w:color w:val="auto"/>
        </w:rPr>
      </w:pPr>
    </w:p>
    <w:p>
      <w:pPr>
        <w:ind w:right="380" w:firstLine="441"/>
        <w:spacing w:after="0" w:line="312"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u w:val="single" w:color="auto"/>
          <w:color w:val="auto"/>
        </w:rPr>
        <w:t>Deposits of Non-U.S. Currencies</w:t>
      </w:r>
      <w:r>
        <w:rPr>
          <w:rFonts w:ascii="Arial" w:cs="Arial" w:eastAsia="Arial" w:hAnsi="Arial"/>
          <w:sz w:val="16"/>
          <w:szCs w:val="16"/>
          <w:color w:val="auto"/>
        </w:rPr>
        <w:t>. 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a Board Resolution, a Company Order or in one or more supplemental indentures hereto.</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IMMUNITY OF CERTAIN PERSONS</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No Personal Liability</w:t>
      </w:r>
      <w:r>
        <w:rPr>
          <w:rFonts w:ascii="Arial" w:cs="Arial" w:eastAsia="Arial" w:hAnsi="Arial"/>
          <w:sz w:val="16"/>
          <w:szCs w:val="16"/>
          <w:color w:val="auto"/>
        </w:rPr>
        <w:t>. 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Without Consent of Securityholders</w:t>
      </w:r>
      <w:r>
        <w:rPr>
          <w:rFonts w:ascii="Arial" w:cs="Arial" w:eastAsia="Arial" w:hAnsi="Arial"/>
          <w:sz w:val="18"/>
          <w:szCs w:val="18"/>
          <w:color w:val="auto"/>
        </w:rPr>
        <w:t>. 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73" w:lineRule="exact"/>
        <w:rPr>
          <w:sz w:val="20"/>
          <w:szCs w:val="20"/>
          <w:color w:val="auto"/>
        </w:rPr>
      </w:pPr>
    </w:p>
    <w:p>
      <w:pPr>
        <w:ind w:right="260" w:firstLine="885"/>
        <w:spacing w:after="0" w:line="257" w:lineRule="auto"/>
        <w:tabs>
          <w:tab w:leader="none" w:pos="11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80" w:lineRule="exact"/>
        <w:rPr>
          <w:rFonts w:ascii="Arial" w:cs="Arial" w:eastAsia="Arial" w:hAnsi="Arial"/>
          <w:sz w:val="18"/>
          <w:szCs w:val="18"/>
          <w:color w:val="auto"/>
        </w:rPr>
      </w:pPr>
    </w:p>
    <w:p>
      <w:pPr>
        <w:ind w:right="60" w:firstLine="885"/>
        <w:spacing w:after="0" w:line="259" w:lineRule="auto"/>
        <w:tabs>
          <w:tab w:leader="none" w:pos="11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delete or modify any Events of Default with respect to any series of the Securities, the form and terms of which are being first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78" w:lineRule="exact"/>
        <w:rPr>
          <w:rFonts w:ascii="Arial" w:cs="Arial" w:eastAsia="Arial" w:hAnsi="Arial"/>
          <w:sz w:val="18"/>
          <w:szCs w:val="18"/>
          <w:color w:val="auto"/>
        </w:rPr>
      </w:pPr>
    </w:p>
    <w:p>
      <w:pPr>
        <w:ind w:firstLine="885"/>
        <w:spacing w:after="0" w:line="264" w:lineRule="auto"/>
        <w:tabs>
          <w:tab w:leader="none" w:pos="112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73" w:lineRule="exact"/>
        <w:rPr>
          <w:rFonts w:ascii="Arial" w:cs="Arial" w:eastAsia="Arial" w:hAnsi="Arial"/>
          <w:sz w:val="18"/>
          <w:szCs w:val="18"/>
          <w:color w:val="auto"/>
        </w:rPr>
      </w:pPr>
    </w:p>
    <w:p>
      <w:pPr>
        <w:ind w:right="80" w:firstLine="885"/>
        <w:spacing w:after="0" w:line="264" w:lineRule="auto"/>
        <w:tabs>
          <w:tab w:leader="none" w:pos="11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73" w:lineRule="exact"/>
        <w:rPr>
          <w:rFonts w:ascii="Arial" w:cs="Arial" w:eastAsia="Arial" w:hAnsi="Arial"/>
          <w:sz w:val="18"/>
          <w:szCs w:val="18"/>
          <w:color w:val="auto"/>
        </w:rPr>
      </w:pPr>
    </w:p>
    <w:p>
      <w:pPr>
        <w:ind w:right="320" w:firstLine="885"/>
        <w:spacing w:after="0" w:line="342" w:lineRule="auto"/>
        <w:tabs>
          <w:tab w:leader="none" w:pos="112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evidence the succession of another entity to the Company, or successive successions, and the assumption by such successor of the covenants and obligations of the Company contained in the Securities of one or more series and in this Indenture or any supplemental indenture;</w:t>
      </w:r>
    </w:p>
    <w:p>
      <w:pPr>
        <w:spacing w:after="0" w:line="15" w:lineRule="exact"/>
        <w:rPr>
          <w:rFonts w:ascii="Arial" w:cs="Arial" w:eastAsia="Arial" w:hAnsi="Arial"/>
          <w:sz w:val="16"/>
          <w:szCs w:val="16"/>
          <w:color w:val="auto"/>
        </w:rPr>
      </w:pPr>
    </w:p>
    <w:p>
      <w:pPr>
        <w:ind w:right="60" w:firstLine="885"/>
        <w:spacing w:after="0" w:line="264" w:lineRule="auto"/>
        <w:tabs>
          <w:tab w:leader="none" w:pos="11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0" w:right="479" w:bottom="1440" w:gutter="0" w:footer="0" w:header="0"/>
        </w:sectPr>
      </w:pPr>
    </w:p>
    <w:bookmarkStart w:id="89" w:name="page90"/>
    <w:bookmarkEnd w:id="89"/>
    <w:p>
      <w:pPr>
        <w:ind w:left="1140" w:hanging="255"/>
        <w:spacing w:after="0"/>
        <w:tabs>
          <w:tab w:leader="none" w:pos="1140"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evidence any changes to this Indenture pursuant to Sections 11.05, 11.06 or 11.07 hereof as permitted by the terms thereof;</w:t>
      </w:r>
    </w:p>
    <w:p>
      <w:pPr>
        <w:spacing w:after="0" w:line="128" w:lineRule="exact"/>
        <w:rPr>
          <w:rFonts w:ascii="Arial" w:cs="Arial" w:eastAsia="Arial" w:hAnsi="Arial"/>
          <w:sz w:val="17"/>
          <w:szCs w:val="17"/>
          <w:color w:val="auto"/>
        </w:rPr>
      </w:pPr>
    </w:p>
    <w:p>
      <w:pPr>
        <w:jc w:val="both"/>
        <w:ind w:right="80" w:firstLine="885"/>
        <w:spacing w:after="0" w:line="302" w:lineRule="auto"/>
        <w:tabs>
          <w:tab w:leader="none" w:pos="109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cure any ambiguity or inconsistency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46" w:lineRule="exact"/>
        <w:rPr>
          <w:rFonts w:ascii="Arial" w:cs="Arial" w:eastAsia="Arial" w:hAnsi="Arial"/>
          <w:sz w:val="16"/>
          <w:szCs w:val="16"/>
          <w:color w:val="auto"/>
        </w:rPr>
      </w:pPr>
    </w:p>
    <w:p>
      <w:pPr>
        <w:ind w:right="60" w:firstLine="885"/>
        <w:spacing w:after="0" w:line="277" w:lineRule="auto"/>
        <w:tabs>
          <w:tab w:leader="none" w:pos="10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w:t>
      </w:r>
    </w:p>
    <w:p>
      <w:pPr>
        <w:spacing w:after="0" w:line="62" w:lineRule="exact"/>
        <w:rPr>
          <w:rFonts w:ascii="Arial" w:cs="Arial" w:eastAsia="Arial" w:hAnsi="Arial"/>
          <w:sz w:val="18"/>
          <w:szCs w:val="18"/>
          <w:color w:val="auto"/>
        </w:rPr>
      </w:pPr>
    </w:p>
    <w:p>
      <w:pPr>
        <w:ind w:right="280" w:firstLine="885"/>
        <w:spacing w:after="0" w:line="277" w:lineRule="auto"/>
        <w:tabs>
          <w:tab w:leader="none" w:pos="11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or to release guarantors from their guarantees of Securities in accordance with the terms of the applicable series of Securities;</w:t>
      </w:r>
    </w:p>
    <w:p>
      <w:pPr>
        <w:spacing w:after="0" w:line="62" w:lineRule="exact"/>
        <w:rPr>
          <w:rFonts w:ascii="Arial" w:cs="Arial" w:eastAsia="Arial" w:hAnsi="Arial"/>
          <w:sz w:val="18"/>
          <w:szCs w:val="18"/>
          <w:color w:val="auto"/>
        </w:rPr>
      </w:pPr>
    </w:p>
    <w:p>
      <w:pPr>
        <w:ind w:left="1100" w:hanging="215"/>
        <w:spacing w:after="0"/>
        <w:tabs>
          <w:tab w:leader="none" w:pos="11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make any change in any series of Securities that does not adversely affect in any material respect the rights of the Holders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102" w:lineRule="exact"/>
        <w:rPr>
          <w:rFonts w:ascii="Arial" w:cs="Arial" w:eastAsia="Arial" w:hAnsi="Arial"/>
          <w:sz w:val="16"/>
          <w:szCs w:val="16"/>
          <w:color w:val="auto"/>
        </w:rPr>
      </w:pPr>
    </w:p>
    <w:p>
      <w:pPr>
        <w:ind w:left="1200" w:hanging="315"/>
        <w:spacing w:after="0"/>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117" w:lineRule="exact"/>
        <w:rPr>
          <w:rFonts w:ascii="Arial" w:cs="Arial" w:eastAsia="Arial" w:hAnsi="Arial"/>
          <w:sz w:val="18"/>
          <w:szCs w:val="18"/>
          <w:color w:val="auto"/>
        </w:rPr>
      </w:pPr>
    </w:p>
    <w:p>
      <w:pPr>
        <w:ind w:right="200" w:firstLine="885"/>
        <w:spacing w:after="0" w:line="264" w:lineRule="auto"/>
        <w:tabs>
          <w:tab w:leader="none" w:pos="11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 in any material respect;</w:t>
      </w:r>
    </w:p>
    <w:p>
      <w:pPr>
        <w:spacing w:after="0" w:line="73" w:lineRule="exact"/>
        <w:rPr>
          <w:rFonts w:ascii="Arial" w:cs="Arial" w:eastAsia="Arial" w:hAnsi="Arial"/>
          <w:sz w:val="18"/>
          <w:szCs w:val="18"/>
          <w:color w:val="auto"/>
        </w:rPr>
      </w:pPr>
    </w:p>
    <w:p>
      <w:pPr>
        <w:ind w:left="1140" w:hanging="255"/>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 or</w:t>
      </w:r>
    </w:p>
    <w:p>
      <w:pPr>
        <w:spacing w:after="0" w:line="117" w:lineRule="exact"/>
        <w:rPr>
          <w:rFonts w:ascii="Arial" w:cs="Arial" w:eastAsia="Arial" w:hAnsi="Arial"/>
          <w:sz w:val="18"/>
          <w:szCs w:val="18"/>
          <w:color w:val="auto"/>
        </w:rPr>
      </w:pPr>
    </w:p>
    <w:p>
      <w:pPr>
        <w:ind w:right="180" w:firstLine="885"/>
        <w:spacing w:after="0" w:line="312" w:lineRule="auto"/>
        <w:tabs>
          <w:tab w:leader="none" w:pos="1136"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8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14.01 may be executed by the Company and the Trustee without the consent of the Holders of any of the Securities at the time Outstanding.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14.02 </w:t>
      </w:r>
      <w:r>
        <w:rPr>
          <w:rFonts w:ascii="Arial" w:cs="Arial" w:eastAsia="Arial" w:hAnsi="Arial"/>
          <w:sz w:val="18"/>
          <w:szCs w:val="18"/>
          <w:u w:val="single" w:color="auto"/>
          <w:color w:val="auto"/>
        </w:rPr>
        <w:t>With Consent of Securityholders; Limitations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97" w:lineRule="auto"/>
        <w:tabs>
          <w:tab w:leader="none" w:pos="1126" w:val="left"/>
        </w:tabs>
        <w:numPr>
          <w:ilvl w:val="0"/>
          <w:numId w:val="97"/>
        </w:numPr>
        <w:rPr>
          <w:rFonts w:ascii="Arial" w:cs="Arial" w:eastAsia="Arial" w:hAnsi="Arial"/>
          <w:sz w:val="16"/>
          <w:szCs w:val="16"/>
          <w:color w:val="auto"/>
        </w:rPr>
      </w:pPr>
      <w:r>
        <w:rPr>
          <w:rFonts w:ascii="Arial" w:cs="Arial" w:eastAsia="Arial" w:hAnsi="Arial"/>
          <w:sz w:val="16"/>
          <w:szCs w:val="16"/>
          <w:color w:val="auto"/>
        </w:rPr>
        <w:t>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50" w:lineRule="exact"/>
        <w:rPr>
          <w:rFonts w:ascii="Arial" w:cs="Arial" w:eastAsia="Arial" w:hAnsi="Arial"/>
          <w:sz w:val="16"/>
          <w:szCs w:val="16"/>
          <w:color w:val="auto"/>
        </w:rPr>
      </w:pPr>
    </w:p>
    <w:p>
      <w:pPr>
        <w:ind w:left="440" w:right="40" w:firstLine="851"/>
        <w:spacing w:after="0" w:line="271" w:lineRule="auto"/>
        <w:tabs>
          <w:tab w:leader="none" w:pos="1501" w:val="left"/>
        </w:tabs>
        <w:numPr>
          <w:ilvl w:val="1"/>
          <w:numId w:val="97"/>
        </w:numPr>
        <w:rPr>
          <w:rFonts w:ascii="Arial" w:cs="Arial" w:eastAsia="Arial" w:hAnsi="Arial"/>
          <w:sz w:val="17"/>
          <w:szCs w:val="17"/>
          <w:color w:val="auto"/>
        </w:rPr>
      </w:pPr>
      <w:r>
        <w:rPr>
          <w:rFonts w:ascii="Arial" w:cs="Arial" w:eastAsia="Arial" w:hAnsi="Arial"/>
          <w:sz w:val="17"/>
          <w:szCs w:val="17"/>
          <w:color w:val="auto"/>
        </w:rPr>
        <w:t>extend the Stated Maturity of the principal of, or any installment of interest on, any Security, or reduce the principal amount thereof or the interest thereon or any premium payable thereon,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acceleration of the Maturity thereof pursuant to Section 7.02, change the ranking of any Security or, in the case of any subordinated Security, the definition of Senior Indebtedness applicable thereto,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70" w:lineRule="exact"/>
        <w:rPr>
          <w:rFonts w:ascii="Arial" w:cs="Arial" w:eastAsia="Arial" w:hAnsi="Arial"/>
          <w:sz w:val="17"/>
          <w:szCs w:val="17"/>
          <w:color w:val="auto"/>
        </w:rPr>
      </w:pPr>
    </w:p>
    <w:p>
      <w:pPr>
        <w:ind w:left="440" w:firstLine="851"/>
        <w:spacing w:after="0" w:line="257" w:lineRule="auto"/>
        <w:tabs>
          <w:tab w:leader="none" w:pos="1551" w:val="left"/>
        </w:tabs>
        <w:numPr>
          <w:ilvl w:val="1"/>
          <w:numId w:val="97"/>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80" w:lineRule="exact"/>
        <w:rPr>
          <w:rFonts w:ascii="Arial" w:cs="Arial" w:eastAsia="Arial" w:hAnsi="Arial"/>
          <w:sz w:val="18"/>
          <w:szCs w:val="18"/>
          <w:color w:val="auto"/>
        </w:rPr>
      </w:pPr>
    </w:p>
    <w:p>
      <w:pPr>
        <w:ind w:left="1600" w:hanging="309"/>
        <w:spacing w:after="0"/>
        <w:tabs>
          <w:tab w:leader="none" w:pos="16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modify, without the written consent of the Trustee, the rights, duties or immunities of the Trustee.</w:t>
      </w:r>
    </w:p>
    <w:p>
      <w:pPr>
        <w:spacing w:after="0" w:line="117" w:lineRule="exact"/>
        <w:rPr>
          <w:rFonts w:ascii="Arial" w:cs="Arial" w:eastAsia="Arial" w:hAnsi="Arial"/>
          <w:sz w:val="18"/>
          <w:szCs w:val="18"/>
          <w:color w:val="auto"/>
        </w:rPr>
      </w:pPr>
    </w:p>
    <w:p>
      <w:pPr>
        <w:ind w:right="300" w:firstLine="885"/>
        <w:spacing w:after="0" w:line="312" w:lineRule="auto"/>
        <w:tabs>
          <w:tab w:leader="none" w:pos="113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38" w:lineRule="exact"/>
        <w:rPr>
          <w:rFonts w:ascii="Arial" w:cs="Arial" w:eastAsia="Arial" w:hAnsi="Arial"/>
          <w:sz w:val="16"/>
          <w:szCs w:val="16"/>
          <w:color w:val="auto"/>
        </w:rPr>
      </w:pPr>
    </w:p>
    <w:p>
      <w:pPr>
        <w:ind w:right="200" w:firstLine="885"/>
        <w:spacing w:after="0" w:line="277" w:lineRule="auto"/>
        <w:tabs>
          <w:tab w:leader="none" w:pos="11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91" w:name="page92"/>
    <w:bookmarkEnd w:id="91"/>
    <w:p>
      <w:pPr>
        <w:ind w:right="80" w:firstLine="885"/>
        <w:spacing w:after="0" w:line="259" w:lineRule="auto"/>
        <w:tabs>
          <w:tab w:leader="none" w:pos="1136"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78" w:lineRule="exact"/>
        <w:rPr>
          <w:rFonts w:ascii="Arial" w:cs="Arial" w:eastAsia="Arial" w:hAnsi="Arial"/>
          <w:sz w:val="18"/>
          <w:szCs w:val="18"/>
          <w:color w:val="auto"/>
        </w:rPr>
      </w:pPr>
    </w:p>
    <w:p>
      <w:pPr>
        <w:ind w:left="1140" w:hanging="255"/>
        <w:spacing w:after="0"/>
        <w:tabs>
          <w:tab w:leader="none" w:pos="11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Promptly after the execution by the Company and the Trustee of any supplemental indenture pursuant to the provisions of this</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9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u w:val="single" w:color="auto"/>
          <w:color w:val="auto"/>
        </w:rPr>
        <w:t>Trustee Protected</w:t>
      </w:r>
      <w:r>
        <w:rPr>
          <w:rFonts w:ascii="Arial" w:cs="Arial" w:eastAsia="Arial" w:hAnsi="Arial"/>
          <w:sz w:val="16"/>
          <w:szCs w:val="16"/>
          <w:color w:val="auto"/>
        </w:rPr>
        <w:t>. Upon the request of the Company, accompanied by the Officer’s Certificate and Opinion of Counsel required by Section 16.01 and stating that any supplemental indenture executed pursuant to this Article is authorized or permitted by this Indenture and that such supplemental indenture is the valid and binding obligation of the Company, enforceable against the Company in accordance with its terms,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16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Effect of Execution of Supplemental Indenture</w:t>
      </w:r>
      <w:r>
        <w:rPr>
          <w:rFonts w:ascii="Arial" w:cs="Arial" w:eastAsia="Arial" w:hAnsi="Arial"/>
          <w:sz w:val="17"/>
          <w:szCs w:val="17"/>
          <w:color w:val="auto"/>
        </w:rPr>
        <w:t>. 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8"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 xml:space="preserve">Section 14.05 </w:t>
      </w:r>
      <w:r>
        <w:rPr>
          <w:rFonts w:ascii="Arial" w:cs="Arial" w:eastAsia="Arial" w:hAnsi="Arial"/>
          <w:sz w:val="17"/>
          <w:szCs w:val="17"/>
          <w:u w:val="single" w:color="auto"/>
          <w:color w:val="auto"/>
        </w:rPr>
        <w:t>Notation on or Exchange of Securities</w:t>
      </w:r>
      <w:r>
        <w:rPr>
          <w:rFonts w:ascii="Arial" w:cs="Arial" w:eastAsia="Arial" w:hAnsi="Arial"/>
          <w:sz w:val="17"/>
          <w:szCs w:val="17"/>
          <w:color w:val="auto"/>
        </w:rPr>
        <w:t>. 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92" w:name="page93"/>
    <w:bookmarkEnd w:id="92"/>
    <w:p>
      <w:pPr>
        <w:ind w:right="6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14.06 </w:t>
      </w:r>
      <w:r>
        <w:rPr>
          <w:rFonts w:ascii="Arial" w:cs="Arial" w:eastAsia="Arial" w:hAnsi="Arial"/>
          <w:sz w:val="18"/>
          <w:szCs w:val="18"/>
          <w:u w:val="single" w:color="auto"/>
          <w:color w:val="auto"/>
        </w:rPr>
        <w:t>Conformity with TIA</w:t>
      </w:r>
      <w:r>
        <w:rPr>
          <w:rFonts w:ascii="Arial" w:cs="Arial" w:eastAsia="Arial" w:hAnsi="Arial"/>
          <w:sz w:val="18"/>
          <w:szCs w:val="18"/>
          <w:color w:val="auto"/>
        </w:rPr>
        <w:t>. Every supplemental indenture executed pursuant to the provisions of this Article shall conform to the requirements of the Trust Indenture Act as then in effect.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229"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u w:val="single" w:color="auto"/>
          <w:color w:val="auto"/>
        </w:rPr>
        <w:t>Agreement to Subordinate</w:t>
      </w:r>
      <w:r>
        <w:rPr>
          <w:rFonts w:ascii="Arial" w:cs="Arial" w:eastAsia="Arial" w:hAnsi="Arial"/>
          <w:sz w:val="16"/>
          <w:szCs w:val="16"/>
          <w:color w:val="auto"/>
        </w:rPr>
        <w:t>. 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3.01(s), this Article XV shall have no effect upon the Securities.</w:t>
      </w:r>
    </w:p>
    <w:p>
      <w:pPr>
        <w:spacing w:after="0" w:line="16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Distribution on Dissolution, Liquidation and Reorganization; Subrogation of Securities</w:t>
      </w:r>
      <w:r>
        <w:rPr>
          <w:rFonts w:ascii="Arial" w:cs="Arial" w:eastAsia="Arial" w:hAnsi="Arial"/>
          <w:sz w:val="18"/>
          <w:szCs w:val="18"/>
          <w:color w:val="auto"/>
        </w:rPr>
        <w:t>. 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85" w:lineRule="exact"/>
        <w:rPr>
          <w:sz w:val="20"/>
          <w:szCs w:val="20"/>
          <w:color w:val="auto"/>
        </w:rPr>
      </w:pPr>
    </w:p>
    <w:p>
      <w:pPr>
        <w:ind w:right="20" w:firstLine="885"/>
        <w:spacing w:after="0" w:line="264" w:lineRule="auto"/>
        <w:tabs>
          <w:tab w:leader="none" w:pos="112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73" w:lineRule="exact"/>
        <w:rPr>
          <w:rFonts w:ascii="Arial" w:cs="Arial" w:eastAsia="Arial" w:hAnsi="Arial"/>
          <w:sz w:val="18"/>
          <w:szCs w:val="18"/>
          <w:color w:val="auto"/>
        </w:rPr>
      </w:pPr>
    </w:p>
    <w:p>
      <w:pPr>
        <w:ind w:right="20" w:firstLine="885"/>
        <w:spacing w:after="0" w:line="291" w:lineRule="auto"/>
        <w:tabs>
          <w:tab w:leader="none" w:pos="11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274" w:right="439" w:bottom="1440" w:gutter="0" w:footer="0" w:header="0"/>
        </w:sectPr>
      </w:pPr>
    </w:p>
    <w:bookmarkStart w:id="93" w:name="page94"/>
    <w:bookmarkEnd w:id="93"/>
    <w:p>
      <w:pPr>
        <w:ind w:left="-20" w:right="80" w:firstLine="885"/>
        <w:spacing w:after="0" w:line="272" w:lineRule="auto"/>
        <w:tabs>
          <w:tab w:leader="none" w:pos="1106"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69" w:lineRule="exact"/>
        <w:rPr>
          <w:rFonts w:ascii="Arial" w:cs="Arial" w:eastAsia="Arial" w:hAnsi="Arial"/>
          <w:sz w:val="17"/>
          <w:szCs w:val="17"/>
          <w:color w:val="auto"/>
        </w:rPr>
      </w:pPr>
    </w:p>
    <w:p>
      <w:pPr>
        <w:ind w:left="-20" w:firstLine="885"/>
        <w:spacing w:after="0" w:line="285" w:lineRule="auto"/>
        <w:tabs>
          <w:tab w:leader="none" w:pos="111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15.06,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60" w:top="274" w:right="459" w:bottom="1440" w:gutter="0" w:footer="0" w:header="0"/>
        </w:sectPr>
      </w:pPr>
    </w:p>
    <w:bookmarkStart w:id="94" w:name="page95"/>
    <w:bookmarkEnd w:id="94"/>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15.03 </w:t>
      </w:r>
      <w:r>
        <w:rPr>
          <w:rFonts w:ascii="Arial" w:cs="Arial" w:eastAsia="Arial" w:hAnsi="Arial"/>
          <w:sz w:val="18"/>
          <w:szCs w:val="18"/>
          <w:u w:val="single" w:color="auto"/>
          <w:color w:val="auto"/>
        </w:rPr>
        <w:t>No Payment on Securities in Event of Default on Senior Indebtedness</w:t>
      </w:r>
      <w:r>
        <w:rPr>
          <w:rFonts w:ascii="Arial" w:cs="Arial" w:eastAsia="Arial" w:hAnsi="Arial"/>
          <w:sz w:val="18"/>
          <w:szCs w:val="18"/>
          <w:color w:val="auto"/>
        </w:rPr>
        <w:t>. Subject to Section 15.01, no payment by the Company on account of principal (or premium, if any), sinking funds or interest, if any, on the Securities shall be made at any 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9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u w:val="single" w:color="auto"/>
          <w:color w:val="auto"/>
        </w:rPr>
        <w:t>Payments on Securities Permitted</w:t>
      </w:r>
      <w:r>
        <w:rPr>
          <w:rFonts w:ascii="Arial" w:cs="Arial" w:eastAsia="Arial" w:hAnsi="Arial"/>
          <w:sz w:val="16"/>
          <w:szCs w:val="16"/>
          <w:color w:val="auto"/>
        </w:rPr>
        <w:t>. Subject to Section 15.01, nothing contained in this Indenture or in any of the Securities shall</w:t>
      </w:r>
    </w:p>
    <w:p>
      <w:pPr>
        <w:spacing w:after="0" w:line="46" w:lineRule="exact"/>
        <w:rPr>
          <w:sz w:val="20"/>
          <w:szCs w:val="20"/>
          <w:color w:val="auto"/>
        </w:rPr>
      </w:pPr>
    </w:p>
    <w:p>
      <w:pPr>
        <w:ind w:right="40" w:firstLine="4"/>
        <w:spacing w:after="0" w:line="290" w:lineRule="auto"/>
        <w:tabs>
          <w:tab w:leader="none" w:pos="24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affect the obligation of the Company to make, or prevent the Company from making, at any time except as provided in Sections 15.02 and 15.03, payments of principal of (or premium, if any) or interest, if any, on the Securities or (b) 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64" w:lineRule="exact"/>
        <w:rPr>
          <w:sz w:val="20"/>
          <w:szCs w:val="20"/>
          <w:color w:val="auto"/>
        </w:rPr>
      </w:pPr>
    </w:p>
    <w:p>
      <w:pPr>
        <w:jc w:val="both"/>
        <w:ind w:right="300" w:firstLine="441"/>
        <w:spacing w:after="0" w:line="286" w:lineRule="auto"/>
        <w:rPr>
          <w:sz w:val="20"/>
          <w:szCs w:val="20"/>
          <w:color w:val="auto"/>
        </w:rPr>
      </w:pPr>
      <w:r>
        <w:rPr>
          <w:rFonts w:ascii="Arial" w:cs="Arial" w:eastAsia="Arial" w:hAnsi="Arial"/>
          <w:sz w:val="17"/>
          <w:szCs w:val="17"/>
          <w:color w:val="auto"/>
        </w:rPr>
        <w:t xml:space="preserve">Section 15.05 </w:t>
      </w:r>
      <w:r>
        <w:rPr>
          <w:rFonts w:ascii="Arial" w:cs="Arial" w:eastAsia="Arial" w:hAnsi="Arial"/>
          <w:sz w:val="17"/>
          <w:szCs w:val="17"/>
          <w:u w:val="single" w:color="auto"/>
          <w:color w:val="auto"/>
        </w:rPr>
        <w:t>Authorization of Securityholders to Trustee to Effect Subordination</w:t>
      </w:r>
      <w:r>
        <w:rPr>
          <w:rFonts w:ascii="Arial" w:cs="Arial" w:eastAsia="Arial" w:hAnsi="Arial"/>
          <w:sz w:val="17"/>
          <w:szCs w:val="17"/>
          <w:color w:val="auto"/>
        </w:rPr>
        <w:t>. 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6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Notices to Trustee</w:t>
      </w:r>
      <w:r>
        <w:rPr>
          <w:rFonts w:ascii="Arial" w:cs="Arial" w:eastAsia="Arial" w:hAnsi="Arial"/>
          <w:sz w:val="17"/>
          <w:szCs w:val="17"/>
          <w:color w:val="auto"/>
        </w:rPr>
        <w:t>. 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60"/>
          </w:cols>
          <w:pgMar w:left="440" w:top="274" w:right="499" w:bottom="1440" w:gutter="0" w:footer="0" w:header="0"/>
        </w:sectPr>
      </w:pPr>
    </w:p>
    <w:bookmarkStart w:id="95" w:name="page96"/>
    <w:bookmarkEnd w:id="9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172"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 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87"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Section 15.08 </w:t>
      </w:r>
      <w:r>
        <w:rPr>
          <w:rFonts w:ascii="Arial" w:cs="Arial" w:eastAsia="Arial" w:hAnsi="Arial"/>
          <w:sz w:val="17"/>
          <w:szCs w:val="17"/>
          <w:u w:val="single" w:color="auto"/>
          <w:color w:val="auto"/>
        </w:rPr>
        <w:t>Modifications of Terms of Senior Indebtedness</w:t>
      </w:r>
      <w:r>
        <w:rPr>
          <w:rFonts w:ascii="Arial" w:cs="Arial" w:eastAsia="Arial" w:hAnsi="Arial"/>
          <w:sz w:val="17"/>
          <w:szCs w:val="17"/>
          <w:color w:val="auto"/>
        </w:rPr>
        <w:t>. 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To the extent permitted by applicable law,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96" w:name="page97"/>
    <w:bookmarkEnd w:id="96"/>
    <w:p>
      <w:pPr>
        <w:ind w:firstLine="44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15.09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 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92"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u w:val="single" w:color="auto"/>
          <w:color w:val="auto"/>
        </w:rPr>
        <w:t>Satisfaction and Discharge; Defeasance and Covenant Defeasance</w:t>
      </w:r>
      <w:r>
        <w:rPr>
          <w:rFonts w:ascii="Arial" w:cs="Arial" w:eastAsia="Arial" w:hAnsi="Arial"/>
          <w:sz w:val="18"/>
          <w:szCs w:val="18"/>
          <w:color w:val="auto"/>
        </w:rPr>
        <w:t>. 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8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u w:val="single" w:color="auto"/>
          <w:color w:val="auto"/>
        </w:rPr>
        <w:t>Trustee Not Fiduciary for Holders of Senior Indebtedness</w:t>
      </w:r>
      <w:r>
        <w:rPr>
          <w:rFonts w:ascii="Arial" w:cs="Arial" w:eastAsia="Arial" w:hAnsi="Arial"/>
          <w:sz w:val="18"/>
          <w:szCs w:val="18"/>
          <w:color w:val="auto"/>
        </w:rPr>
        <w:t>. 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97" w:lineRule="auto"/>
        <w:tabs>
          <w:tab w:leader="none" w:pos="112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50" w:lineRule="exact"/>
        <w:rPr>
          <w:rFonts w:ascii="Arial" w:cs="Arial" w:eastAsia="Arial" w:hAnsi="Arial"/>
          <w:sz w:val="16"/>
          <w:szCs w:val="16"/>
          <w:color w:val="auto"/>
        </w:rPr>
      </w:pPr>
    </w:p>
    <w:p>
      <w:pPr>
        <w:ind w:firstLine="885"/>
        <w:spacing w:after="0" w:line="272" w:lineRule="auto"/>
        <w:tabs>
          <w:tab w:leader="none" w:pos="113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giving such certificate or opinion has read such covenant or condition;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97" w:name="page98"/>
    <w:bookmarkEnd w:id="97"/>
    <w:p>
      <w:pPr>
        <w:ind w:right="60" w:firstLine="885"/>
        <w:spacing w:after="0" w:line="255"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81" w:lineRule="exact"/>
        <w:rPr>
          <w:rFonts w:ascii="Arial" w:cs="Arial" w:eastAsia="Arial" w:hAnsi="Arial"/>
          <w:sz w:val="18"/>
          <w:szCs w:val="18"/>
          <w:color w:val="auto"/>
        </w:rPr>
      </w:pPr>
    </w:p>
    <w:p>
      <w:pPr>
        <w:ind w:right="220" w:firstLine="885"/>
        <w:spacing w:after="0" w:line="276" w:lineRule="auto"/>
        <w:tabs>
          <w:tab w:leader="none" w:pos="113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64" w:lineRule="exact"/>
        <w:rPr>
          <w:rFonts w:ascii="Arial" w:cs="Arial" w:eastAsia="Arial" w:hAnsi="Arial"/>
          <w:sz w:val="17"/>
          <w:szCs w:val="17"/>
          <w:color w:val="auto"/>
        </w:rPr>
      </w:pPr>
    </w:p>
    <w:p>
      <w:pPr>
        <w:jc w:val="both"/>
        <w:ind w:right="220" w:firstLine="885"/>
        <w:spacing w:after="0" w:line="259" w:lineRule="auto"/>
        <w:tabs>
          <w:tab w:leader="none" w:pos="11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8" w:lineRule="exact"/>
        <w:rPr>
          <w:rFonts w:ascii="Arial" w:cs="Arial" w:eastAsia="Arial" w:hAnsi="Arial"/>
          <w:sz w:val="18"/>
          <w:szCs w:val="18"/>
          <w:color w:val="auto"/>
        </w:rPr>
      </w:pPr>
    </w:p>
    <w:p>
      <w:pPr>
        <w:ind w:right="100" w:firstLine="885"/>
        <w:spacing w:after="0" w:line="277" w:lineRule="auto"/>
        <w:tabs>
          <w:tab w:leader="none" w:pos="110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 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181"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Section 16.03 </w:t>
      </w:r>
      <w:r>
        <w:rPr>
          <w:rFonts w:ascii="Arial" w:cs="Arial" w:eastAsia="Arial" w:hAnsi="Arial"/>
          <w:sz w:val="16"/>
          <w:szCs w:val="16"/>
          <w:u w:val="single" w:color="auto"/>
          <w:color w:val="auto"/>
        </w:rPr>
        <w:t>Notices to the Company and Trustee</w:t>
      </w:r>
      <w:r>
        <w:rPr>
          <w:rFonts w:ascii="Arial" w:cs="Arial" w:eastAsia="Arial" w:hAnsi="Arial"/>
          <w:sz w:val="16"/>
          <w:szCs w:val="16"/>
          <w:color w:val="auto"/>
        </w:rPr>
        <w:t>. 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98" w:name="page99"/>
    <w:bookmarkEnd w:id="98"/>
    <w:p>
      <w:pPr>
        <w:ind w:right="160" w:firstLine="885"/>
        <w:spacing w:after="0" w:line="264" w:lineRule="auto"/>
        <w:tabs>
          <w:tab w:leader="none" w:pos="1126"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at Chestnut Run Plaza, Building 735, 974 Centre Road, Wilmington, Delaware 19805 Attention: Laurie Conslato, email: Laurie.Conslato@corteva.com, or at such other address or email or facsimile number as may have been furnished in writing to the Trustee by the Company.</w:t>
      </w:r>
    </w:p>
    <w:p>
      <w:pPr>
        <w:spacing w:after="0" w:line="73" w:lineRule="exact"/>
        <w:rPr>
          <w:sz w:val="20"/>
          <w:szCs w:val="20"/>
          <w:color w:val="auto"/>
        </w:rPr>
      </w:pPr>
    </w:p>
    <w:p>
      <w:pPr>
        <w:ind w:left="880"/>
        <w:spacing w:after="0"/>
        <w:tabs>
          <w:tab w:leader="none" w:pos="8780" w:val="left"/>
        </w:tabs>
        <w:rPr>
          <w:sz w:val="20"/>
          <w:szCs w:val="20"/>
          <w:color w:val="auto"/>
        </w:rPr>
      </w:pPr>
      <w:r>
        <w:rPr>
          <w:rFonts w:ascii="Arial" w:cs="Arial" w:eastAsia="Arial" w:hAnsi="Arial"/>
          <w:sz w:val="18"/>
          <w:szCs w:val="18"/>
          <w:color w:val="auto"/>
        </w:rPr>
        <w:t>(b) the Trustee, at the Corporate Trust Office of the Trustee, Attention: Trust Administrator, email: [</w:t>
      </w:r>
      <w:r>
        <w:rPr>
          <w:sz w:val="20"/>
          <w:szCs w:val="20"/>
          <w:color w:val="auto"/>
        </w:rPr>
        <w:tab/>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such notice, demand or other document shall be in the English language.</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Notices to Securityholders; Waiver</w:t>
      </w:r>
      <w:r>
        <w:rPr>
          <w:rFonts w:ascii="Arial" w:cs="Arial" w:eastAsia="Arial" w:hAnsi="Arial"/>
          <w:sz w:val="18"/>
          <w:szCs w:val="18"/>
          <w:color w:val="auto"/>
        </w:rPr>
        <w:t>. Any notice required or permitted to be given to Securityholders shall be sufficiently given (unless otherwise herein expressly provided),</w:t>
      </w:r>
    </w:p>
    <w:p>
      <w:pPr>
        <w:spacing w:after="0" w:line="62" w:lineRule="exact"/>
        <w:rPr>
          <w:sz w:val="20"/>
          <w:szCs w:val="20"/>
          <w:color w:val="auto"/>
        </w:rPr>
      </w:pPr>
    </w:p>
    <w:p>
      <w:pPr>
        <w:jc w:val="both"/>
        <w:ind w:right="260" w:firstLine="885"/>
        <w:spacing w:after="0" w:line="259" w:lineRule="auto"/>
        <w:tabs>
          <w:tab w:leader="none" w:pos="112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to Holders, if given in writing by first class mail, postage prepaid, to such Holders at their addresses as the same shall appear on the Register of the Company;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of suspension of regular mail service or by reason of any other cause it shall be impracticable to give notice by mail, then such notification as shall be given with the approval of the Trustee shall constitute sufficient notice for every purpose hereunder; or</w:t>
      </w:r>
    </w:p>
    <w:p>
      <w:pPr>
        <w:spacing w:after="0" w:line="78" w:lineRule="exact"/>
        <w:rPr>
          <w:rFonts w:ascii="Arial" w:cs="Arial" w:eastAsia="Arial" w:hAnsi="Arial"/>
          <w:sz w:val="18"/>
          <w:szCs w:val="18"/>
          <w:color w:val="auto"/>
        </w:rPr>
      </w:pPr>
    </w:p>
    <w:p>
      <w:pPr>
        <w:ind w:firstLine="885"/>
        <w:spacing w:after="0" w:line="264" w:lineRule="auto"/>
        <w:tabs>
          <w:tab w:leader="none" w:pos="113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 series of Securities has been issued in the form of one or more Global Securities through DTC as Depositary, notice may be provided with respect to such series of Securities by delivery of such notice to DTC for posting through its “Legal Notice Service” (LENS) or a successor system thereof.</w:t>
      </w:r>
    </w:p>
    <w:p>
      <w:pPr>
        <w:spacing w:after="0" w:line="18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192" w:lineRule="exact"/>
        <w:rPr>
          <w:sz w:val="20"/>
          <w:szCs w:val="20"/>
          <w:color w:val="auto"/>
        </w:rPr>
      </w:pPr>
    </w:p>
    <w:p>
      <w:pPr>
        <w:jc w:val="both"/>
        <w:ind w:right="20" w:firstLine="441"/>
        <w:spacing w:after="0" w:line="273"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u w:val="single" w:color="auto"/>
          <w:color w:val="auto"/>
        </w:rPr>
        <w:t>Legal Holiday</w:t>
      </w:r>
      <w:r>
        <w:rPr>
          <w:rFonts w:ascii="Arial" w:cs="Arial" w:eastAsia="Arial" w:hAnsi="Arial"/>
          <w:sz w:val="17"/>
          <w:szCs w:val="17"/>
          <w:color w:val="auto"/>
        </w:rPr>
        <w:t>. 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99" w:name="page100"/>
    <w:bookmarkEnd w:id="99"/>
    <w:p>
      <w:pPr>
        <w:ind w:right="1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16.06 </w:t>
      </w:r>
      <w:r>
        <w:rPr>
          <w:rFonts w:ascii="Arial" w:cs="Arial" w:eastAsia="Arial" w:hAnsi="Arial"/>
          <w:sz w:val="18"/>
          <w:szCs w:val="18"/>
          <w:u w:val="single" w:color="auto"/>
          <w:color w:val="auto"/>
        </w:rPr>
        <w:t>Effects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Section 16.07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parties hereto shall bind their respective successors and assigns and inure to the benefit of their permitted successors and assigns, whether so expressed or not.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Section 16.09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73"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u w:val="single" w:color="auto"/>
          <w:color w:val="auto"/>
        </w:rPr>
        <w:t>Counterpart Originals</w:t>
      </w:r>
      <w:r>
        <w:rPr>
          <w:rFonts w:ascii="Arial" w:cs="Arial" w:eastAsia="Arial" w:hAnsi="Arial"/>
          <w:sz w:val="18"/>
          <w:szCs w:val="18"/>
          <w:color w:val="auto"/>
        </w:rPr>
        <w:t>. This Indenture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u w:val="single" w:color="auto"/>
          <w:color w:val="auto"/>
        </w:rPr>
        <w:t>Governing Law; Waiver of Trial by Jury</w:t>
      </w:r>
      <w:r>
        <w:rPr>
          <w:rFonts w:ascii="Arial" w:cs="Arial" w:eastAsia="Arial" w:hAnsi="Arial"/>
          <w:sz w:val="17"/>
          <w:szCs w:val="17"/>
          <w:color w:val="auto"/>
        </w:rPr>
        <w:t>. This Indenture and the Securities shall be deemed to be contracts made under the law of the State of New York, and for all purposes shall be governed by and construed in accordance with the law of said State.</w:t>
      </w:r>
    </w:p>
    <w:p>
      <w:pPr>
        <w:spacing w:after="0" w:line="14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8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16.12 </w:t>
      </w: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100" w:name="page101"/>
    <w:bookmarkEnd w:id="100"/>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16.13 </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20"/>
          </w:cols>
          <w:pgMar w:left="440" w:top="274" w:right="6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Indenture to be duly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Corteva, Inc., as Issuer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-130810</wp:posOffset>
            </wp:positionV>
            <wp:extent cx="24612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U.S. Bank National Association,</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-130810</wp:posOffset>
            </wp:positionV>
            <wp:extent cx="24612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79"/>
          </w:cols>
          <w:pgMar w:left="880" w:top="274"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SECURITY]</w:t>
      </w:r>
    </w:p>
    <w:p>
      <w:pPr>
        <w:spacing w:after="0" w:line="225"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66"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8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0" w:right="4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ind w:left="720"/>
              <w:spacing w:after="0"/>
              <w:rPr>
                <w:sz w:val="20"/>
                <w:szCs w:val="20"/>
                <w:color w:val="auto"/>
              </w:rPr>
            </w:pPr>
            <w:r>
              <w:rPr>
                <w:rFonts w:ascii="Arial" w:cs="Arial" w:eastAsia="Arial" w:hAnsi="Arial"/>
                <w:sz w:val="18"/>
                <w:szCs w:val="18"/>
                <w:color w:val="auto"/>
                <w:w w:val="90"/>
              </w:rPr>
              <w:t>CUSIP No. _________</w:t>
            </w:r>
          </w:p>
        </w:tc>
      </w:tr>
      <w:tr>
        <w:trPr>
          <w:trHeight w:val="414"/>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0" w:type="dxa"/>
            <w:vAlign w:val="bottom"/>
            <w:gridSpan w:val="3"/>
          </w:tcPr>
          <w:p>
            <w:pPr>
              <w:ind w:left="4220"/>
              <w:spacing w:after="0"/>
              <w:rPr>
                <w:sz w:val="20"/>
                <w:szCs w:val="20"/>
                <w:color w:val="auto"/>
              </w:rPr>
            </w:pPr>
            <w:r>
              <w:rPr>
                <w:rFonts w:ascii="Arial" w:cs="Arial" w:eastAsia="Arial" w:hAnsi="Arial"/>
                <w:sz w:val="18"/>
                <w:szCs w:val="18"/>
                <w:b w:val="1"/>
                <w:bCs w:val="1"/>
                <w:color w:val="auto"/>
              </w:rPr>
              <w:t>CORTEVA, INC.</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0" w:type="dxa"/>
            <w:vAlign w:val="bottom"/>
            <w:gridSpan w:val="3"/>
          </w:tcPr>
          <w:p>
            <w:pPr>
              <w:ind w:left="3720"/>
              <w:spacing w:after="0"/>
              <w:rPr>
                <w:sz w:val="20"/>
                <w:szCs w:val="20"/>
                <w:color w:val="auto"/>
              </w:rPr>
            </w:pPr>
            <w:r>
              <w:rPr>
                <w:rFonts w:ascii="Arial" w:cs="Arial" w:eastAsia="Arial" w:hAnsi="Arial"/>
                <w:sz w:val="18"/>
                <w:szCs w:val="18"/>
                <w:b w:val="1"/>
                <w:bCs w:val="1"/>
                <w:color w:val="auto"/>
              </w:rPr>
              <w:t>__________NOTES DUE 20__</w:t>
            </w: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color w:val="auto"/>
              </w:rPr>
              <w:t>No.</w:t>
            </w:r>
          </w:p>
        </w:tc>
        <w:tc>
          <w:tcPr>
            <w:tcW w:w="8000" w:type="dxa"/>
            <w:vAlign w:val="bottom"/>
            <w:gridSpan w:val="2"/>
          </w:tcPr>
          <w:p>
            <w:pPr>
              <w:ind w:left="7000"/>
              <w:spacing w:after="0"/>
              <w:rPr>
                <w:sz w:val="20"/>
                <w:szCs w:val="20"/>
                <w:color w:val="auto"/>
              </w:rPr>
            </w:pPr>
            <w:r>
              <w:rPr>
                <w:rFonts w:ascii="Arial" w:cs="Arial" w:eastAsia="Arial" w:hAnsi="Arial"/>
                <w:sz w:val="18"/>
                <w:szCs w:val="18"/>
                <w:color w:val="auto"/>
              </w:rPr>
              <w:t>$</w:t>
            </w:r>
          </w:p>
        </w:tc>
        <w:tc>
          <w:tcPr>
            <w:tcW w:w="240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0" w:type="dxa"/>
            <w:vAlign w:val="bottom"/>
            <w:gridSpan w:val="3"/>
          </w:tcPr>
          <w:p>
            <w:pPr>
              <w:ind w:left="7000"/>
              <w:spacing w:after="0"/>
              <w:rPr>
                <w:sz w:val="20"/>
                <w:szCs w:val="20"/>
                <w:color w:val="auto"/>
              </w:rPr>
            </w:pPr>
            <w:r>
              <w:rPr>
                <w:rFonts w:ascii="Arial" w:cs="Arial" w:eastAsia="Arial" w:hAnsi="Arial"/>
                <w:sz w:val="18"/>
                <w:szCs w:val="18"/>
                <w:color w:val="auto"/>
              </w:rPr>
              <w:t>As revised by the</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0" w:type="dxa"/>
            <w:vAlign w:val="bottom"/>
            <w:gridSpan w:val="3"/>
          </w:tcPr>
          <w:p>
            <w:pPr>
              <w:ind w:left="7000"/>
              <w:spacing w:after="0"/>
              <w:rPr>
                <w:sz w:val="20"/>
                <w:szCs w:val="20"/>
                <w:color w:val="auto"/>
              </w:rPr>
            </w:pPr>
            <w:r>
              <w:rPr>
                <w:rFonts w:ascii="Arial" w:cs="Arial" w:eastAsia="Arial" w:hAnsi="Arial"/>
                <w:sz w:val="18"/>
                <w:szCs w:val="18"/>
                <w:color w:val="auto"/>
              </w:rPr>
              <w:t>Schedule of Increases</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0" w:type="dxa"/>
            <w:vAlign w:val="bottom"/>
            <w:gridSpan w:val="3"/>
          </w:tcPr>
          <w:p>
            <w:pPr>
              <w:ind w:left="7000"/>
              <w:spacing w:after="0"/>
              <w:rPr>
                <w:sz w:val="20"/>
                <w:szCs w:val="20"/>
                <w:color w:val="auto"/>
              </w:rPr>
            </w:pPr>
            <w:r>
              <w:rPr>
                <w:rFonts w:ascii="Arial" w:cs="Arial" w:eastAsia="Arial" w:hAnsi="Arial"/>
                <w:sz w:val="18"/>
                <w:szCs w:val="18"/>
                <w:color w:val="auto"/>
              </w:rPr>
              <w:t>or Decreases in</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0" w:type="dxa"/>
            <w:vAlign w:val="bottom"/>
            <w:gridSpan w:val="3"/>
          </w:tcPr>
          <w:p>
            <w:pPr>
              <w:ind w:left="7000"/>
              <w:spacing w:after="0"/>
              <w:rPr>
                <w:sz w:val="20"/>
                <w:szCs w:val="20"/>
                <w:color w:val="auto"/>
              </w:rPr>
            </w:pPr>
            <w:r>
              <w:rPr>
                <w:rFonts w:ascii="Arial" w:cs="Arial" w:eastAsia="Arial" w:hAnsi="Arial"/>
                <w:sz w:val="18"/>
                <w:szCs w:val="18"/>
                <w:color w:val="auto"/>
              </w:rPr>
              <w:t>Global Security</w:t>
            </w:r>
          </w:p>
        </w:tc>
      </w:tr>
      <w:tr>
        <w:trPr>
          <w:trHeight w:val="230"/>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0" w:type="dxa"/>
            <w:vAlign w:val="bottom"/>
            <w:gridSpan w:val="3"/>
          </w:tcPr>
          <w:p>
            <w:pPr>
              <w:ind w:left="7000"/>
              <w:spacing w:after="0"/>
              <w:rPr>
                <w:sz w:val="20"/>
                <w:szCs w:val="20"/>
                <w:color w:val="auto"/>
              </w:rPr>
            </w:pPr>
            <w:r>
              <w:rPr>
                <w:rFonts w:ascii="Arial" w:cs="Arial" w:eastAsia="Arial" w:hAnsi="Arial"/>
                <w:sz w:val="18"/>
                <w:szCs w:val="18"/>
                <w:color w:val="auto"/>
              </w:rPr>
              <w:t>attached hereto</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60" w:firstLine="441"/>
        <w:spacing w:after="0" w:line="291" w:lineRule="auto"/>
        <w:rPr>
          <w:sz w:val="20"/>
          <w:szCs w:val="20"/>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Corteva, Inc., a Delaware corporation (herein called the “Company”, which term includes any successor Person under the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hereinafter referred to), for value received, hereby promises to pay to ___________ or registered assigns, the principal sum of ___ million dollars</w:t>
      </w:r>
    </w:p>
    <w:p>
      <w:pPr>
        <w:spacing w:after="0"/>
        <w:rPr>
          <w:sz w:val="20"/>
          <w:szCs w:val="20"/>
          <w:color w:val="auto"/>
        </w:rPr>
      </w:pPr>
      <w:r>
        <w:rPr>
          <w:rFonts w:ascii="Arial" w:cs="Arial" w:eastAsia="Arial" w:hAnsi="Arial"/>
          <w:sz w:val="16"/>
          <w:szCs w:val="16"/>
          <w:color w:val="auto"/>
        </w:rPr>
        <w:t>($_________), as revised by the Schedule of Increases or Decreases in Global Security attached hereto, on ________, 20__ and to pay interest thereon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_______, 20__ or from the most recent Interest Payment Date to which interest has been paid or duly provided for, semi-annually in arrears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 and _______ in each year, commencing _______, 20__ at the rate of ____% per annum, until the principal hereof is paid or made available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w:t>
      </w:r>
    </w:p>
    <w:p>
      <w:pPr>
        <w:spacing w:after="0" w:line="211"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interest so payable, and punctually paid or duly provided for, on any Interest Payment Date will, as provided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be paid to the Person in whose name this Security (or one or more Predecessor Securities) is registered at the close of business on the Record Date for such interest, which shall be _______ or _______, as the case may be, next preceding such Interest Payment Date. Any such interest not so</w:t>
      </w:r>
    </w:p>
    <w:p>
      <w:pPr>
        <w:ind w:right="100"/>
        <w:spacing w:after="0" w:line="253" w:lineRule="auto"/>
        <w:rPr>
          <w:sz w:val="20"/>
          <w:szCs w:val="20"/>
          <w:color w:val="auto"/>
        </w:rPr>
      </w:pPr>
      <w:r>
        <w:rPr>
          <w:rFonts w:ascii="Arial" w:cs="Arial" w:eastAsia="Arial" w:hAnsi="Arial"/>
          <w:sz w:val="18"/>
          <w:szCs w:val="18"/>
          <w:color w:val="auto"/>
        </w:rPr>
        <w:t>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thereof having been given to Holders of Securities of this series not less than 10 days prior to such Special Record Date, all as more fully provided in said Indenture. Payment of the principal of (and premium, if any) and any such interest on this Security will be made at the Corporate Trust Office in U.S. Dollars.</w:t>
      </w:r>
    </w:p>
    <w:p>
      <w:pPr>
        <w:spacing w:after="0" w:line="19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Unless the certificate of authentication hereon has been executed by the Trustee referred to on the reverse hereof by manual</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 this Security shall not be entitled to any benefit under the Indenture or be valid or obligatory for any purpose.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 under its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 20__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Corteva,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-130810</wp:posOffset>
            </wp:positionV>
            <wp:extent cx="25558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14605</wp:posOffset>
            </wp:positionV>
            <wp:extent cx="21869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-130810</wp:posOffset>
            </wp:positionV>
            <wp:extent cx="21869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Date of authentication: ___________</w:t>
            </w:r>
          </w:p>
        </w:tc>
        <w:tc>
          <w:tcPr>
            <w:tcW w:w="6980" w:type="dxa"/>
            <w:vAlign w:val="bottom"/>
            <w:gridSpan w:val="2"/>
          </w:tcPr>
          <w:p>
            <w:pPr>
              <w:ind w:left="1420"/>
              <w:spacing w:after="0"/>
              <w:rPr>
                <w:sz w:val="20"/>
                <w:szCs w:val="20"/>
                <w:color w:val="auto"/>
              </w:rPr>
            </w:pPr>
            <w:r>
              <w:rPr>
                <w:rFonts w:ascii="Arial" w:cs="Arial" w:eastAsia="Arial" w:hAnsi="Arial"/>
                <w:sz w:val="18"/>
                <w:szCs w:val="18"/>
                <w:color w:val="auto"/>
              </w:rPr>
              <w:t>U.S. Bank National Association,</w:t>
            </w:r>
          </w:p>
        </w:tc>
      </w:tr>
      <w:tr>
        <w:trPr>
          <w:trHeight w:val="230"/>
        </w:trPr>
        <w:tc>
          <w:tcPr>
            <w:tcW w:w="4060" w:type="dxa"/>
            <w:vAlign w:val="bottom"/>
          </w:tcPr>
          <w:p>
            <w:pPr>
              <w:spacing w:after="0"/>
              <w:rPr>
                <w:sz w:val="20"/>
                <w:szCs w:val="20"/>
                <w:color w:val="auto"/>
              </w:rPr>
            </w:pPr>
          </w:p>
        </w:tc>
        <w:tc>
          <w:tcPr>
            <w:tcW w:w="6980" w:type="dxa"/>
            <w:vAlign w:val="bottom"/>
            <w:gridSpan w:val="2"/>
          </w:tcPr>
          <w:p>
            <w:pPr>
              <w:ind w:left="1420"/>
              <w:spacing w:after="0"/>
              <w:rPr>
                <w:sz w:val="20"/>
                <w:szCs w:val="20"/>
                <w:color w:val="auto"/>
              </w:rPr>
            </w:pPr>
            <w:r>
              <w:rPr>
                <w:rFonts w:ascii="Arial" w:cs="Arial" w:eastAsia="Arial" w:hAnsi="Arial"/>
                <w:sz w:val="18"/>
                <w:szCs w:val="18"/>
                <w:color w:val="auto"/>
              </w:rPr>
              <w:t>as Trustee</w:t>
            </w:r>
          </w:p>
        </w:tc>
      </w:tr>
      <w:tr>
        <w:trPr>
          <w:trHeight w:val="446"/>
        </w:trPr>
        <w:tc>
          <w:tcPr>
            <w:tcW w:w="4060" w:type="dxa"/>
            <w:vAlign w:val="bottom"/>
          </w:tcPr>
          <w:p>
            <w:pPr>
              <w:spacing w:after="0"/>
              <w:rPr>
                <w:sz w:val="24"/>
                <w:szCs w:val="24"/>
                <w:color w:val="auto"/>
              </w:rPr>
            </w:pPr>
          </w:p>
        </w:tc>
        <w:tc>
          <w:tcPr>
            <w:tcW w:w="6980" w:type="dxa"/>
            <w:vAlign w:val="bottom"/>
            <w:gridSpan w:val="2"/>
          </w:tcPr>
          <w:p>
            <w:pPr>
              <w:ind w:left="1420"/>
              <w:spacing w:after="0"/>
              <w:rPr>
                <w:sz w:val="20"/>
                <w:szCs w:val="20"/>
                <w:color w:val="auto"/>
              </w:rPr>
            </w:pPr>
            <w:r>
              <w:rPr>
                <w:rFonts w:ascii="Arial" w:cs="Arial" w:eastAsia="Arial" w:hAnsi="Arial"/>
                <w:sz w:val="18"/>
                <w:szCs w:val="18"/>
                <w:color w:val="auto"/>
              </w:rPr>
              <w:t>By:</w:t>
            </w:r>
          </w:p>
        </w:tc>
      </w:tr>
      <w:tr>
        <w:trPr>
          <w:trHeight w:val="224"/>
        </w:trPr>
        <w:tc>
          <w:tcPr>
            <w:tcW w:w="4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364"/>
        </w:trPr>
        <w:tc>
          <w:tcPr>
            <w:tcW w:w="4060" w:type="dxa"/>
            <w:vAlign w:val="bottom"/>
          </w:tcPr>
          <w:p>
            <w:pPr>
              <w:spacing w:after="0"/>
              <w:rPr>
                <w:sz w:val="24"/>
                <w:szCs w:val="24"/>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77</w:t>
            </w:r>
          </w:p>
        </w:tc>
        <w:tc>
          <w:tcPr>
            <w:tcW w:w="508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05" w:name="page106"/>
    <w:bookmarkEnd w:id="1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SECURITY]</w:t>
      </w:r>
    </w:p>
    <w:p>
      <w:pPr>
        <w:spacing w:after="0" w:line="225"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This Security is one of a duly authorized issue of securities of the Company (herein called the “Securities”), issued and to be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series under an Indenture, dated as of __________, 20__, [as supplemented by a ___ Supplemental Indenture dated _______, 20__]</w:t>
      </w:r>
      <w:r>
        <w:rPr>
          <w:rFonts w:ascii="Arial" w:cs="Arial" w:eastAsia="Arial" w:hAnsi="Arial"/>
          <w:sz w:val="13"/>
          <w:szCs w:val="13"/>
          <w:color w:val="auto"/>
        </w:rPr>
        <w:t>1</w:t>
      </w:r>
      <w:r>
        <w:rPr>
          <w:rFonts w:ascii="Arial" w:cs="Arial" w:eastAsia="Arial" w:hAnsi="Arial"/>
          <w:sz w:val="16"/>
          <w:szCs w:val="16"/>
          <w:color w:val="auto"/>
        </w:rPr>
        <w:t xml:space="preserve"> (as so</w:t>
      </w:r>
    </w:p>
    <w:p>
      <w:pPr>
        <w:spacing w:after="0" w:line="253" w:lineRule="auto"/>
        <w:rPr>
          <w:sz w:val="20"/>
          <w:szCs w:val="20"/>
          <w:color w:val="auto"/>
        </w:rPr>
      </w:pPr>
      <w:r>
        <w:rPr>
          <w:rFonts w:ascii="Arial" w:cs="Arial" w:eastAsia="Arial" w:hAnsi="Arial"/>
          <w:sz w:val="18"/>
          <w:szCs w:val="18"/>
          <w:color w:val="auto"/>
        </w:rPr>
        <w:t>supplemented, herein called the “Indenture”), between the Company and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$_________.</w:t>
      </w:r>
    </w:p>
    <w:p>
      <w:pPr>
        <w:spacing w:after="0" w:line="19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Securities of this series are subject to redemption at the Company’s option, at any time and from time to time, in whole</w:t>
      </w:r>
      <w:r>
        <w:rPr>
          <w:rFonts w:ascii="Arial" w:cs="Arial" w:eastAsia="Arial" w:hAnsi="Arial"/>
          <w:sz w:val="18"/>
          <w:szCs w:val="18"/>
          <w:i w:val="1"/>
          <w:iCs w:val="1"/>
          <w:color w:val="auto"/>
        </w:rPr>
        <w:t xml:space="preserve"> </w:t>
      </w:r>
      <w:r>
        <w:rPr>
          <w:rFonts w:ascii="Arial" w:cs="Arial" w:eastAsia="Arial" w:hAnsi="Arial"/>
          <w:sz w:val="18"/>
          <w:szCs w:val="18"/>
          <w:color w:val="auto"/>
        </w:rPr>
        <w:t>or in part, at a Redemption Price equal to __________.</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126365</wp:posOffset>
            </wp:positionV>
            <wp:extent cx="7143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Notice of any redemption will be mailed at least 10 days but not more than 60 days before the Redemption Date (unless a shorter period shall be satisfactory to the Trustee) to each registered Holder of the Securities to be redeemed. Unless the Company defaults in payment of the redemption price, on and after the Redemption Date, interest will cease to accrue on the Securities or portions of the Securities called for redemption, unless subject to a condition precedent that has not been satisfied. If fewer than all of the Securities are to be redeemed, the Trustee will select, not more than __ days prior to the Redemption Date, the particular Securities or portions thereof for redemption from the outstanding Securities not previously called by such method as the Trustee deems fair and appropriate. If such redemption is subject to a condition precedent that has not been satisfied, the Company shall provide written notice to the Trustee prior to the close of business at least two Business Days prior to the Redemption Date (unless a shorter period shall be satisfactory to the Trustee). Upon receipt of such notice, the notice of redemption shall be rescinded and the redemption of the Securities shall not occur.</w:t>
      </w:r>
    </w:p>
    <w:p>
      <w:pPr>
        <w:spacing w:after="0" w:line="19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Except as set forth above, the Securities will not be redeemable by the Company prior to maturity [and will not be entitled to the benefit of any sinking fund].</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Securities of this series shall occur and be continuing, the principal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series may be declared due and payable in the manner and with the effect provided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4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45" w:lineRule="exact"/>
        <w:rPr>
          <w:sz w:val="20"/>
          <w:szCs w:val="20"/>
          <w:color w:val="auto"/>
        </w:rPr>
      </w:pPr>
    </w:p>
    <w:p>
      <w:pPr>
        <w:ind w:left="5420" w:right="2620" w:hanging="5416"/>
        <w:spacing w:after="0" w:line="449" w:lineRule="auto"/>
        <w:tabs>
          <w:tab w:leader="none" w:pos="432" w:val="left"/>
        </w:tabs>
        <w:numPr>
          <w:ilvl w:val="0"/>
          <w:numId w:val="106"/>
        </w:numPr>
        <w:rPr>
          <w:rFonts w:ascii="Arial" w:cs="Arial" w:eastAsia="Arial" w:hAnsi="Arial"/>
          <w:sz w:val="15"/>
          <w:szCs w:val="15"/>
          <w:color w:val="auto"/>
        </w:rPr>
      </w:pPr>
      <w:r>
        <w:rPr>
          <w:rFonts w:ascii="Arial" w:cs="Arial" w:eastAsia="Arial" w:hAnsi="Arial"/>
          <w:sz w:val="18"/>
          <w:szCs w:val="18"/>
          <w:color w:val="auto"/>
        </w:rPr>
        <w:t>Adapt as necessary if securities will be issued via an Officers Certificate rather than a supplemental indenture. 78</w:t>
      </w:r>
    </w:p>
    <w:p>
      <w:pPr>
        <w:sectPr>
          <w:pgSz w:w="11900" w:h="16838" w:orient="portrait"/>
          <w:cols w:equalWidth="0" w:num="1">
            <w:col w:w="10980"/>
          </w:cols>
          <w:pgMar w:left="440" w:top="274" w:right="479" w:bottom="1440" w:gutter="0" w:footer="0" w:header="0"/>
        </w:sectPr>
      </w:pPr>
    </w:p>
    <w:bookmarkStart w:id="106" w:name="page107"/>
    <w:bookmarkEnd w:id="106"/>
    <w:p>
      <w:pPr>
        <w:ind w:right="20" w:firstLine="441"/>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Modification and Waiver</w:t>
      </w:r>
      <w:r>
        <w:rPr>
          <w:rFonts w:ascii="Arial" w:cs="Arial" w:eastAsia="Arial" w:hAnsi="Arial"/>
          <w:sz w:val="16"/>
          <w:szCs w:val="16"/>
          <w:color w:val="auto"/>
        </w:rPr>
        <w:t>. The Indenture permits, with certain exceptions as therein provided, the amendment thereof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 of the rights and obligations of the Company and the rights of the Holders of the Securities of each series to be affected under the Indenture at any time by the Company and the Trustee with the consent of the Holders of a majority in aggregate principal amount of the Securities at the time Outstanding of each series to be affected. The Indenture also contains provisions permitting the Holders of a majority in aggregate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The Indenture does not limit unsecured debt of the Company or any of its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Denominations, Transfer and Exchange</w:t>
      </w:r>
      <w:r>
        <w:rPr>
          <w:rFonts w:ascii="Arial" w:cs="Arial" w:eastAsia="Arial" w:hAnsi="Arial"/>
          <w:sz w:val="16"/>
          <w:szCs w:val="16"/>
          <w:color w:val="auto"/>
        </w:rPr>
        <w:t>. The Securities of this series are issuable only in registered form without coupons in denominations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 and in integral multiples of $1,000 in excess thereof. As provided in the Indenture and subject to certain limitations therein set forth, Securities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series are exchangeable for a like aggregate principal amount of Securities of like tenor of a different authorized denomination, as requested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surrendering the same.</w:t>
      </w:r>
    </w:p>
    <w:p>
      <w:pPr>
        <w:spacing w:after="0" w:line="21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registerable in the Security Register, upon surrender of this Security for registration of transfer at the Registrar accompanied by a written request for transfer in form satisfactory to the Company and the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i w:val="1"/>
          <w:iCs w:val="1"/>
          <w:color w:val="auto"/>
        </w:rPr>
        <w:t>Persons Deemed Owners</w:t>
      </w:r>
      <w:r>
        <w:rPr>
          <w:rFonts w:ascii="Arial" w:cs="Arial" w:eastAsia="Arial" w:hAnsi="Arial"/>
          <w:sz w:val="17"/>
          <w:szCs w:val="17"/>
          <w:color w:val="auto"/>
        </w:rPr>
        <w:t>. Prior to due presentment of this Security for registration of transfer, the Company, the Trustee and any agent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66"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The Indenture and this Security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regard to the conflicts of law rules of said 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terms used in this Security and not defined herein shall have the meanings assigned to them in the Indenture.</w:t>
      </w:r>
    </w:p>
    <w:p>
      <w:pPr>
        <w:sectPr>
          <w:pgSz w:w="11900" w:h="16838" w:orient="portrait"/>
          <w:cols w:equalWidth="0" w:num="1">
            <w:col w:w="9579"/>
          </w:cols>
          <w:pgMar w:left="880" w:top="274" w:right="1440" w:bottom="1440" w:gutter="0" w:footer="0" w:header="0"/>
        </w:sectPr>
      </w:pPr>
    </w:p>
    <w:p>
      <w:pPr>
        <w:spacing w:after="0" w:line="18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579"/>
          </w:cols>
          <w:pgMar w:left="880" w:top="274" w:right="1440" w:bottom="1440" w:gutter="0" w:footer="0" w:header="0"/>
          <w:type w:val="continuous"/>
        </w:sectPr>
      </w:pPr>
    </w:p>
    <w:bookmarkStart w:id="108" w:name="page109"/>
    <w:bookmarkEnd w:id="108"/>
    <w:p>
      <w:pPr>
        <w:ind w:left="2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OR DECREASES IN GLOBAL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increases or decreases in this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Amount of increase in</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Amount of decrease in</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Amount of this</w:t>
            </w:r>
          </w:p>
        </w:tc>
        <w:tc>
          <w:tcPr>
            <w:tcW w:w="184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Principal Amount of</w:t>
            </w:r>
          </w:p>
        </w:tc>
        <w:tc>
          <w:tcPr>
            <w:tcW w:w="2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Principal Amount of this</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Global Security following</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 authorized</w:t>
            </w:r>
          </w:p>
        </w:tc>
      </w:tr>
      <w:tr>
        <w:trPr>
          <w:trHeight w:val="174"/>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Date of Exchange</w:t>
            </w:r>
          </w:p>
        </w:tc>
        <w:tc>
          <w:tcPr>
            <w:tcW w:w="16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this Global Security</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Global Security</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each decrease or increase</w:t>
            </w:r>
          </w:p>
        </w:tc>
        <w:tc>
          <w:tcPr>
            <w:tcW w:w="12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signatory of Trustee</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40"/>
          </w:cols>
          <w:pgMar w:left="440" w:top="274" w:right="4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Skadden, Arps, Slate, Meagher &amp; Flom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974 Centre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 19805</w:t>
      </w:r>
    </w:p>
    <w:p>
      <w:pPr>
        <w:spacing w:after="0" w:line="238"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Corteva,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special counsel to Corteva,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to be filed on the date hereof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Registration Statement relates to the issuance and sale by the Company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to time, pursuant to Rule 415 of the General Rules and Regulations of the Commission promulgated under the Securities Act (the “</w:t>
      </w:r>
      <w:r>
        <w:rPr>
          <w:rFonts w:ascii="Arial" w:cs="Arial" w:eastAsia="Arial" w:hAnsi="Arial"/>
          <w:sz w:val="17"/>
          <w:szCs w:val="17"/>
          <w:u w:val="single" w:color="auto"/>
          <w:color w:val="auto"/>
        </w:rPr>
        <w:t>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Regulations</w:t>
      </w:r>
      <w:r>
        <w:rPr>
          <w:rFonts w:ascii="Arial" w:cs="Arial" w:eastAsia="Arial" w:hAnsi="Arial"/>
          <w:sz w:val="16"/>
          <w:szCs w:val="16"/>
          <w:color w:val="auto"/>
        </w:rPr>
        <w:t>”), of (i) shares of common stock, par value $0.01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 (ii) shares of preferred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which may be issued in one or more series, (iii) depositary receipts (the “</w:t>
      </w:r>
      <w:r>
        <w:rPr>
          <w:rFonts w:ascii="Arial" w:cs="Arial" w:eastAsia="Arial" w:hAnsi="Arial"/>
          <w:sz w:val="16"/>
          <w:szCs w:val="16"/>
          <w:u w:val="single" w:color="auto"/>
          <w:color w:val="auto"/>
        </w:rPr>
        <w:t>Receipts</w:t>
      </w:r>
      <w:r>
        <w:rPr>
          <w:rFonts w:ascii="Arial" w:cs="Arial" w:eastAsia="Arial" w:hAnsi="Arial"/>
          <w:sz w:val="16"/>
          <w:szCs w:val="16"/>
          <w:color w:val="auto"/>
        </w:rPr>
        <w:t>”) representing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fractional shares of Preferred Stock, which are called depositary shares (the “</w:t>
      </w:r>
      <w:r>
        <w:rPr>
          <w:rFonts w:ascii="Arial" w:cs="Arial" w:eastAsia="Arial" w:hAnsi="Arial"/>
          <w:sz w:val="16"/>
          <w:szCs w:val="16"/>
          <w:u w:val="single" w:color="auto"/>
          <w:color w:val="auto"/>
        </w:rPr>
        <w:t>Depositary Shares</w:t>
      </w:r>
      <w:r>
        <w:rPr>
          <w:rFonts w:ascii="Arial" w:cs="Arial" w:eastAsia="Arial" w:hAnsi="Arial"/>
          <w:sz w:val="16"/>
          <w:szCs w:val="16"/>
          <w:color w:val="auto"/>
        </w:rPr>
        <w:t>”) and which may be issued pursuant to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agreements (each, a “</w:t>
      </w:r>
      <w:r>
        <w:rPr>
          <w:rFonts w:ascii="Arial" w:cs="Arial" w:eastAsia="Arial" w:hAnsi="Arial"/>
          <w:sz w:val="16"/>
          <w:szCs w:val="16"/>
          <w:u w:val="single" w:color="auto"/>
          <w:color w:val="auto"/>
        </w:rPr>
        <w:t>Depositary Agreement</w:t>
      </w:r>
      <w:r>
        <w:rPr>
          <w:rFonts w:ascii="Arial" w:cs="Arial" w:eastAsia="Arial" w:hAnsi="Arial"/>
          <w:sz w:val="16"/>
          <w:szCs w:val="16"/>
          <w:color w:val="auto"/>
        </w:rPr>
        <w:t>”) proposed to be entered into between the Company and one or more bank or trust companies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named in the applicable Depositary Agreement (each, a “</w:t>
      </w:r>
      <w:r>
        <w:rPr>
          <w:rFonts w:ascii="Arial" w:cs="Arial" w:eastAsia="Arial" w:hAnsi="Arial"/>
          <w:sz w:val="16"/>
          <w:szCs w:val="16"/>
          <w:u w:val="single" w:color="auto"/>
          <w:color w:val="auto"/>
        </w:rPr>
        <w:t>Bank Depositary</w:t>
      </w:r>
      <w:r>
        <w:rPr>
          <w:rFonts w:ascii="Arial" w:cs="Arial" w:eastAsia="Arial" w:hAnsi="Arial"/>
          <w:sz w:val="16"/>
          <w:szCs w:val="16"/>
          <w:color w:val="auto"/>
        </w:rPr>
        <w:t>”), (iv) debt securities of the Company (“</w:t>
      </w:r>
      <w:r>
        <w:rPr>
          <w:rFonts w:ascii="Arial" w:cs="Arial" w:eastAsia="Arial" w:hAnsi="Arial"/>
          <w:sz w:val="16"/>
          <w:szCs w:val="16"/>
          <w:u w:val="single" w:color="auto"/>
          <w:color w:val="auto"/>
        </w:rPr>
        <w:t>Debt Securities</w:t>
      </w:r>
      <w:r>
        <w:rPr>
          <w:rFonts w:ascii="Arial" w:cs="Arial" w:eastAsia="Arial" w:hAnsi="Arial"/>
          <w:sz w:val="16"/>
          <w:szCs w:val="16"/>
          <w:color w:val="auto"/>
        </w:rPr>
        <w:t>”), which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in one or more series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proposed to be entered into by the Company and U.S. Bank, National Association,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the form of which is filed as an exhibit to the Registration Statement, (v) warrants to purchase shares of Common Stock, shares of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or Debt Securities (“</w:t>
      </w:r>
      <w:r>
        <w:rPr>
          <w:rFonts w:ascii="Arial" w:cs="Arial" w:eastAsia="Arial" w:hAnsi="Arial"/>
          <w:sz w:val="16"/>
          <w:szCs w:val="16"/>
          <w:u w:val="single" w:color="auto"/>
          <w:color w:val="auto"/>
        </w:rPr>
        <w:t>Warrants</w:t>
      </w:r>
      <w:r>
        <w:rPr>
          <w:rFonts w:ascii="Arial" w:cs="Arial" w:eastAsia="Arial" w:hAnsi="Arial"/>
          <w:sz w:val="16"/>
          <w:szCs w:val="16"/>
          <w:color w:val="auto"/>
        </w:rPr>
        <w:t>”), which may be issued pursuant to one or more warrant agreements (each, a “</w:t>
      </w:r>
      <w:r>
        <w:rPr>
          <w:rFonts w:ascii="Arial" w:cs="Arial" w:eastAsia="Arial" w:hAnsi="Arial"/>
          <w:sz w:val="16"/>
          <w:szCs w:val="16"/>
          <w:u w:val="single" w:color="auto"/>
          <w:color w:val="auto"/>
        </w:rPr>
        <w:t>Warrant Agreement</w:t>
      </w:r>
      <w:r>
        <w:rPr>
          <w:rFonts w:ascii="Arial" w:cs="Arial" w:eastAsia="Arial" w:hAnsi="Arial"/>
          <w:sz w:val="16"/>
          <w:szCs w:val="16"/>
          <w:color w:val="auto"/>
        </w:rPr>
        <w:t>”) proposed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by the Company and one or more warrant agents to be named therein, (vi) subscription rights to purchase shares of Common Stock,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Preferred Stock or Debt Securities (“</w:t>
      </w:r>
      <w:r>
        <w:rPr>
          <w:rFonts w:ascii="Arial" w:cs="Arial" w:eastAsia="Arial" w:hAnsi="Arial"/>
          <w:sz w:val="17"/>
          <w:szCs w:val="17"/>
          <w:u w:val="single" w:color="auto"/>
          <w:color w:val="auto"/>
        </w:rPr>
        <w:t>Subscription Rights</w:t>
      </w:r>
      <w:r>
        <w:rPr>
          <w:rFonts w:ascii="Arial" w:cs="Arial" w:eastAsia="Arial" w:hAnsi="Arial"/>
          <w:sz w:val="17"/>
          <w:szCs w:val="17"/>
          <w:color w:val="auto"/>
        </w:rPr>
        <w:t>”), which may be issued under one or more subscription rights certificates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Rights Certificate</w:t>
      </w:r>
      <w:r>
        <w:rPr>
          <w:rFonts w:ascii="Arial" w:cs="Arial" w:eastAsia="Arial" w:hAnsi="Arial"/>
          <w:sz w:val="16"/>
          <w:szCs w:val="16"/>
          <w:color w:val="auto"/>
        </w:rPr>
        <w:t>”) and/or pursuant to one or more subscription rights agreements (each, a “</w:t>
      </w:r>
      <w:r>
        <w:rPr>
          <w:rFonts w:ascii="Arial" w:cs="Arial" w:eastAsia="Arial" w:hAnsi="Arial"/>
          <w:sz w:val="16"/>
          <w:szCs w:val="16"/>
          <w:u w:val="single" w:color="auto"/>
          <w:color w:val="auto"/>
        </w:rPr>
        <w:t>Subscription Rights Agreement</w:t>
      </w:r>
      <w:r>
        <w:rPr>
          <w:rFonts w:ascii="Arial" w:cs="Arial" w:eastAsia="Arial" w:hAnsi="Arial"/>
          <w:sz w:val="16"/>
          <w:szCs w:val="16"/>
          <w:color w:val="auto"/>
        </w:rPr>
        <w:t>”) proposed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entered into by the Company and one or more subscription agents to be named therein, (vii) purchase contracts (“</w:t>
      </w:r>
      <w:r>
        <w:rPr>
          <w:rFonts w:ascii="Arial" w:cs="Arial" w:eastAsia="Arial" w:hAnsi="Arial"/>
          <w:sz w:val="16"/>
          <w:szCs w:val="16"/>
          <w:u w:val="single" w:color="auto"/>
          <w:color w:val="auto"/>
        </w:rPr>
        <w:t>Purchase Contracts</w:t>
      </w:r>
      <w:r>
        <w:rPr>
          <w:rFonts w:ascii="Arial" w:cs="Arial" w:eastAsia="Arial" w:hAnsi="Arial"/>
          <w:sz w:val="16"/>
          <w:szCs w:val="16"/>
          <w:color w:val="auto"/>
        </w:rPr>
        <w:t>”) obligating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thereof to purchase from the Company, and the Company to sell to such holders, shares of Common Stock, shares of Preferred Stock or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at a future date or dates, which may be issued pursuant to one or more purchase contract agreements (each, a “</w:t>
      </w:r>
      <w:r>
        <w:rPr>
          <w:rFonts w:ascii="Arial" w:cs="Arial" w:eastAsia="Arial" w:hAnsi="Arial"/>
          <w:sz w:val="16"/>
          <w:szCs w:val="16"/>
          <w:u w:val="single" w:color="auto"/>
          <w:color w:val="auto"/>
        </w:rPr>
        <w:t>Purchase Contract Agreement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proposed to be entered into by the Company and one or more purchase contract agents to be named therein, (viii) purchase units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Units</w:t>
      </w:r>
      <w:r>
        <w:rPr>
          <w:rFonts w:ascii="Arial" w:cs="Arial" w:eastAsia="Arial" w:hAnsi="Arial"/>
          <w:sz w:val="18"/>
          <w:szCs w:val="18"/>
          <w:color w:val="auto"/>
        </w:rPr>
        <w:t>”), each consisting of Purchase Contracts and Debt Securities, preferred securities or debt obligations of third-parties,</w:t>
      </w:r>
    </w:p>
    <w:p>
      <w:pPr>
        <w:sectPr>
          <w:pgSz w:w="11900" w:h="16838" w:orient="portrait"/>
          <w:cols w:equalWidth="0" w:num="1">
            <w:col w:w="11020"/>
          </w:cols>
          <w:pgMar w:left="440" w:top="121"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including U.S. treasury securities, or any combination of the foregoing, which may be issued pursuant to one or more agreements (each, a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Unit Agreement</w:t>
      </w:r>
      <w:r>
        <w:rPr>
          <w:rFonts w:ascii="Arial" w:cs="Arial" w:eastAsia="Arial" w:hAnsi="Arial"/>
          <w:sz w:val="17"/>
          <w:szCs w:val="17"/>
          <w:color w:val="auto"/>
        </w:rPr>
        <w:t>”) proposed to be entered into by the Company and one or more purchase unit agents to be named therein, and (ix) such indeterminate number of shares of Common Stock, Preferred Stock or Depositary Shares and indeterminate amount of Debt Securities as may be issued upon conversion, exchange or exercise, as applicable, of any Preferred Stock, Depositary Shares, Debt Securities, Warrants or Subscription Rights or settlement of any Purchase Contracts or Purchase Units, including such shares of Common Stock or Preferred Stock as may be issued pursuant to anti-dilution adjustments determined at the time of offering (collectively, “</w:t>
      </w:r>
      <w:r>
        <w:rPr>
          <w:rFonts w:ascii="Arial" w:cs="Arial" w:eastAsia="Arial" w:hAnsi="Arial"/>
          <w:sz w:val="17"/>
          <w:szCs w:val="17"/>
          <w:u w:val="single" w:color="auto"/>
          <w:color w:val="auto"/>
        </w:rPr>
        <w:t>Indeterminate Securities</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117" w:lineRule="exact"/>
        <w:rPr>
          <w:sz w:val="20"/>
          <w:szCs w:val="20"/>
          <w:color w:val="auto"/>
        </w:rPr>
      </w:pPr>
    </w:p>
    <w:p>
      <w:pPr>
        <w:ind w:left="680" w:hanging="236"/>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form of Indenture filed as an exhibit to the Registration Statement;</w:t>
      </w:r>
    </w:p>
    <w:p>
      <w:pPr>
        <w:spacing w:after="0" w:line="117" w:lineRule="exact"/>
        <w:rPr>
          <w:rFonts w:ascii="Arial" w:cs="Arial" w:eastAsia="Arial" w:hAnsi="Arial"/>
          <w:sz w:val="18"/>
          <w:szCs w:val="18"/>
          <w:color w:val="auto"/>
        </w:rPr>
      </w:pPr>
    </w:p>
    <w:p>
      <w:pPr>
        <w:ind w:right="180" w:firstLine="444"/>
        <w:spacing w:after="0" w:line="277"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executed copy of a certificate of Cornel B. Fuerer, Senior Vice President, General Counsel and Secretary of the Company, dated the date hereof (the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44"/>
        <w:spacing w:after="0" w:line="277" w:lineRule="auto"/>
        <w:tabs>
          <w:tab w:leader="none" w:pos="6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certified by the Secretary of State of the State of Delaware as of May 28, 2019 and certified pursuant to the Secretary’s Certificate;</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form of the Amended and Restated Certificate of Incorporation of the Company filed as Exhibit 3.1 to the Registration Statement;</w:t>
      </w:r>
    </w:p>
    <w:p>
      <w:pPr>
        <w:spacing w:after="0" w:line="128" w:lineRule="exact"/>
        <w:rPr>
          <w:rFonts w:ascii="Arial" w:cs="Arial" w:eastAsia="Arial" w:hAnsi="Arial"/>
          <w:sz w:val="17"/>
          <w:szCs w:val="17"/>
          <w:color w:val="auto"/>
        </w:rPr>
      </w:pPr>
    </w:p>
    <w:p>
      <w:pPr>
        <w:ind w:left="660" w:hanging="21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copy of the Bylaws of the Company, as in effect as of the date hereof and certified pursuant to the Secretary’s Certificate;</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form of the Amended and Restated Bylaws of the Company filed as Exhibit 3.2 to the Registration Statement; and</w:t>
      </w:r>
    </w:p>
    <w:p>
      <w:pPr>
        <w:spacing w:after="0" w:line="117"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copy of certain resolutions of the Board of Directors of the Company, adopted on May 6, 2019 and May 31, 2019, certified pursuant to the Secretary’s Certificate.</w:t>
      </w:r>
    </w:p>
    <w:p>
      <w:pPr>
        <w:spacing w:after="0" w:line="170"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38" w:orient="portrait"/>
          <w:cols w:equalWidth="0" w:num="1">
            <w:col w:w="10900"/>
          </w:cols>
          <w:pgMar w:left="440" w:top="274" w:right="5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those in the Secretary’s Certificate.</w:t>
      </w:r>
    </w:p>
    <w:p>
      <w:pPr>
        <w:spacing w:after="0" w:line="17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(i) the laws of the State of New York, and (ii)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(all of the foregoing being referred to as “</w:t>
      </w:r>
      <w:r>
        <w:rPr>
          <w:rFonts w:ascii="Arial" w:cs="Arial" w:eastAsia="Arial" w:hAnsi="Arial"/>
          <w:sz w:val="18"/>
          <w:szCs w:val="18"/>
          <w:u w:val="single" w:color="auto"/>
          <w:color w:val="auto"/>
        </w:rPr>
        <w:t>Opined-on Law</w:t>
      </w:r>
      <w:r>
        <w:rPr>
          <w:rFonts w:ascii="Arial" w:cs="Arial" w:eastAsia="Arial" w:hAnsi="Arial"/>
          <w:sz w:val="18"/>
          <w:szCs w:val="18"/>
          <w:color w:val="auto"/>
        </w:rPr>
        <w:t>”).</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means the Depositary Agreements, the Indenture and the supplemental indentures thereto, the Warrant Agreements, the Subscription Rights Agreements, the Purchase Contract Agreements, the Purchase Unit Agreements and any applicable underwriting or purchase agreement.</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opinions stated in paragraphs 1 through 8 below presume that all of the following (collectively, the “</w:t>
      </w:r>
      <w:r>
        <w:rPr>
          <w:rFonts w:ascii="Arial" w:cs="Arial" w:eastAsia="Arial" w:hAnsi="Arial"/>
          <w:sz w:val="16"/>
          <w:szCs w:val="16"/>
          <w:u w:val="single" w:color="auto"/>
          <w:color w:val="auto"/>
        </w:rPr>
        <w:t>general conditions</w:t>
      </w:r>
      <w:r>
        <w:rPr>
          <w:rFonts w:ascii="Arial" w:cs="Arial" w:eastAsia="Arial" w:hAnsi="Arial"/>
          <w:sz w:val="16"/>
          <w:szCs w:val="16"/>
          <w:color w:val="auto"/>
        </w:rPr>
        <w:t>”)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 Regulations; (iii) the applicable Transaction Agreements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Company’s Amended and Restated Certificate of Incorporation has been filed with the Secretary of State of the State of Delaware and has become effective and the Board of Directors of the Company, including any appropriate committee appointed thereby, has taken all necessary corporate action to adopt the Company’s Amended and Restated Bylaws; (v) the Board of Directors of the Company, including any duly authorized committee thereof, shall have taken all necessary corporate action to approve the issuance and sale of such Securities and related matters and appropriate officers of the Company have taken all related action as directed by or under the direction of the Board of Directors of the Company; and (vi) the terms of the applicable Transaction Agreements and the issuance and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and so as to comply with any requirement or restriction imposed by any court or governmental body having jurisdiction over the Company.</w:t>
      </w:r>
    </w:p>
    <w:p>
      <w:pPr>
        <w:sectPr>
          <w:pgSz w:w="11900" w:h="16838" w:orient="portrait"/>
          <w:cols w:equalWidth="0" w:num="1">
            <w:col w:w="11020"/>
          </w:cols>
          <w:pgMar w:left="440" w:top="274"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117" w:lineRule="exact"/>
        <w:rPr>
          <w:sz w:val="20"/>
          <w:szCs w:val="20"/>
          <w:color w:val="auto"/>
        </w:rPr>
      </w:pPr>
    </w:p>
    <w:p>
      <w:pPr>
        <w:ind w:firstLine="444"/>
        <w:spacing w:after="0" w:line="272" w:lineRule="auto"/>
        <w:tabs>
          <w:tab w:leader="none" w:pos="62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With respect to any shares of Common Stock offered by the Company, including any Indeterminate Securities constituting Common Stock (the “</w:t>
      </w:r>
      <w:r>
        <w:rPr>
          <w:rFonts w:ascii="Arial" w:cs="Arial" w:eastAsia="Arial" w:hAnsi="Arial"/>
          <w:sz w:val="17"/>
          <w:szCs w:val="17"/>
          <w:u w:val="single" w:color="auto"/>
          <w:color w:val="auto"/>
        </w:rPr>
        <w:t>Offered Common Stock</w:t>
      </w:r>
      <w:r>
        <w:rPr>
          <w:rFonts w:ascii="Arial" w:cs="Arial" w:eastAsia="Arial" w:hAnsi="Arial"/>
          <w:sz w:val="17"/>
          <w:szCs w:val="17"/>
          <w:color w:val="auto"/>
        </w:rPr>
        <w:t>”), when (a) the general conditions shall have been satisfied, (b) if the Offered Common Stock is to be certificated, certificates in the form required under the DGCL representing the shares of Offered Common Stock are duly executed and countersigned and (c) 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Agreement, will be duly authorized by all requisite corporate action on the part of the Company under the DGCL and validly issued, fully paid and nonassessable, provided that the consideration therefor is not less than $0.01 per share of Common Stock.</w:t>
      </w:r>
    </w:p>
    <w:p>
      <w:pPr>
        <w:spacing w:after="0" w:line="69" w:lineRule="exact"/>
        <w:rPr>
          <w:rFonts w:ascii="Arial" w:cs="Arial" w:eastAsia="Arial" w:hAnsi="Arial"/>
          <w:sz w:val="17"/>
          <w:szCs w:val="17"/>
          <w:color w:val="auto"/>
        </w:rPr>
      </w:pPr>
    </w:p>
    <w:p>
      <w:pPr>
        <w:ind w:right="40" w:firstLine="444"/>
        <w:spacing w:after="0" w:line="289" w:lineRule="auto"/>
        <w:tabs>
          <w:tab w:leader="none" w:pos="62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 respect to the shares of any series of Preferred Stock offered by the Company, including any Indeterminate Securities constituting Preferred Stock of such series (the “</w:t>
      </w:r>
      <w:r>
        <w:rPr>
          <w:rFonts w:ascii="Arial" w:cs="Arial" w:eastAsia="Arial" w:hAnsi="Arial"/>
          <w:sz w:val="16"/>
          <w:szCs w:val="16"/>
          <w:u w:val="single" w:color="auto"/>
          <w:color w:val="auto"/>
        </w:rPr>
        <w:t>Offered Preferred Stock</w:t>
      </w:r>
      <w:r>
        <w:rPr>
          <w:rFonts w:ascii="Arial" w:cs="Arial" w:eastAsia="Arial" w:hAnsi="Arial"/>
          <w:sz w:val="16"/>
          <w:szCs w:val="16"/>
          <w:color w:val="auto"/>
        </w:rPr>
        <w:t>”), when (a) the general conditions shall have been satisfied, (b) the Board of Directors of the Company, or a duly authorized committee thereof, has duly adopted a Certificate of Designations for the Offered Preferred Stock in accordance with the DGCL (the “</w:t>
      </w:r>
      <w:r>
        <w:rPr>
          <w:rFonts w:ascii="Arial" w:cs="Arial" w:eastAsia="Arial" w:hAnsi="Arial"/>
          <w:sz w:val="16"/>
          <w:szCs w:val="16"/>
          <w:u w:val="single" w:color="auto"/>
          <w:color w:val="auto"/>
        </w:rPr>
        <w:t>Certificate</w:t>
      </w:r>
      <w:r>
        <w:rPr>
          <w:rFonts w:ascii="Arial" w:cs="Arial" w:eastAsia="Arial" w:hAnsi="Arial"/>
          <w:sz w:val="16"/>
          <w:szCs w:val="16"/>
          <w:color w:val="auto"/>
        </w:rPr>
        <w:t>”), (c) the filing of the Certificate with the Secretary of State of the State of Delaware has duly occurred, (d) if the Offered Preferred Stock is to be certificated, certificates in the form required under the DGCL representing the shares of Offered Preferred Stock are duly executed and countersigned and (e) the shares of Offered Preferred Stock are registered in the Company’s share registry and delivered upon payment of the agreed-upon consideration therefor, the shares of Offered Preferred Stock, when issued and sold or otherwise distributed in accordance with the provisions of the applicable Transaction Agreement, will be duly authorized by all requisite corporate action on the part of the Company under the DGCL and validly issued, fully paid and nonassessable, provided that the consideration therefor is not less than $0.01 per share of Preferred Stock.</w:t>
      </w:r>
    </w:p>
    <w:p>
      <w:pPr>
        <w:spacing w:after="0" w:line="58" w:lineRule="exact"/>
        <w:rPr>
          <w:rFonts w:ascii="Arial" w:cs="Arial" w:eastAsia="Arial" w:hAnsi="Arial"/>
          <w:sz w:val="16"/>
          <w:szCs w:val="16"/>
          <w:color w:val="auto"/>
        </w:rPr>
      </w:pPr>
    </w:p>
    <w:p>
      <w:pPr>
        <w:ind w:left="620" w:hanging="176"/>
        <w:spacing w:after="0"/>
        <w:tabs>
          <w:tab w:leader="none" w:pos="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With respect to any Depositary Shares offered by the Company, including any Indeterminate Securities constituting Depositary Shares (the</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Offered Depositary Shares</w:t>
      </w:r>
      <w:r>
        <w:rPr>
          <w:rFonts w:ascii="Arial" w:cs="Arial" w:eastAsia="Arial" w:hAnsi="Arial"/>
          <w:sz w:val="17"/>
          <w:szCs w:val="17"/>
          <w:color w:val="auto"/>
        </w:rPr>
        <w:t>”), when (a) the general conditions shall have been satisfied, (b) the Preferred Stock relating to such Offered Depositary Shares has been duly authorized for issuance by the Company; (c) the Offered Depositary Shares have been duly executed, delivered, countersigned, issued and sold in accordance with the provisions of the applicable Depositary Agreement, and the Offered Depositary Shares have been delivered to the Bank Depositary for deposit in accordance with the applicable Depositary Agreement; and (d) the Receipts evidencing the Depositary Shares have been duly issued against deposit of the related shares of Preferred Stock with the Bank Depositary in accordance with the applicable Depositary Agreement, such Depositary Agreement will constitute a legally valid and binding obligation of the Company, enforceable against the Company in accordance with its respective terms under the laws of the State of New York.</w:t>
      </w:r>
    </w:p>
    <w:p>
      <w:pPr>
        <w:sectPr>
          <w:pgSz w:w="11900" w:h="16838" w:orient="portrait"/>
          <w:cols w:equalWidth="0" w:num="1">
            <w:col w:w="11000"/>
          </w:cols>
          <w:pgMar w:left="4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44"/>
        <w:spacing w:after="0" w:line="270" w:lineRule="auto"/>
        <w:tabs>
          <w:tab w:leader="none" w:pos="62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With respect to any series of Debt Securities offered by the Company, including any Indeterminate Securities constituting Debt Securities of such series (the “</w:t>
      </w:r>
      <w:r>
        <w:rPr>
          <w:rFonts w:ascii="Arial" w:cs="Arial" w:eastAsia="Arial" w:hAnsi="Arial"/>
          <w:sz w:val="17"/>
          <w:szCs w:val="17"/>
          <w:u w:val="single" w:color="auto"/>
          <w:color w:val="auto"/>
        </w:rPr>
        <w:t>Offered Debt Securities</w:t>
      </w:r>
      <w:r>
        <w:rPr>
          <w:rFonts w:ascii="Arial" w:cs="Arial" w:eastAsia="Arial" w:hAnsi="Arial"/>
          <w:sz w:val="17"/>
          <w:szCs w:val="17"/>
          <w:color w:val="auto"/>
        </w:rPr>
        <w:t>”), when (a) the general conditions shall have been satisfied, (b) the Indenture has been qualified under the Trust Indenture Act of 1939 (the “</w:t>
      </w:r>
      <w:r>
        <w:rPr>
          <w:rFonts w:ascii="Arial" w:cs="Arial" w:eastAsia="Arial" w:hAnsi="Arial"/>
          <w:sz w:val="17"/>
          <w:szCs w:val="17"/>
          <w:u w:val="single" w:color="auto"/>
          <w:color w:val="auto"/>
        </w:rPr>
        <w:t>TIA</w:t>
      </w:r>
      <w:r>
        <w:rPr>
          <w:rFonts w:ascii="Arial" w:cs="Arial" w:eastAsia="Arial" w:hAnsi="Arial"/>
          <w:sz w:val="17"/>
          <w:szCs w:val="17"/>
          <w:color w:val="auto"/>
        </w:rPr>
        <w:t>”); (c) the issuance, sale and terms of the Offered Debt Securities and related matters have been approved and established in conformity with the applicable Transaction Agreements and (d) the certificates evidencing the Offered Debt Securities have been issued in a form that complies with the provisions of the applicable Transaction Agreements and have been duly executed and authenticated in accordance with the provisions of the Indenture and any other applicable Transaction Agreements and issued and sold or otherwise distributed in accordance with the provisions of the applicable Transaction Agreement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73" w:lineRule="exact"/>
        <w:rPr>
          <w:rFonts w:ascii="Arial" w:cs="Arial" w:eastAsia="Arial" w:hAnsi="Arial"/>
          <w:sz w:val="17"/>
          <w:szCs w:val="17"/>
          <w:color w:val="auto"/>
        </w:rPr>
      </w:pPr>
    </w:p>
    <w:p>
      <w:pPr>
        <w:ind w:left="620" w:hanging="176"/>
        <w:spacing w:after="0"/>
        <w:tabs>
          <w:tab w:leader="none" w:pos="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With respect to any Warrants offered by the Company (the “</w:t>
      </w:r>
      <w:r>
        <w:rPr>
          <w:rFonts w:ascii="Arial" w:cs="Arial" w:eastAsia="Arial" w:hAnsi="Arial"/>
          <w:sz w:val="17"/>
          <w:szCs w:val="17"/>
          <w:u w:val="single" w:color="auto"/>
          <w:color w:val="auto"/>
        </w:rPr>
        <w:t>Offered Warrants</w:t>
      </w:r>
      <w:r>
        <w:rPr>
          <w:rFonts w:ascii="Arial" w:cs="Arial" w:eastAsia="Arial" w:hAnsi="Arial"/>
          <w:sz w:val="17"/>
          <w:szCs w:val="17"/>
          <w:color w:val="auto"/>
        </w:rPr>
        <w:t>”), when (a) the general conditions shall have been satisfied,</w:t>
      </w:r>
    </w:p>
    <w:p>
      <w:pPr>
        <w:spacing w:after="0" w:line="34" w:lineRule="exact"/>
        <w:rPr>
          <w:rFonts w:ascii="Arial" w:cs="Arial" w:eastAsia="Arial" w:hAnsi="Arial"/>
          <w:sz w:val="17"/>
          <w:szCs w:val="17"/>
          <w:color w:val="auto"/>
        </w:rPr>
      </w:pPr>
    </w:p>
    <w:p>
      <w:pPr>
        <w:ind w:right="20" w:firstLine="4"/>
        <w:spacing w:after="0" w:line="292" w:lineRule="auto"/>
        <w:tabs>
          <w:tab w:leader="none" w:pos="2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Agreement upon payment of the agreed-upon consideration therefor, will constitute valid and binding obligations of the Company, enforceable against the Company in accordance with their respective terms under the laws of the State of New York.</w:t>
      </w:r>
    </w:p>
    <w:p>
      <w:pPr>
        <w:spacing w:after="0" w:line="54" w:lineRule="exact"/>
        <w:rPr>
          <w:rFonts w:ascii="Arial" w:cs="Arial" w:eastAsia="Arial" w:hAnsi="Arial"/>
          <w:sz w:val="16"/>
          <w:szCs w:val="16"/>
          <w:color w:val="auto"/>
        </w:rPr>
      </w:pPr>
    </w:p>
    <w:p>
      <w:pPr>
        <w:ind w:right="200" w:firstLine="444"/>
        <w:spacing w:after="0" w:line="255" w:lineRule="auto"/>
        <w:tabs>
          <w:tab w:leader="none" w:pos="62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With respect to any Subscription Rights offered by the Company (the “</w:t>
      </w:r>
      <w:r>
        <w:rPr>
          <w:rFonts w:ascii="Arial" w:cs="Arial" w:eastAsia="Arial" w:hAnsi="Arial"/>
          <w:sz w:val="18"/>
          <w:szCs w:val="18"/>
          <w:u w:val="single" w:color="auto"/>
          <w:color w:val="auto"/>
        </w:rPr>
        <w:t>Offered Subscription Rights</w:t>
      </w:r>
      <w:r>
        <w:rPr>
          <w:rFonts w:ascii="Arial" w:cs="Arial" w:eastAsia="Arial" w:hAnsi="Arial"/>
          <w:sz w:val="18"/>
          <w:szCs w:val="18"/>
          <w:color w:val="auto"/>
        </w:rPr>
        <w:t>”), when (a) the general conditions shall have been satisfied, (b) the Common Stock, Preferred Stock and/or Debt Securities relating to such Offered Subscription Rights have been duly authorized for issuance by the Company and (c) the Subscription Rights Certificates have been duly executed, delivered and countersigned in accordance with the provisions of the applicable Subscription Rights Agreement, the Offered Subscription Rights, when issued and sold or otherwise distributed in accordance with the provisions of the applicable Transaction Agreement upon payment of the agreed-upon consideration therefor, will constitute valid and binding obligations of the Company, enforceable against the Company in accordance with their respective terms under the laws of the State of New York.</w:t>
      </w:r>
    </w:p>
    <w:p>
      <w:pPr>
        <w:spacing w:after="0" w:line="81" w:lineRule="exact"/>
        <w:rPr>
          <w:rFonts w:ascii="Arial" w:cs="Arial" w:eastAsia="Arial" w:hAnsi="Arial"/>
          <w:sz w:val="18"/>
          <w:szCs w:val="18"/>
          <w:color w:val="auto"/>
        </w:rPr>
      </w:pPr>
    </w:p>
    <w:p>
      <w:pPr>
        <w:ind w:right="40" w:firstLine="444"/>
        <w:spacing w:after="0" w:line="293" w:lineRule="auto"/>
        <w:tabs>
          <w:tab w:leader="none" w:pos="62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With respect to any Purchase Contracts offered by the Company (the “</w:t>
      </w:r>
      <w:r>
        <w:rPr>
          <w:rFonts w:ascii="Arial" w:cs="Arial" w:eastAsia="Arial" w:hAnsi="Arial"/>
          <w:sz w:val="16"/>
          <w:szCs w:val="16"/>
          <w:u w:val="single" w:color="auto"/>
          <w:color w:val="auto"/>
        </w:rPr>
        <w:t>Offered Purchase Contracts</w:t>
      </w:r>
      <w:r>
        <w:rPr>
          <w:rFonts w:ascii="Arial" w:cs="Arial" w:eastAsia="Arial" w:hAnsi="Arial"/>
          <w:sz w:val="16"/>
          <w:szCs w:val="16"/>
          <w:color w:val="auto"/>
        </w:rPr>
        <w:t>”), when (a) the general conditions shall have been satisfied, (b) the Common Stock, Preferred Stock and/or Debt Securities relating to such Offered Purchase Contracts have been duly authorized for issuance by the Company and (c) the Offered Purchase Contracts have been duly executed, delivered and countersigned in accordance with the provisions of the applicable Purchase Contract Agreement, the Offered Purchase Contracts, when issued and sold or otherwise distributed in accordance with the provisions of the applicable Transaction Agreement upon payment of the agreed-upon consideration therefor, will constitute valid and binding obligations of the Company, enforceable against the Company in accordance with their respective terms under the laws of the State of New York.</w:t>
      </w:r>
    </w:p>
    <w:p>
      <w:pPr>
        <w:sectPr>
          <w:pgSz w:w="11900" w:h="16838" w:orient="portrait"/>
          <w:cols w:equalWidth="0" w:num="1">
            <w:col w:w="11020"/>
          </w:cols>
          <w:pgMar w:left="440" w:top="274"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firstLine="444"/>
        <w:spacing w:after="0" w:line="291" w:lineRule="auto"/>
        <w:tabs>
          <w:tab w:leader="none" w:pos="62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respect to any Purchase Units offered by the Company (the “</w:t>
      </w:r>
      <w:r>
        <w:rPr>
          <w:rFonts w:ascii="Arial" w:cs="Arial" w:eastAsia="Arial" w:hAnsi="Arial"/>
          <w:sz w:val="16"/>
          <w:szCs w:val="16"/>
          <w:u w:val="single" w:color="auto"/>
          <w:color w:val="auto"/>
        </w:rPr>
        <w:t>Offered Purchase Units</w:t>
      </w:r>
      <w:r>
        <w:rPr>
          <w:rFonts w:ascii="Arial" w:cs="Arial" w:eastAsia="Arial" w:hAnsi="Arial"/>
          <w:sz w:val="16"/>
          <w:szCs w:val="16"/>
          <w:color w:val="auto"/>
        </w:rPr>
        <w:t>”), when (a) the general conditions shall have been satisfied, (b) the Purchase Contracts or Debt Securities, Preferred Stock or debt obligations of third parties, including U.S. treasury securities, or any of the foregoing included in such Offered Purchase Units have been duly authorized for issuance, or in the case of debt obligations of third parties, for sale by the Company and (c) certificates evidencing the Offered Purchase Units have been duly executed, delivered and countersigned in accordance with the provisions of the applicable Purchase Unit Agreement, the Offered Purchase Units, when issued and sold or otherwise distributed in accordance with the provisions of the applicable Transaction Agreement upon payment of the agreed-upon consideration therefor, will constitute valid and binding obligations of the Company, enforceable against the Company in accordance with their respective terms under the laws of the State of New York.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117" w:lineRule="exact"/>
        <w:rPr>
          <w:sz w:val="20"/>
          <w:szCs w:val="20"/>
          <w:color w:val="auto"/>
        </w:rPr>
      </w:pPr>
    </w:p>
    <w:p>
      <w:pPr>
        <w:ind w:right="140" w:firstLine="444"/>
        <w:spacing w:after="0" w:line="264" w:lineRule="auto"/>
        <w:tabs>
          <w:tab w:leader="none" w:pos="6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effect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73" w:lineRule="exact"/>
        <w:rPr>
          <w:rFonts w:ascii="Arial" w:cs="Arial" w:eastAsia="Arial" w:hAnsi="Arial"/>
          <w:sz w:val="18"/>
          <w:szCs w:val="18"/>
          <w:color w:val="auto"/>
        </w:rPr>
      </w:pPr>
    </w:p>
    <w:p>
      <w:pPr>
        <w:ind w:right="100" w:firstLine="444"/>
        <w:spacing w:after="0" w:line="264" w:lineRule="auto"/>
        <w:tabs>
          <w:tab w:leader="none" w:pos="69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Agreements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73" w:lineRule="exact"/>
        <w:rPr>
          <w:rFonts w:ascii="Arial" w:cs="Arial" w:eastAsia="Arial" w:hAnsi="Arial"/>
          <w:sz w:val="18"/>
          <w:szCs w:val="18"/>
          <w:color w:val="auto"/>
        </w:rPr>
      </w:pPr>
    </w:p>
    <w:p>
      <w:pPr>
        <w:ind w:firstLine="444"/>
        <w:spacing w:after="0" w:line="342"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Agreements constitutes the valid and binding obligation of each party to such Transaction Agreement, enforceable against such party in accordance with its terms;</w:t>
      </w:r>
    </w:p>
    <w:p>
      <w:pPr>
        <w:spacing w:after="0" w:line="15" w:lineRule="exact"/>
        <w:rPr>
          <w:rFonts w:ascii="Arial" w:cs="Arial" w:eastAsia="Arial" w:hAnsi="Arial"/>
          <w:sz w:val="16"/>
          <w:szCs w:val="16"/>
          <w:color w:val="auto"/>
        </w:rPr>
      </w:pPr>
    </w:p>
    <w:p>
      <w:pPr>
        <w:ind w:right="60" w:firstLine="444"/>
        <w:spacing w:after="0" w:line="259" w:lineRule="auto"/>
        <w:tabs>
          <w:tab w:leader="none" w:pos="69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opinions in paragraphs 3, 4, 5, 6, 7 and 8 above do not address the enforceability of any provision, however expressed, (i) limiting reliance on statements by a party, (ii) exculpating a party from liability, (iii) disclaiming, limiting, or extending a party’s liability, (iv) waiving, limiting, or excluding remedies, (v) providing for indemnification or contribution, or (vi) lengthening or shortening the period during which claims otherwise could be made under the applicable statute of limitations;</w:t>
      </w:r>
    </w:p>
    <w:p>
      <w:pPr>
        <w:spacing w:after="0" w:line="78" w:lineRule="exact"/>
        <w:rPr>
          <w:rFonts w:ascii="Arial" w:cs="Arial" w:eastAsia="Arial" w:hAnsi="Arial"/>
          <w:sz w:val="18"/>
          <w:szCs w:val="18"/>
          <w:color w:val="auto"/>
        </w:rPr>
      </w:pPr>
    </w:p>
    <w:p>
      <w:pPr>
        <w:ind w:right="80" w:firstLine="444"/>
        <w:spacing w:after="0" w:line="277" w:lineRule="auto"/>
        <w:tabs>
          <w:tab w:leader="none" w:pos="6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of any Transaction Agreement to the extent that such section purports to bind any Opinion Party to the exclusive jurisdiction of any particular federal court or courts;</w:t>
      </w:r>
    </w:p>
    <w:p>
      <w:pPr>
        <w:sectPr>
          <w:pgSz w:w="11900" w:h="16838" w:orient="portrait"/>
          <w:cols w:equalWidth="0" w:num="1">
            <w:col w:w="11020"/>
          </w:cols>
          <w:pgMar w:left="440" w:top="274"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right="140" w:firstLine="444"/>
        <w:spacing w:after="0" w:line="259" w:lineRule="auto"/>
        <w:tabs>
          <w:tab w:leader="none" w:pos="6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call to your attention that irrespective of the agreement of the parties to any Transaction Agreement,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Agreement;</w:t>
      </w:r>
    </w:p>
    <w:p>
      <w:pPr>
        <w:spacing w:after="0" w:line="78" w:lineRule="exact"/>
        <w:rPr>
          <w:rFonts w:ascii="Arial" w:cs="Arial" w:eastAsia="Arial" w:hAnsi="Arial"/>
          <w:sz w:val="18"/>
          <w:szCs w:val="18"/>
          <w:color w:val="auto"/>
        </w:rPr>
      </w:pPr>
    </w:p>
    <w:p>
      <w:pPr>
        <w:ind w:right="40" w:firstLine="444"/>
        <w:spacing w:after="0" w:line="264"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73" w:lineRule="exact"/>
        <w:rPr>
          <w:rFonts w:ascii="Arial" w:cs="Arial" w:eastAsia="Arial" w:hAnsi="Arial"/>
          <w:sz w:val="18"/>
          <w:szCs w:val="18"/>
          <w:color w:val="auto"/>
        </w:rPr>
      </w:pPr>
    </w:p>
    <w:p>
      <w:pPr>
        <w:ind w:right="660" w:firstLine="444"/>
        <w:spacing w:after="0" w:line="277"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assumed that the choice of New York law to govern the Indenture and any supplemental indenture thereto is a valid and legal provision;</w:t>
      </w:r>
    </w:p>
    <w:p>
      <w:pPr>
        <w:spacing w:after="0" w:line="62" w:lineRule="exact"/>
        <w:rPr>
          <w:rFonts w:ascii="Arial" w:cs="Arial" w:eastAsia="Arial" w:hAnsi="Arial"/>
          <w:sz w:val="18"/>
          <w:szCs w:val="18"/>
          <w:color w:val="auto"/>
        </w:rPr>
      </w:pPr>
    </w:p>
    <w:p>
      <w:pPr>
        <w:ind w:right="300" w:firstLine="444"/>
        <w:spacing w:after="0" w:line="264" w:lineRule="auto"/>
        <w:tabs>
          <w:tab w:leader="none" w:pos="65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assumed that the laws of the State of New York will be chosen to govern any Depositary Agreements, Warrant Agreements, Subscription Rights Agreements, Purchase Contract Agreements and Purchase Unit Agreements and that such choice is and will be a valid and legal provision;</w:t>
      </w:r>
    </w:p>
    <w:p>
      <w:pPr>
        <w:spacing w:after="0" w:line="73" w:lineRule="exact"/>
        <w:rPr>
          <w:rFonts w:ascii="Arial" w:cs="Arial" w:eastAsia="Arial" w:hAnsi="Arial"/>
          <w:sz w:val="18"/>
          <w:szCs w:val="18"/>
          <w:color w:val="auto"/>
        </w:rPr>
      </w:pPr>
    </w:p>
    <w:p>
      <w:pPr>
        <w:ind w:firstLine="444"/>
        <w:spacing w:after="0" w:line="259" w:lineRule="auto"/>
        <w:tabs>
          <w:tab w:leader="none" w:pos="65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assumed that the Indenture will be duly authorized, executed and delivered by the trustee in substantially the form reviewed by us, and that any Debt Securities, Warrants, Subscription Rights, Purchase Contracts and Purchase Units that may be issued will be manually authenticated, signed or countersigned, as the case may be, by duly authorized officers of any trustee, warrant agent, subscription agent, purchase contract agent and purchase unit agent, as the case may be;</w:t>
      </w:r>
    </w:p>
    <w:p>
      <w:pPr>
        <w:spacing w:after="0" w:line="78" w:lineRule="exact"/>
        <w:rPr>
          <w:rFonts w:ascii="Arial" w:cs="Arial" w:eastAsia="Arial" w:hAnsi="Arial"/>
          <w:sz w:val="18"/>
          <w:szCs w:val="18"/>
          <w:color w:val="auto"/>
        </w:rPr>
      </w:pPr>
    </w:p>
    <w:p>
      <w:pPr>
        <w:ind w:firstLine="444"/>
        <w:spacing w:after="0" w:line="264" w:lineRule="auto"/>
        <w:tabs>
          <w:tab w:leader="none" w:pos="6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 and</w:t>
      </w:r>
    </w:p>
    <w:p>
      <w:pPr>
        <w:spacing w:after="0" w:line="73" w:lineRule="exact"/>
        <w:rPr>
          <w:rFonts w:ascii="Arial" w:cs="Arial" w:eastAsia="Arial" w:hAnsi="Arial"/>
          <w:sz w:val="18"/>
          <w:szCs w:val="18"/>
          <w:color w:val="auto"/>
        </w:rPr>
      </w:pPr>
    </w:p>
    <w:p>
      <w:pPr>
        <w:jc w:val="both"/>
        <w:ind w:right="140" w:firstLine="444"/>
        <w:spacing w:after="0" w:line="312" w:lineRule="auto"/>
        <w:tabs>
          <w:tab w:leader="none" w:pos="65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the extent that any opinion relates to the enforceability of the choice of New York law and choice of New York forum provisions contained in any Transaction Agreement,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117" w:lineRule="exact"/>
        <w:rPr>
          <w:sz w:val="20"/>
          <w:szCs w:val="20"/>
          <w:color w:val="auto"/>
        </w:rPr>
      </w:pPr>
    </w:p>
    <w:p>
      <w:pPr>
        <w:jc w:val="both"/>
        <w:ind w:right="360" w:firstLine="444"/>
        <w:spacing w:after="0" w:line="264" w:lineRule="auto"/>
        <w:tabs>
          <w:tab w:leader="none" w:pos="6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the Transaction Agreements nor the performance by the Company of its obligations thereunder, including the issuance and sale of the applicable Securities: (i) constitutes or will constitute a violation of, or a default under, any lease, indenture, agreement or other instrument to which the Company or its</w:t>
      </w:r>
    </w:p>
    <w:p>
      <w:pPr>
        <w:sectPr>
          <w:pgSz w:w="11900" w:h="16838" w:orient="portrait"/>
          <w:cols w:equalWidth="0" w:num="1">
            <w:col w:w="11000"/>
          </w:cols>
          <w:pgMar w:left="440" w:top="274"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Corteva,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property is subject, (ii) contravened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 and</w:t>
      </w:r>
    </w:p>
    <w:p>
      <w:pPr>
        <w:spacing w:after="0" w:line="73" w:lineRule="exact"/>
        <w:rPr>
          <w:sz w:val="20"/>
          <w:szCs w:val="20"/>
          <w:color w:val="auto"/>
        </w:rPr>
      </w:pPr>
    </w:p>
    <w:p>
      <w:pPr>
        <w:ind w:right="60" w:firstLine="444"/>
        <w:spacing w:after="0" w:line="286" w:lineRule="auto"/>
        <w:tabs>
          <w:tab w:leader="none" w:pos="69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Agreements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66"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Skadden, Arps, Slate, Meagher &amp; Flom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RJD</w:t>
      </w:r>
    </w:p>
    <w:p>
      <w:pPr>
        <w:sectPr>
          <w:pgSz w:w="11900" w:h="16838" w:orient="portrait"/>
          <w:cols w:equalWidth="0" w:num="1">
            <w:col w:w="10840"/>
          </w:cols>
          <w:pgMar w:left="440" w:top="274" w:right="6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hereby consent to the incorporation by reference in this Registration Statement on Form S-3 of Corteva, Inc. of our Successor report dated February 11, 2019, relating to the financial statements and the effectiveness of internal control over financial reporting of E. I. du Pont de Nemours and Company, and of our Predecessor report dated February 15, 2018, except for the change in the manner in which the Company accounts for net periodic pension and postretirement benefit costs discussed in Note 2 to the consolidated financial statements, as to which the date is February 11, 2019, relating to the financial statements of E. I. du Pont de Nemours and Company, which appear in Corteva, Inc.’s Registration Statement on Form 10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001-38710). We also consent to the reference to us under the heading “Experts” in this Registration Statement.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ectPr>
          <w:pgSz w:w="11900" w:h="16838" w:orient="portrait"/>
          <w:cols w:equalWidth="0" w:num="1">
            <w:col w:w="11020"/>
          </w:cols>
          <w:pgMar w:left="440" w:top="121" w:right="4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consent to the incorporation by reference in this Registration Statement on Form S-3 of Corteva, Inc. of our report dated March 13, 2019, relating to the combined financial statements of the Dow Agricultural Sciences Business (the “Business”) as of December 31, 2018 and 2017 and for the three years in the period ended December 31, 2018, which report expresses an unqualified opinion and includes an emphasis of a matter paragraph regarding an inclusion of allocations of certain expenses from The Dow Chemical Company, which allocations may not reflect the expenses the Business would have incurred as a stand-alone company and a change in the method of accounting for revenue due to the adoption of Accounting Standards Codification Topic 606, Revenue From Contracts with Customers, appearing in the Amendment No. 4 of the Registration Statement on Form 10 of Corteva, Inc. filed on May 6, 2019,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Midland,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2019</w:t>
      </w:r>
    </w:p>
    <w:p>
      <w:pPr>
        <w:sectPr>
          <w:pgSz w:w="11900" w:h="16838" w:orient="portrait"/>
          <w:cols w:equalWidth="0" w:num="1">
            <w:col w:w="11020"/>
          </w:cols>
          <w:pgMar w:left="440" w:top="121" w:right="439" w:bottom="1440" w:gutter="0" w:footer="0" w:header="0"/>
        </w:sectPr>
      </w:pPr>
    </w:p>
    <w:bookmarkStart w:id="119" w:name="page120"/>
    <w:bookmarkEnd w:id="119"/>
    <w:p>
      <w:pPr>
        <w:ind w:left="10100"/>
        <w:spacing w:after="0"/>
        <w:rPr>
          <w:sz w:val="20"/>
          <w:szCs w:val="20"/>
          <w:color w:val="auto"/>
        </w:rPr>
      </w:pPr>
      <w:r>
        <w:rPr>
          <w:rFonts w:ascii="Arial" w:cs="Arial" w:eastAsia="Arial" w:hAnsi="Arial"/>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6997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6997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245745</wp:posOffset>
            </wp:positionV>
            <wp:extent cx="14662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40" w:hanging="436"/>
        <w:spacing w:after="0"/>
        <w:tabs>
          <w:tab w:leader="none" w:pos="440" w:val="left"/>
        </w:tabs>
        <w:numPr>
          <w:ilvl w:val="0"/>
          <w:numId w:val="11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40" w:type="dxa"/>
            <w:vAlign w:val="bottom"/>
            <w:gridSpan w:val="2"/>
          </w:tcPr>
          <w:p>
            <w:pPr>
              <w:jc w:val="right"/>
              <w:ind w:right="637"/>
              <w:spacing w:after="0"/>
              <w:rPr>
                <w:sz w:val="20"/>
                <w:szCs w:val="20"/>
                <w:color w:val="auto"/>
              </w:rPr>
            </w:pPr>
            <w:r>
              <w:rPr>
                <w:rFonts w:ascii="Arial" w:cs="Arial" w:eastAsia="Arial" w:hAnsi="Arial"/>
                <w:sz w:val="18"/>
                <w:szCs w:val="18"/>
                <w:b w:val="1"/>
                <w:bCs w:val="1"/>
                <w:color w:val="auto"/>
              </w:rPr>
              <w:t>31-0841368</w:t>
            </w:r>
          </w:p>
        </w:tc>
        <w:tc>
          <w:tcPr>
            <w:tcW w:w="9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5"/>
              </w:rPr>
              <w:t>I.R.S. Employer Identification No.</w:t>
            </w:r>
          </w:p>
        </w:tc>
        <w:tc>
          <w:tcPr>
            <w:tcW w:w="3480" w:type="dxa"/>
            <w:vAlign w:val="bottom"/>
          </w:tcPr>
          <w:p>
            <w:pPr>
              <w:spacing w:after="0"/>
              <w:rPr>
                <w:sz w:val="16"/>
                <w:szCs w:val="16"/>
                <w:color w:val="auto"/>
              </w:rPr>
            </w:pPr>
          </w:p>
        </w:tc>
      </w:tr>
      <w:tr>
        <w:trPr>
          <w:trHeight w:val="426"/>
        </w:trPr>
        <w:tc>
          <w:tcPr>
            <w:tcW w:w="75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2"/>
              </w:rPr>
              <w:t>800 Nicollet Mall</w:t>
            </w:r>
          </w:p>
        </w:tc>
        <w:tc>
          <w:tcPr>
            <w:tcW w:w="3480" w:type="dxa"/>
            <w:vAlign w:val="bottom"/>
          </w:tcPr>
          <w:p>
            <w:pPr>
              <w:spacing w:after="0"/>
              <w:rPr>
                <w:sz w:val="24"/>
                <w:szCs w:val="24"/>
                <w:color w:val="auto"/>
              </w:rPr>
            </w:pPr>
          </w:p>
        </w:tc>
      </w:tr>
      <w:tr>
        <w:trPr>
          <w:trHeight w:val="225"/>
        </w:trPr>
        <w:tc>
          <w:tcPr>
            <w:tcW w:w="75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1"/>
              </w:rPr>
              <w:t>Minneapolis, Minnesota</w:t>
            </w:r>
          </w:p>
        </w:tc>
        <w:tc>
          <w:tcPr>
            <w:tcW w:w="3480" w:type="dxa"/>
            <w:vAlign w:val="bottom"/>
          </w:tcPr>
          <w:p>
            <w:pPr>
              <w:jc w:val="center"/>
              <w:ind w:right="1820"/>
              <w:spacing w:after="0"/>
              <w:rPr>
                <w:sz w:val="20"/>
                <w:szCs w:val="20"/>
                <w:color w:val="auto"/>
              </w:rPr>
            </w:pPr>
            <w:r>
              <w:rPr>
                <w:rFonts w:ascii="Arial" w:cs="Arial" w:eastAsia="Arial" w:hAnsi="Arial"/>
                <w:sz w:val="18"/>
                <w:szCs w:val="18"/>
                <w:b w:val="1"/>
                <w:bCs w:val="1"/>
                <w:color w:val="auto"/>
                <w:w w:val="91"/>
              </w:rPr>
              <w:t>55402</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434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Stephanie Roche</w:t>
            </w:r>
          </w:p>
        </w:tc>
        <w:tc>
          <w:tcPr>
            <w:tcW w:w="3480" w:type="dxa"/>
            <w:vAlign w:val="bottom"/>
          </w:tcPr>
          <w:p>
            <w:pPr>
              <w:spacing w:after="0"/>
              <w:rPr>
                <w:sz w:val="24"/>
                <w:szCs w:val="24"/>
                <w:color w:val="auto"/>
              </w:rPr>
            </w:pPr>
          </w:p>
        </w:tc>
      </w:tr>
      <w:tr>
        <w:trPr>
          <w:trHeight w:val="216"/>
        </w:trPr>
        <w:tc>
          <w:tcPr>
            <w:tcW w:w="7540" w:type="dxa"/>
            <w:vAlign w:val="bottom"/>
            <w:gridSpan w:val="3"/>
          </w:tcPr>
          <w:p>
            <w:pPr>
              <w:jc w:val="center"/>
              <w:ind w:left="3377"/>
              <w:spacing w:after="0"/>
              <w:rPr>
                <w:sz w:val="20"/>
                <w:szCs w:val="20"/>
                <w:color w:val="auto"/>
              </w:rPr>
            </w:pPr>
            <w:r>
              <w:rPr>
                <w:rFonts w:ascii="Arial" w:cs="Arial" w:eastAsia="Arial" w:hAnsi="Arial"/>
                <w:sz w:val="18"/>
                <w:szCs w:val="18"/>
                <w:b w:val="1"/>
                <w:bCs w:val="1"/>
                <w:color w:val="auto"/>
                <w:w w:val="89"/>
              </w:rPr>
              <w:t>U.S. Bank National Association</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333 Thornall Street</w:t>
            </w:r>
          </w:p>
        </w:tc>
        <w:tc>
          <w:tcPr>
            <w:tcW w:w="348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0"/>
              </w:rPr>
              <w:t>Edison, NJ 08837</w:t>
            </w:r>
          </w:p>
        </w:tc>
        <w:tc>
          <w:tcPr>
            <w:tcW w:w="3480" w:type="dxa"/>
            <w:vAlign w:val="bottom"/>
          </w:tcPr>
          <w:p>
            <w:pPr>
              <w:spacing w:after="0"/>
              <w:rPr>
                <w:sz w:val="18"/>
                <w:szCs w:val="18"/>
                <w:color w:val="auto"/>
              </w:rPr>
            </w:pPr>
          </w:p>
        </w:tc>
      </w:tr>
      <w:tr>
        <w:trPr>
          <w:trHeight w:val="212"/>
        </w:trPr>
        <w:tc>
          <w:tcPr>
            <w:tcW w:w="6640" w:type="dxa"/>
            <w:vAlign w:val="bottom"/>
            <w:gridSpan w:val="2"/>
          </w:tcPr>
          <w:p>
            <w:pPr>
              <w:jc w:val="right"/>
              <w:ind w:right="497"/>
              <w:spacing w:after="0"/>
              <w:rPr>
                <w:sz w:val="20"/>
                <w:szCs w:val="20"/>
                <w:color w:val="auto"/>
              </w:rPr>
            </w:pPr>
            <w:r>
              <w:rPr>
                <w:rFonts w:ascii="Arial" w:cs="Arial" w:eastAsia="Arial" w:hAnsi="Arial"/>
                <w:sz w:val="18"/>
                <w:szCs w:val="18"/>
                <w:b w:val="1"/>
                <w:bCs w:val="1"/>
                <w:color w:val="auto"/>
              </w:rPr>
              <w:t>(732) 321-2513</w:t>
            </w:r>
          </w:p>
        </w:tc>
        <w:tc>
          <w:tcPr>
            <w:tcW w:w="90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86"/>
        </w:trPr>
        <w:tc>
          <w:tcPr>
            <w:tcW w:w="7540" w:type="dxa"/>
            <w:vAlign w:val="bottom"/>
            <w:gridSpan w:val="3"/>
          </w:tcPr>
          <w:p>
            <w:pPr>
              <w:jc w:val="center"/>
              <w:ind w:left="3357"/>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rPr>
              <w:t>CORTEVA INC.</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(Issuer with respect to the Securities)</w:t>
            </w:r>
          </w:p>
        </w:tc>
        <w:tc>
          <w:tcPr>
            <w:tcW w:w="348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70"/>
        </w:trPr>
        <w:tc>
          <w:tcPr>
            <w:tcW w:w="75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right="1820"/>
              <w:spacing w:after="0"/>
              <w:rPr>
                <w:sz w:val="20"/>
                <w:szCs w:val="20"/>
                <w:color w:val="auto"/>
              </w:rPr>
            </w:pPr>
            <w:r>
              <w:rPr>
                <w:rFonts w:ascii="Arial" w:cs="Arial" w:eastAsia="Arial" w:hAnsi="Arial"/>
                <w:sz w:val="18"/>
                <w:szCs w:val="18"/>
                <w:b w:val="1"/>
                <w:bCs w:val="1"/>
                <w:color w:val="auto"/>
                <w:w w:val="89"/>
              </w:rPr>
              <w:t>82-4979096</w:t>
            </w:r>
          </w:p>
        </w:tc>
      </w:tr>
      <w:tr>
        <w:trPr>
          <w:trHeight w:val="149"/>
        </w:trPr>
        <w:tc>
          <w:tcPr>
            <w:tcW w:w="7540" w:type="dxa"/>
            <w:vAlign w:val="bottom"/>
            <w:gridSpan w:val="3"/>
          </w:tcPr>
          <w:p>
            <w:pPr>
              <w:jc w:val="center"/>
              <w:ind w:right="20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820"/>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4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75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1"/>
              </w:rPr>
              <w:t>974 Centre Road, Building 735</w:t>
            </w:r>
          </w:p>
        </w:tc>
        <w:tc>
          <w:tcPr>
            <w:tcW w:w="3480" w:type="dxa"/>
            <w:vAlign w:val="bottom"/>
          </w:tcPr>
          <w:p>
            <w:pPr>
              <w:spacing w:after="0"/>
              <w:rPr>
                <w:sz w:val="24"/>
                <w:szCs w:val="24"/>
                <w:color w:val="auto"/>
              </w:rPr>
            </w:pPr>
          </w:p>
        </w:tc>
      </w:tr>
      <w:tr>
        <w:trPr>
          <w:trHeight w:val="225"/>
        </w:trPr>
        <w:tc>
          <w:tcPr>
            <w:tcW w:w="75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4"/>
              </w:rPr>
              <w:t>Wilmington, DE</w:t>
            </w:r>
          </w:p>
        </w:tc>
        <w:tc>
          <w:tcPr>
            <w:tcW w:w="3480" w:type="dxa"/>
            <w:vAlign w:val="bottom"/>
          </w:tcPr>
          <w:p>
            <w:pPr>
              <w:jc w:val="center"/>
              <w:ind w:right="1820"/>
              <w:spacing w:after="0"/>
              <w:rPr>
                <w:sz w:val="20"/>
                <w:szCs w:val="20"/>
                <w:color w:val="auto"/>
              </w:rPr>
            </w:pPr>
            <w:r>
              <w:rPr>
                <w:rFonts w:ascii="Arial" w:cs="Arial" w:eastAsia="Arial" w:hAnsi="Arial"/>
                <w:sz w:val="18"/>
                <w:szCs w:val="18"/>
                <w:b w:val="1"/>
                <w:bCs w:val="1"/>
                <w:color w:val="auto"/>
                <w:w w:val="91"/>
              </w:rPr>
              <w:t>19805</w:t>
            </w:r>
          </w:p>
        </w:tc>
      </w:tr>
      <w:tr>
        <w:trPr>
          <w:trHeight w:val="186"/>
        </w:trPr>
        <w:tc>
          <w:tcPr>
            <w:tcW w:w="75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4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Debt Securities</w:t>
            </w:r>
          </w:p>
        </w:tc>
        <w:tc>
          <w:tcPr>
            <w:tcW w:w="348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(Title of the Indenture Securities)</w:t>
            </w:r>
          </w:p>
        </w:tc>
        <w:tc>
          <w:tcPr>
            <w:tcW w:w="3480" w:type="dxa"/>
            <w:vAlign w:val="bottom"/>
          </w:tcPr>
          <w:p>
            <w:pPr>
              <w:spacing w:after="0"/>
              <w:rPr>
                <w:sz w:val="16"/>
                <w:szCs w:val="16"/>
                <w:color w:val="auto"/>
              </w:rPr>
            </w:pPr>
          </w:p>
        </w:tc>
      </w:tr>
      <w:tr>
        <w:trPr>
          <w:trHeight w:val="215"/>
        </w:trPr>
        <w:tc>
          <w:tcPr>
            <w:tcW w:w="4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860" w:hanging="424"/>
        <w:spacing w:after="0"/>
        <w:tabs>
          <w:tab w:leader="none" w:pos="8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w:t>
      </w:r>
    </w:p>
    <w:p>
      <w:pPr>
        <w:spacing w:after="0" w:line="116" w:lineRule="exact"/>
        <w:rPr>
          <w:sz w:val="20"/>
          <w:szCs w:val="20"/>
          <w:color w:val="auto"/>
        </w:rPr>
      </w:pPr>
    </w:p>
    <w:p>
      <w:pPr>
        <w:ind w:left="1300" w:right="5860" w:hanging="864"/>
        <w:spacing w:after="0" w:line="402" w:lineRule="auto"/>
        <w:tabs>
          <w:tab w:leader="none" w:pos="87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880" w:right="100" w:hanging="877"/>
        <w:spacing w:after="0" w:line="282"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Trustee acts as Trustee.</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860" w:hanging="424"/>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860" w:right="460" w:hanging="424"/>
        <w:spacing w:after="0" w:line="277" w:lineRule="auto"/>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Report of Condition of the Trustee as of March 31, 2019 published pursuant to law or the requirements of its supervising or examining authority, attached as Exhibit 7.</w:t>
      </w:r>
    </w:p>
    <w:p>
      <w:pPr>
        <w:spacing w:after="0" w:line="75" w:lineRule="exact"/>
        <w:rPr>
          <w:rFonts w:ascii="Arial" w:cs="Arial" w:eastAsia="Arial" w:hAnsi="Arial"/>
          <w:sz w:val="18"/>
          <w:szCs w:val="18"/>
          <w:color w:val="auto"/>
        </w:rPr>
      </w:pPr>
    </w:p>
    <w:p>
      <w:pPr>
        <w:ind w:left="440" w:right="620" w:hanging="432"/>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Township of Edison, State of New Jersey on the 23rd of May, 2019.</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Stephanie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Stephanie Roche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020"/>
          </w:cols>
          <w:pgMar w:left="440" w:top="270" w:right="4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186690</wp:posOffset>
            </wp:positionV>
            <wp:extent cx="5531485" cy="72034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5531485" cy="72034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186690</wp:posOffset>
            </wp:positionV>
            <wp:extent cx="5591175" cy="72034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5591175" cy="72034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Stephanie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Stephanie Roche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020"/>
          </w:cols>
          <w:pgMar w:left="440" w:top="270" w:right="4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90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93"/>
              </w:rPr>
              <w:t>Exhibit 7</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84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w w:val="89"/>
              </w:rPr>
              <w:t>U.S. Bank National Association</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84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w w:val="91"/>
              </w:rPr>
              <w:t>Statement of Financial Condition</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84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w w:val="90"/>
              </w:rPr>
              <w:t>As of 3/31/2019</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00" w:type="dxa"/>
            <w:vAlign w:val="bottom"/>
            <w:gridSpan w:val="3"/>
          </w:tcPr>
          <w:p>
            <w:pPr>
              <w:jc w:val="center"/>
              <w:ind w:right="4180"/>
              <w:spacing w:after="0"/>
              <w:rPr>
                <w:sz w:val="20"/>
                <w:szCs w:val="20"/>
                <w:color w:val="auto"/>
              </w:rPr>
            </w:pPr>
            <w:r>
              <w:rPr>
                <w:rFonts w:ascii="Arial" w:cs="Arial" w:eastAsia="Arial" w:hAnsi="Arial"/>
                <w:sz w:val="18"/>
                <w:szCs w:val="18"/>
                <w:b w:val="1"/>
                <w:bCs w:val="1"/>
                <w:color w:val="auto"/>
                <w:w w:val="89"/>
              </w:rPr>
              <w:t>($000’s)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3/31/2019</w:t>
            </w:r>
          </w:p>
        </w:tc>
        <w:tc>
          <w:tcPr>
            <w:tcW w:w="60" w:type="dxa"/>
            <w:vAlign w:val="bottom"/>
            <w:tcBorders>
              <w:bottom w:val="single" w:sz="8" w:color="CCEEFF"/>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w w:val="90"/>
              </w:rPr>
              <w:t>Cash and Balances Due From Depository Institutions</w:t>
            </w:r>
          </w:p>
        </w:tc>
        <w:tc>
          <w:tcPr>
            <w:tcW w:w="5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18,011,992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113,629,093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Federal Funds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3,518,495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&amp; Lease Financing Receivables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286,352,008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5,289,051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12,998,717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27,522,814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467,322,170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359,151,957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Fed Funds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1,408,144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Demand Notes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Trading Liabilities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565,646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Borrowed Money</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37,549,120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Acceptances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Notes and Debentures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15,767,654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418,242,521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Preferred Stock</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Surplus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14,266,915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Undivided Profits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33,995,325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Minority Interest in Subsidiaries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799,209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Equity Capital</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49,079,649</w:t>
            </w:r>
          </w:p>
        </w:tc>
        <w:tc>
          <w:tcPr>
            <w:tcW w:w="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8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467,322,170</w:t>
            </w:r>
          </w:p>
        </w:tc>
        <w:tc>
          <w:tcPr>
            <w:tcW w:w="60" w:type="dxa"/>
            <w:vAlign w:val="bottom"/>
          </w:tcPr>
          <w:p>
            <w:pPr>
              <w:spacing w:after="0"/>
              <w:rPr>
                <w:sz w:val="20"/>
                <w:szCs w:val="20"/>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040"/>
      </w:cols>
      <w:pgMar w:left="440" w:top="25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1)"/>
      <w:numFmt w:val="decimal"/>
      <w:start w:val="302"/>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1)"/>
      <w:numFmt w:val="decimal"/>
      <w:start w:val="1"/>
    </w:lvl>
    <w:lvl w:ilvl="1">
      <w:lvlJc w:val="left"/>
      <w:lvlText w:val="(%2)"/>
      <w:numFmt w:val="lowerRoman"/>
      <w:start w:val="1"/>
    </w:lvl>
  </w:abstractNum>
  <w:abstractNum w:abstractNumId="16">
    <w:nsid w:val="100F8FCA"/>
    <w:multiLevelType w:val="hybridMultilevel"/>
    <w:lvl w:ilvl="0">
      <w:lvlJc w:val="left"/>
      <w:lvlText w:val="(%1)"/>
      <w:numFmt w:val="lowerRoman"/>
      <w:start w:val="3"/>
    </w:lvl>
  </w:abstractNum>
  <w:abstractNum w:abstractNumId="17">
    <w:nsid w:val="6590700B"/>
    <w:multiLevelType w:val="hybridMultilevel"/>
    <w:lvl w:ilvl="0">
      <w:lvlJc w:val="left"/>
      <w:lvlText w:val="(%1)"/>
      <w:numFmt w:val="decimal"/>
      <w:start w:val="2"/>
    </w:lvl>
    <w:lvl w:ilvl="1">
      <w:lvlJc w:val="left"/>
      <w:lvlText w:val="(%2)"/>
      <w:numFmt w:val="lowerRoman"/>
      <w:start w:val="1"/>
    </w:lvl>
  </w:abstractNum>
  <w:abstractNum w:abstractNumId="18">
    <w:nsid w:val="15014ACB"/>
    <w:multiLevelType w:val="hybridMultilevel"/>
    <w:lvl w:ilvl="0">
      <w:lvlJc w:val="left"/>
      <w:lvlText w:val="(%1)"/>
      <w:numFmt w:val="lowerRoman"/>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lowerLetter"/>
      <w:start w:val="1"/>
    </w:lvl>
  </w:abstractNum>
  <w:abstractNum w:abstractNumId="23">
    <w:nsid w:val="42C296BD"/>
    <w:multiLevelType w:val="hybridMultilevel"/>
    <w:lvl w:ilvl="0">
      <w:lvlJc w:val="left"/>
      <w:lvlText w:val="(%1)"/>
      <w:numFmt w:val="lowerLetter"/>
      <w:start w:val="1"/>
    </w:lvl>
  </w:abstractNum>
  <w:abstractNum w:abstractNumId="24">
    <w:nsid w:val="168E121F"/>
    <w:multiLevelType w:val="hybridMultilevel"/>
    <w:lvl w:ilvl="0">
      <w:lvlJc w:val="left"/>
      <w:lvlText w:val="(%1)"/>
      <w:numFmt w:val="lowerLetter"/>
      <w:start w:val="4"/>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lowerLetter"/>
      <w:start w:val="5"/>
    </w:lvl>
  </w:abstractNum>
  <w:abstractNum w:abstractNumId="27">
    <w:nsid w:val="5DC79EA8"/>
    <w:multiLevelType w:val="hybridMultilevel"/>
    <w:lvl w:ilvl="0">
      <w:lvlJc w:val="left"/>
      <w:lvlText w:val="(%1)"/>
      <w:numFmt w:val="lowerLetter"/>
      <w:start w:val="9"/>
    </w:lvl>
  </w:abstractNum>
  <w:abstractNum w:abstractNumId="28">
    <w:nsid w:val="540A471C"/>
    <w:multiLevelType w:val="hybridMultilevel"/>
    <w:lvl w:ilvl="0">
      <w:lvlJc w:val="left"/>
      <w:lvlText w:val="(%1)"/>
      <w:numFmt w:val="lowerLetter"/>
      <w:start w:val="1"/>
    </w:lvl>
  </w:abstractNum>
  <w:abstractNum w:abstractNumId="29">
    <w:nsid w:val="7BD3EE7B"/>
    <w:multiLevelType w:val="hybridMultilevel"/>
    <w:lvl w:ilvl="0">
      <w:lvlJc w:val="left"/>
      <w:lvlText w:val="(%1)"/>
      <w:numFmt w:val="lowerLetter"/>
      <w:start w:val="2"/>
    </w:lvl>
  </w:abstractNum>
  <w:abstractNum w:abstractNumId="30">
    <w:nsid w:val="51D9C564"/>
    <w:multiLevelType w:val="hybridMultilevel"/>
    <w:lvl w:ilvl="0">
      <w:lvlJc w:val="left"/>
      <w:lvlText w:val="(%1)"/>
      <w:numFmt w:val="lowerLetter"/>
      <w:start w:val="1"/>
    </w:lvl>
  </w:abstractNum>
  <w:abstractNum w:abstractNumId="31">
    <w:nsid w:val="613EFDC5"/>
    <w:multiLevelType w:val="hybridMultilevel"/>
    <w:lvl w:ilvl="0">
      <w:lvlJc w:val="left"/>
      <w:lvlText w:val="(%1)"/>
      <w:numFmt w:val="lowerLetter"/>
      <w:start w:val="1"/>
    </w:lvl>
  </w:abstractNum>
  <w:abstractNum w:abstractNumId="32">
    <w:nsid w:val="BF72B14"/>
    <w:multiLevelType w:val="hybridMultilevel"/>
    <w:lvl w:ilvl="0">
      <w:lvlJc w:val="left"/>
      <w:lvlText w:val="(%1)"/>
      <w:numFmt w:val="lowerLetter"/>
      <w:start w:val="6"/>
    </w:lvl>
  </w:abstractNum>
  <w:abstractNum w:abstractNumId="33">
    <w:nsid w:val="11447B73"/>
    <w:multiLevelType w:val="hybridMultilevel"/>
    <w:lvl w:ilvl="0">
      <w:lvlJc w:val="left"/>
      <w:lvlText w:val="(%1)"/>
      <w:numFmt w:val="lowerLetter"/>
      <w:start w:val="15"/>
    </w:lvl>
  </w:abstractNum>
  <w:abstractNum w:abstractNumId="34">
    <w:nsid w:val="42963E5A"/>
    <w:multiLevelType w:val="hybridMultilevel"/>
    <w:lvl w:ilvl="0">
      <w:lvlJc w:val="left"/>
      <w:lvlText w:val="(%1)"/>
      <w:numFmt w:val="lowerLetter"/>
      <w:start w:val="27"/>
    </w:lvl>
  </w:abstractNum>
  <w:abstractNum w:abstractNumId="35">
    <w:nsid w:val="A0382C5"/>
    <w:multiLevelType w:val="hybridMultilevel"/>
    <w:lvl w:ilvl="0">
      <w:lvlJc w:val="left"/>
      <w:lvlText w:val="(%1)"/>
      <w:numFmt w:val="lowerLetter"/>
      <w:start w:val="1"/>
    </w:lvl>
  </w:abstractNum>
  <w:abstractNum w:abstractNumId="36">
    <w:nsid w:val="8F2B15E"/>
    <w:multiLevelType w:val="hybridMultilevel"/>
    <w:lvl w:ilvl="0">
      <w:lvlJc w:val="left"/>
      <w:lvlText w:val="%1"/>
      <w:numFmt w:val="lowerLetter"/>
      <w:start w:val="1"/>
    </w:lvl>
    <w:lvl w:ilvl="1">
      <w:lvlJc w:val="left"/>
      <w:lvlText w:val="(%2)"/>
      <w:numFmt w:val="lowerLetter"/>
      <w:start w:val="4"/>
    </w:lvl>
  </w:abstractNum>
  <w:abstractNum w:abstractNumId="37">
    <w:nsid w:val="1A32234B"/>
    <w:multiLevelType w:val="hybridMultilevel"/>
    <w:lvl w:ilvl="0">
      <w:lvlJc w:val="left"/>
      <w:lvlText w:val="(%1)"/>
      <w:numFmt w:val="lowerLetter"/>
      <w:start w:val="61"/>
    </w:lvl>
    <w:lvl w:ilvl="1">
      <w:lvlJc w:val="left"/>
      <w:lvlText w:val="%2"/>
      <w:numFmt w:val="lowerLetter"/>
      <w:start w:val="1"/>
    </w:lvl>
  </w:abstractNum>
  <w:abstractNum w:abstractNumId="38">
    <w:nsid w:val="3B0FD379"/>
    <w:multiLevelType w:val="hybridMultilevel"/>
    <w:lvl w:ilvl="0">
      <w:lvlJc w:val="left"/>
      <w:lvlText w:val="(%1)"/>
      <w:numFmt w:val="lowerLetter"/>
      <w:start w:val="8"/>
    </w:lvl>
  </w:abstractNum>
  <w:abstractNum w:abstractNumId="39">
    <w:nsid w:val="68EB2F63"/>
    <w:multiLevelType w:val="hybridMultilevel"/>
    <w:lvl w:ilvl="0">
      <w:lvlJc w:val="left"/>
      <w:lvlText w:val="(%1)"/>
      <w:numFmt w:val="lowerLetter"/>
      <w:start w:val="1"/>
    </w:lvl>
  </w:abstractNum>
  <w:abstractNum w:abstractNumId="40">
    <w:nsid w:val="4962813B"/>
    <w:multiLevelType w:val="hybridMultilevel"/>
    <w:lvl w:ilvl="0">
      <w:lvlJc w:val="left"/>
      <w:lvlText w:val="(%1)"/>
      <w:numFmt w:val="lowerLetter"/>
      <w:start w:val="2"/>
    </w:lvl>
  </w:abstractNum>
  <w:abstractNum w:abstractNumId="41">
    <w:nsid w:val="60B6DF70"/>
    <w:multiLevelType w:val="hybridMultilevel"/>
    <w:lvl w:ilvl="0">
      <w:lvlJc w:val="left"/>
      <w:lvlText w:val="(%1)"/>
      <w:numFmt w:val="lowerLetter"/>
      <w:start w:val="1"/>
    </w:lvl>
  </w:abstractNum>
  <w:abstractNum w:abstractNumId="42">
    <w:nsid w:val="6A5EE64"/>
    <w:multiLevelType w:val="hybridMultilevel"/>
    <w:lvl w:ilvl="0">
      <w:lvlJc w:val="left"/>
      <w:lvlText w:val="(%1)"/>
      <w:numFmt w:val="lowerLetter"/>
      <w:start w:val="1"/>
    </w:lvl>
    <w:lvl w:ilvl="1">
      <w:lvlJc w:val="left"/>
      <w:lvlText w:val="(%2)"/>
      <w:numFmt w:val="lowerRoman"/>
      <w:start w:val="1"/>
    </w:lvl>
  </w:abstractNum>
  <w:abstractNum w:abstractNumId="43">
    <w:nsid w:val="14330624"/>
    <w:multiLevelType w:val="hybridMultilevel"/>
    <w:lvl w:ilvl="0">
      <w:lvlJc w:val="left"/>
      <w:lvlText w:val="(%1)"/>
      <w:numFmt w:val="lowerRoman"/>
      <w:start w:val="2"/>
    </w:lvl>
    <w:lvl w:ilvl="1">
      <w:lvlJc w:val="left"/>
      <w:lvlText w:val="(%2)"/>
      <w:numFmt w:val="upperLetter"/>
      <w:start w:val="1"/>
    </w:lvl>
  </w:abstractNum>
  <w:abstractNum w:abstractNumId="44">
    <w:nsid w:val="7FFFCA1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5">
    <w:nsid w:val="1A27709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6">
    <w:nsid w:val="71EA1109"/>
    <w:multiLevelType w:val="hybridMultilevel"/>
    <w:lvl w:ilvl="0">
      <w:lvlJc w:val="left"/>
      <w:lvlText w:val="(%1)"/>
      <w:numFmt w:val="lowerLetter"/>
      <w:start w:val="7"/>
    </w:lvl>
  </w:abstractNum>
  <w:abstractNum w:abstractNumId="47">
    <w:nsid w:val="100F59DC"/>
    <w:multiLevelType w:val="hybridMultilevel"/>
    <w:lvl w:ilvl="0">
      <w:lvlJc w:val="left"/>
      <w:lvlText w:val="(%1)"/>
      <w:numFmt w:val="lowerLetter"/>
      <w:start w:val="1"/>
    </w:lvl>
  </w:abstractNum>
  <w:abstractNum w:abstractNumId="48">
    <w:nsid w:val="7FB7E0AA"/>
    <w:multiLevelType w:val="hybridMultilevel"/>
    <w:lvl w:ilvl="0">
      <w:lvlJc w:val="left"/>
      <w:lvlText w:val="(%1)"/>
      <w:numFmt w:val="lowerLetter"/>
      <w:start w:val="3"/>
    </w:lvl>
  </w:abstractNum>
  <w:abstractNum w:abstractNumId="49">
    <w:nsid w:val="6EB5BD4"/>
    <w:multiLevelType w:val="hybridMultilevel"/>
    <w:lvl w:ilvl="0">
      <w:lvlJc w:val="left"/>
      <w:lvlText w:val="(%1)"/>
      <w:numFmt w:val="lowerLetter"/>
      <w:start w:val="1"/>
    </w:lvl>
    <w:lvl w:ilvl="1">
      <w:lvlJc w:val="left"/>
      <w:lvlText w:val="(%2)"/>
      <w:numFmt w:val="lowerLetter"/>
      <w:start w:val="9"/>
    </w:lvl>
  </w:abstractNum>
  <w:abstractNum w:abstractNumId="50">
    <w:nsid w:val="6F6DD9AC"/>
    <w:multiLevelType w:val="hybridMultilevel"/>
    <w:lvl w:ilvl="0">
      <w:lvlJc w:val="left"/>
      <w:lvlText w:val="%1"/>
      <w:numFmt w:val="lowerLetter"/>
      <w:start w:val="1"/>
    </w:lvl>
    <w:lvl w:ilvl="1">
      <w:lvlJc w:val="left"/>
      <w:lvlText w:val="(%2)"/>
      <w:numFmt w:val="lowerLetter"/>
      <w:start w:val="35"/>
    </w:lvl>
  </w:abstractNum>
  <w:abstractNum w:abstractNumId="51">
    <w:nsid w:val="94211F2"/>
    <w:multiLevelType w:val="hybridMultilevel"/>
    <w:lvl w:ilvl="0">
      <w:lvlJc w:val="left"/>
      <w:lvlText w:val="(%1)"/>
      <w:numFmt w:val="lowerLetter"/>
      <w:start w:val="3"/>
    </w:lvl>
    <w:lvl w:ilvl="1">
      <w:lvlJc w:val="left"/>
      <w:lvlText w:val="%2"/>
      <w:numFmt w:val="lowerLetter"/>
      <w:start w:val="1"/>
    </w:lvl>
  </w:abstractNum>
  <w:abstractNum w:abstractNumId="52">
    <w:nsid w:val="885E1B"/>
    <w:multiLevelType w:val="hybridMultilevel"/>
    <w:lvl w:ilvl="0">
      <w:lvlJc w:val="left"/>
      <w:lvlText w:val="(%1)"/>
      <w:numFmt w:val="lowerLetter"/>
      <w:start w:val="1"/>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lowerLetter"/>
      <w:start w:val="1"/>
    </w:lvl>
    <w:lvl w:ilvl="1">
      <w:lvlJc w:val="left"/>
      <w:lvlText w:val="(%2)"/>
      <w:numFmt w:val="lowerRoman"/>
      <w:start w:val="1"/>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1)"/>
      <w:numFmt w:val="lowerLetter"/>
      <w:start w:val="1"/>
    </w:lvl>
  </w:abstractNum>
  <w:abstractNum w:abstractNumId="57">
    <w:nsid w:val="3222E7CD"/>
    <w:multiLevelType w:val="hybridMultilevel"/>
    <w:lvl w:ilvl="0">
      <w:lvlJc w:val="left"/>
      <w:lvlText w:val="(%1)"/>
      <w:numFmt w:val="lowerLetter"/>
      <w:start w:val="1"/>
    </w:lvl>
  </w:abstractNum>
  <w:abstractNum w:abstractNumId="58">
    <w:nsid w:val="74DE0EE3"/>
    <w:multiLevelType w:val="hybridMultilevel"/>
    <w:lvl w:ilvl="0">
      <w:lvlJc w:val="left"/>
      <w:lvlText w:val="(%1)"/>
      <w:numFmt w:val="lowerLetter"/>
      <w:start w:val="1"/>
    </w:lvl>
  </w:abstractNum>
  <w:abstractNum w:abstractNumId="59">
    <w:nsid w:val="68EBC550"/>
    <w:multiLevelType w:val="hybridMultilevel"/>
    <w:lvl w:ilvl="0">
      <w:lvlJc w:val="left"/>
      <w:lvlText w:val="(%1)"/>
      <w:numFmt w:val="lowerLetter"/>
      <w:start w:val="2"/>
    </w:lvl>
    <w:lvl w:ilvl="1">
      <w:lvlJc w:val="left"/>
      <w:lvlText w:val="(%2)"/>
      <w:numFmt w:val="lowerRoman"/>
      <w:start w:val="1"/>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1"/>
    </w:lvl>
  </w:abstractNum>
  <w:abstractNum w:abstractNumId="62">
    <w:nsid w:val="4A2AC315"/>
    <w:multiLevelType w:val="hybridMultilevel"/>
    <w:lvl w:ilvl="0">
      <w:lvlJc w:val="left"/>
      <w:lvlText w:val="(%1)"/>
      <w:numFmt w:val="lowerLetter"/>
      <w:start w:val="4"/>
    </w:lvl>
  </w:abstractNum>
  <w:abstractNum w:abstractNumId="63">
    <w:nsid w:val="39EE015C"/>
    <w:multiLevelType w:val="hybridMultilevel"/>
    <w:lvl w:ilvl="0">
      <w:lvlJc w:val="left"/>
      <w:lvlText w:val="(%1)"/>
      <w:numFmt w:val="lowerLetter"/>
      <w:start w:val="1"/>
    </w:lvl>
    <w:lvl w:ilvl="1">
      <w:lvlJc w:val="left"/>
      <w:lvlText w:val="(%2)"/>
      <w:numFmt w:val="lowerLetter"/>
      <w:start w:val="9"/>
    </w:lvl>
  </w:abstractNum>
  <w:abstractNum w:abstractNumId="64">
    <w:nsid w:val="57FC4FB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65">
    <w:nsid w:val="CC1016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6">
    <w:nsid w:val="43F18422"/>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lowerLetter"/>
      <w:start w:val="4"/>
    </w:lvl>
  </w:abstractNum>
  <w:abstractNum w:abstractNumId="69">
    <w:nsid w:val="7F01579B"/>
    <w:multiLevelType w:val="hybridMultilevel"/>
    <w:lvl w:ilvl="0">
      <w:lvlJc w:val="left"/>
      <w:lvlText w:val="(%1)"/>
      <w:numFmt w:val="lowerLetter"/>
      <w:start w:val="1"/>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2"/>
    </w:lvl>
  </w:abstractNum>
  <w:abstractNum w:abstractNumId="72">
    <w:nsid w:val="5FB8370B"/>
    <w:multiLevelType w:val="hybridMultilevel"/>
    <w:lvl w:ilvl="0">
      <w:lvlJc w:val="left"/>
      <w:lvlText w:val="(%1)"/>
      <w:numFmt w:val="lowerLetter"/>
      <w:start w:val="1"/>
    </w:lvl>
  </w:abstractNum>
  <w:abstractNum w:abstractNumId="73">
    <w:nsid w:val="50801EE1"/>
    <w:multiLevelType w:val="hybridMultilevel"/>
    <w:lvl w:ilvl="0">
      <w:lvlJc w:val="left"/>
      <w:lvlText w:val="(%1)"/>
      <w:numFmt w:val="lowerLetter"/>
      <w:start w:val="2"/>
    </w:lvl>
  </w:abstractNum>
  <w:abstractNum w:abstractNumId="74">
    <w:nsid w:val="488AC1A"/>
    <w:multiLevelType w:val="hybridMultilevel"/>
    <w:lvl w:ilvl="0">
      <w:lvlJc w:val="left"/>
      <w:lvlText w:val="(%1)"/>
      <w:numFmt w:val="lowerLetter"/>
      <w:start w:val="1"/>
    </w:lvl>
  </w:abstractNum>
  <w:abstractNum w:abstractNumId="75">
    <w:nsid w:val="5FB8011C"/>
    <w:multiLevelType w:val="hybridMultilevel"/>
    <w:lvl w:ilvl="0">
      <w:lvlJc w:val="left"/>
      <w:lvlText w:val="(%1)"/>
      <w:numFmt w:val="lowerLetter"/>
      <w:start w:val="3"/>
    </w:lvl>
  </w:abstractNum>
  <w:abstractNum w:abstractNumId="76">
    <w:nsid w:val="6AA78F7F"/>
    <w:multiLevelType w:val="hybridMultilevel"/>
    <w:lvl w:ilvl="0">
      <w:lvlJc w:val="left"/>
      <w:lvlText w:val="(%1)"/>
      <w:numFmt w:val="lowerLetter"/>
      <w:start w:val="1"/>
    </w:lvl>
  </w:abstractNum>
  <w:abstractNum w:abstractNumId="77">
    <w:nsid w:val="7672BD23"/>
    <w:multiLevelType w:val="hybridMultilevel"/>
    <w:lvl w:ilvl="0">
      <w:lvlJc w:val="left"/>
      <w:lvlText w:val="(%1)"/>
      <w:numFmt w:val="lowerLetter"/>
      <w:start w:val="1"/>
    </w:lvl>
  </w:abstractNum>
  <w:abstractNum w:abstractNumId="78">
    <w:nsid w:val="6FC75AF8"/>
    <w:multiLevelType w:val="hybridMultilevel"/>
    <w:lvl w:ilvl="0">
      <w:lvlJc w:val="left"/>
      <w:lvlText w:val="(%1)"/>
      <w:numFmt w:val="lowerLetter"/>
      <w:start w:val="2"/>
    </w:lvl>
  </w:abstractNum>
  <w:abstractNum w:abstractNumId="79">
    <w:nsid w:val="6A5F7029"/>
    <w:multiLevelType w:val="hybridMultilevel"/>
    <w:lvl w:ilvl="0">
      <w:lvlJc w:val="left"/>
      <w:lvlText w:val="(%1)"/>
      <w:numFmt w:val="lowerLetter"/>
      <w:start w:val="7"/>
    </w:lvl>
  </w:abstractNum>
  <w:abstractNum w:abstractNumId="80">
    <w:nsid w:val="7D5E18F8"/>
    <w:multiLevelType w:val="hybridMultilevel"/>
    <w:lvl w:ilvl="0">
      <w:lvlJc w:val="left"/>
      <w:lvlText w:val="(%1)"/>
      <w:numFmt w:val="lowerLetter"/>
      <w:start w:val="15"/>
    </w:lvl>
  </w:abstractNum>
  <w:abstractNum w:abstractNumId="81">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73A1821B"/>
    <w:multiLevelType w:val="hybridMultilevel"/>
    <w:lvl w:ilvl="0">
      <w:lvlJc w:val="left"/>
      <w:lvlText w:val="%1"/>
      <w:numFmt w:val="lowerLetter"/>
      <w:start w:val="1"/>
    </w:lvl>
    <w:lvl w:ilvl="1">
      <w:lvlJc w:val="left"/>
      <w:lvlText w:val="(%2)"/>
      <w:numFmt w:val="lowerRoman"/>
      <w:start w:val="2"/>
    </w:lvl>
  </w:abstractNum>
  <w:abstractNum w:abstractNumId="83">
    <w:nsid w:val="7DE67713"/>
    <w:multiLevelType w:val="hybridMultilevel"/>
    <w:lvl w:ilvl="0">
      <w:lvlJc w:val="left"/>
      <w:lvlText w:val="(%1)"/>
      <w:numFmt w:val="lowerLetter"/>
      <w:start w:val="3"/>
    </w:lvl>
    <w:lvl w:ilvl="1">
      <w:lvlJc w:val="left"/>
      <w:lvlText w:val="%2"/>
      <w:numFmt w:val="lowerRoman"/>
      <w:start w:val="1"/>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2"/>
    </w:lvl>
  </w:abstractNum>
  <w:abstractNum w:abstractNumId="86">
    <w:nsid w:val="14FCE74E"/>
    <w:multiLevelType w:val="hybridMultilevel"/>
    <w:lvl w:ilvl="0">
      <w:lvlJc w:val="left"/>
      <w:lvlText w:val="(%1)"/>
      <w:numFmt w:val="decimal"/>
      <w:start w:val="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
    <w:nsid w:val="9DAF632"/>
    <w:multiLevelType w:val="hybridMultilevel"/>
    <w:lvl w:ilvl="0">
      <w:lvlJc w:val="left"/>
      <w:lvlText w:val="(%1)"/>
      <w:numFmt w:val="lowerLetter"/>
      <w:start w:val="3"/>
    </w:lvl>
  </w:abstractNum>
  <w:abstractNum w:abstractNumId="90">
    <w:nsid w:val="53299938"/>
    <w:multiLevelType w:val="hybridMultilevel"/>
    <w:lvl w:ilvl="0">
      <w:lvlJc w:val="left"/>
      <w:lvlText w:val="(%1)"/>
      <w:numFmt w:val="lowerLetter"/>
      <w:start w:val="24"/>
    </w:lvl>
    <w:lvl w:ilvl="1">
      <w:lvlJc w:val="left"/>
      <w:lvlText w:val="(%2)"/>
      <w:numFmt w:val="lowerLetter"/>
      <w:start w:val="1"/>
    </w:lvl>
  </w:abstractNum>
  <w:abstractNum w:abstractNumId="91">
    <w:nsid w:val="1FBFE8E0"/>
    <w:multiLevelType w:val="hybridMultilevel"/>
    <w:lvl w:ilvl="0">
      <w:lvlJc w:val="left"/>
      <w:lvlText w:val="(%1)"/>
      <w:numFmt w:val="lowerLetter"/>
      <w:start w:val="2"/>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lowerLetter"/>
      <w:start w:val="2"/>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lowerLetter"/>
      <w:start w:val="8"/>
    </w:lvl>
  </w:abstractNum>
  <w:abstractNum w:abstractNumId="96">
    <w:nsid w:val="2A155DBC"/>
    <w:multiLevelType w:val="hybridMultilevel"/>
    <w:lvl w:ilvl="0">
      <w:lvlJc w:val="left"/>
      <w:lvlText w:val="(%1)"/>
      <w:numFmt w:val="lowerLetter"/>
      <w:start w:val="1"/>
    </w:lvl>
    <w:lvl w:ilvl="1">
      <w:lvlJc w:val="left"/>
      <w:lvlText w:val="(%2)"/>
      <w:numFmt w:val="lowerRoman"/>
      <w:start w:val="1"/>
    </w:lvl>
  </w:abstractNum>
  <w:abstractNum w:abstractNumId="97">
    <w:nsid w:val="1D9F6E5F"/>
    <w:multiLevelType w:val="hybridMultilevel"/>
    <w:lvl w:ilvl="0">
      <w:lvlJc w:val="left"/>
      <w:lvlText w:val="(%1)"/>
      <w:numFmt w:val="lowerLetter"/>
      <w:start w:val="4"/>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3"/>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3"/>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bullet"/>
      <w:start w:val="1"/>
    </w:lvl>
  </w:abstractNum>
  <w:abstractNum w:abstractNumId="106">
    <w:nsid w:val="5C10FE21"/>
    <w:multiLevelType w:val="hybridMultilevel"/>
    <w:lvl w:ilvl="0">
      <w:lvlJc w:val="left"/>
      <w:lvlText w:val="(%1)"/>
      <w:numFmt w:val="lowerLetter"/>
      <w:start w:val="1"/>
    </w:lvl>
  </w:abstractNum>
  <w:abstractNum w:abstractNumId="107">
    <w:nsid w:val="E7FFA2B"/>
    <w:multiLevelType w:val="hybridMultilevel"/>
    <w:lvl w:ilvl="0">
      <w:lvlJc w:val="left"/>
      <w:lvlText w:val="%1."/>
      <w:numFmt w:val="decimal"/>
      <w:start w:val="1"/>
    </w:lvl>
  </w:abstractNum>
  <w:abstractNum w:abstractNumId="108">
    <w:nsid w:val="3C5991AA"/>
    <w:multiLevelType w:val="hybridMultilevel"/>
    <w:lvl w:ilvl="0">
      <w:lvlJc w:val="left"/>
      <w:lvlText w:val="%1"/>
      <w:numFmt w:val="lowerLetter"/>
      <w:start w:val="1"/>
    </w:lvl>
    <w:lvl w:ilvl="1">
      <w:lvlJc w:val="left"/>
      <w:lvlText w:val="%2."/>
      <w:numFmt w:val="decimal"/>
      <w:start w:val="4"/>
    </w:lvl>
  </w:abstractNum>
  <w:abstractNum w:abstractNumId="109">
    <w:nsid w:val="4BD8591A"/>
    <w:multiLevelType w:val="hybridMultilevel"/>
    <w:lvl w:ilvl="0">
      <w:lvlJc w:val="left"/>
      <w:lvlText w:val="(%1)"/>
      <w:numFmt w:val="lowerLetter"/>
      <w:start w:val="2"/>
    </w:lvl>
    <w:lvl w:ilvl="1">
      <w:lvlJc w:val="left"/>
      <w:lvlText w:val="%2."/>
      <w:numFmt w:val="decimal"/>
      <w:start w:val="6"/>
    </w:lvl>
  </w:abstractNum>
  <w:abstractNum w:abstractNumId="110">
    <w:nsid w:val="78DF6A55"/>
    <w:multiLevelType w:val="hybridMultilevel"/>
    <w:lvl w:ilvl="0">
      <w:lvlJc w:val="left"/>
      <w:lvlText w:val="%1."/>
      <w:numFmt w:val="decimal"/>
      <w:start w:val="8"/>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Letter"/>
      <w:start w:val="6"/>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2"/>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1)"/>
      <w:numFmt w:val="lowerLetter"/>
      <w:start w:val="1"/>
    </w:lvl>
  </w:abstractNum>
  <w:abstractNum w:abstractNumId="117">
    <w:nsid w:val="4C9B0904"/>
    <w:multiLevelType w:val="hybridMultilevel"/>
    <w:lvl w:ilvl="0">
      <w:lvlJc w:val="left"/>
      <w:lvlText w:val="%1)"/>
      <w:numFmt w:val="lowerLetter"/>
      <w:start w:val="2"/>
    </w:lvl>
  </w:abstractNum>
  <w:abstractNum w:abstractNumId="118">
    <w:nsid w:val="6AA7B75C"/>
    <w:multiLevelType w:val="hybridMultilevel"/>
    <w:lvl w:ilvl="0">
      <w:lvlJc w:val="left"/>
      <w:lvlText w:val="*"/>
      <w:numFmt w:val="bullet"/>
      <w:start w:val="1"/>
    </w:lvl>
    <w:lvl w:ilvl="1">
      <w:lvlJc w:val="left"/>
      <w:lvlText w:val="%2."/>
      <w:numFmt w:val="decimal"/>
      <w:start w:val="1"/>
    </w:lvl>
  </w:abstractNum>
  <w:abstractNum w:abstractNumId="119">
    <w:nsid w:val="1DF029D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jpeg"/><Relationship Id="rId172" Type="http://schemas.openxmlformats.org/officeDocument/2006/relationships/image" Target="media/image160.png"/><Relationship Id="rId173" Type="http://schemas.openxmlformats.org/officeDocument/2006/relationships/image" Target="media/image161.jpe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26" Type="http://schemas.openxmlformats.org/officeDocument/2006/relationships/hyperlink" Target="http://www.sec.gov/Archives/edgar/data/1755672/000119312519138437/d615112d1012ba.htm" TargetMode="External"/><Relationship Id="rId27" Type="http://schemas.openxmlformats.org/officeDocument/2006/relationships/hyperlink" Target="http://www.sec.gov/Archives/edgar/data/1755672/000175567219000004/ctva-331201910xq.htm" TargetMode="External"/><Relationship Id="rId28" Type="http://schemas.openxmlformats.org/officeDocument/2006/relationships/hyperlink" Target="http://www.sec.gov/Archives/edgar/data/1755672/000119312519162232/d731475d8k.htm" TargetMode="External"/><Relationship Id="rId43" Type="http://schemas.openxmlformats.org/officeDocument/2006/relationships/hyperlink" Target="http://www.sec.gov/Archives/edgar/data/1755672/000119312519138437/d615112dex31.htm" TargetMode="External"/><Relationship Id="rId44" Type="http://schemas.openxmlformats.org/officeDocument/2006/relationships/hyperlink" Target="http://www.sec.gov/Archives/edgar/data/1755672/000119312519138437/d61511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2019-12-02T04:23:10Z</dcterms:created>
  <dcterms:modified xsi:type="dcterms:W3CDTF">2019-12-02T04:23:10Z</dcterms:modified>
</cp:coreProperties>
</file>