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452755</wp:posOffset>
            </wp:positionV>
            <wp:extent cx="7115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409575</wp:posOffset>
            </wp:positionV>
            <wp:extent cx="71158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81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w:t>
      </w:r>
    </w:p>
    <w:p>
      <w:pPr>
        <w:spacing w:after="0" w:line="5" w:lineRule="exact"/>
        <w:rPr>
          <w:sz w:val="24"/>
          <w:szCs w:val="24"/>
          <w:color w:val="auto"/>
        </w:rPr>
      </w:pPr>
    </w:p>
    <w:p>
      <w:pPr>
        <w:ind w:left="660" w:hanging="226"/>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9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5" w:lineRule="exact"/>
        <w:rPr>
          <w:sz w:val="24"/>
          <w:szCs w:val="24"/>
          <w:color w:val="auto"/>
        </w:rPr>
      </w:pPr>
    </w:p>
    <w:p>
      <w:pPr>
        <w:ind w:left="660" w:hanging="226"/>
        <w:spacing w:after="0"/>
        <w:tabs>
          <w:tab w:leader="none" w:pos="6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8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color w:val="auto"/>
        </w:rPr>
        <w:t>For the transition period from ____________ to ____________</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001-38710</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Corteva,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9" w:lineRule="exact"/>
        <w:rPr>
          <w:sz w:val="24"/>
          <w:szCs w:val="24"/>
          <w:color w:val="auto"/>
        </w:rPr>
      </w:pPr>
    </w:p>
    <w:tbl>
      <w:tblPr>
        <w:tblLayout w:type="fixed"/>
        <w:tblInd w:w="1300" w:type="dxa"/>
        <w:tblCellMar>
          <w:top w:w="0" w:type="dxa"/>
          <w:left w:w="0" w:type="dxa"/>
          <w:bottom w:w="0" w:type="dxa"/>
          <w:right w:w="0" w:type="dxa"/>
        </w:tblCellMar>
      </w:tblPr>
      <w:tr>
        <w:trPr>
          <w:trHeight w:val="233"/>
        </w:trPr>
        <w:tc>
          <w:tcPr>
            <w:tcW w:w="292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82-4979096</w:t>
            </w:r>
          </w:p>
        </w:tc>
        <w:tc>
          <w:tcPr>
            <w:tcW w:w="0" w:type="dxa"/>
            <w:vAlign w:val="bottom"/>
          </w:tcPr>
          <w:p>
            <w:pPr>
              <w:spacing w:after="0"/>
              <w:rPr>
                <w:sz w:val="1"/>
                <w:szCs w:val="1"/>
                <w:color w:val="auto"/>
              </w:rPr>
            </w:pPr>
          </w:p>
        </w:tc>
      </w:tr>
      <w:tr>
        <w:trPr>
          <w:trHeight w:val="225"/>
        </w:trPr>
        <w:tc>
          <w:tcPr>
            <w:tcW w:w="5200" w:type="dxa"/>
            <w:vAlign w:val="bottom"/>
            <w:gridSpan w:val="3"/>
          </w:tcPr>
          <w:p>
            <w:pPr>
              <w:jc w:val="center"/>
              <w:ind w:right="7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8"/>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9330 Zionsville Road, Indianapolis,</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46268</w:t>
            </w:r>
          </w:p>
        </w:tc>
        <w:tc>
          <w:tcPr>
            <w:tcW w:w="398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(833) 267-8382</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974 Centre Road, Wilmington,</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19805</w:t>
            </w:r>
          </w:p>
        </w:tc>
        <w:tc>
          <w:tcPr>
            <w:tcW w:w="3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140" w:type="dxa"/>
            <w:vAlign w:val="bottom"/>
            <w:gridSpan w:val="2"/>
          </w:tcPr>
          <w:p>
            <w:pPr>
              <w:jc w:val="center"/>
              <w:ind w:left="130"/>
              <w:spacing w:after="0" w:line="201" w:lineRule="exact"/>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1060" w:type="dxa"/>
            <w:vAlign w:val="bottom"/>
          </w:tcPr>
          <w:p>
            <w:pPr>
              <w:spacing w:after="0"/>
              <w:rPr>
                <w:sz w:val="17"/>
                <w:szCs w:val="17"/>
                <w:color w:val="auto"/>
              </w:rPr>
            </w:pPr>
          </w:p>
        </w:tc>
        <w:tc>
          <w:tcPr>
            <w:tcW w:w="3980" w:type="dxa"/>
            <w:vAlign w:val="bottom"/>
          </w:tcPr>
          <w:p>
            <w:pPr>
              <w:jc w:val="center"/>
              <w:ind w:left="450"/>
              <w:spacing w:after="0" w:line="201" w:lineRule="exact"/>
              <w:rPr>
                <w:sz w:val="20"/>
                <w:szCs w:val="20"/>
                <w:color w:val="auto"/>
              </w:rPr>
            </w:pPr>
            <w:r>
              <w:rPr>
                <w:rFonts w:ascii="Times New Roman" w:cs="Times New Roman" w:eastAsia="Times New Roman" w:hAnsi="Times New Roman"/>
                <w:sz w:val="18"/>
                <w:szCs w:val="18"/>
                <w:color w:val="auto"/>
                <w:w w:val="98"/>
              </w:rPr>
              <w:t>(Registrant’s Telephone Number, including area</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code)</w:t>
            </w:r>
          </w:p>
        </w:tc>
        <w:tc>
          <w:tcPr>
            <w:tcW w:w="0" w:type="dxa"/>
            <w:vAlign w:val="bottom"/>
          </w:tcPr>
          <w:p>
            <w:pPr>
              <w:spacing w:after="0"/>
              <w:rPr>
                <w:sz w:val="1"/>
                <w:szCs w:val="1"/>
                <w:color w:val="auto"/>
              </w:rPr>
            </w:pPr>
          </w:p>
        </w:tc>
      </w:tr>
    </w:tbl>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1-815</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EIDP,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9" w:lineRule="exact"/>
        <w:rPr>
          <w:sz w:val="24"/>
          <w:szCs w:val="24"/>
          <w:color w:val="auto"/>
        </w:rPr>
      </w:pPr>
    </w:p>
    <w:tbl>
      <w:tblPr>
        <w:tblLayout w:type="fixed"/>
        <w:tblInd w:w="1300" w:type="dxa"/>
        <w:tblCellMar>
          <w:top w:w="0" w:type="dxa"/>
          <w:left w:w="0" w:type="dxa"/>
          <w:bottom w:w="0" w:type="dxa"/>
          <w:right w:w="0" w:type="dxa"/>
        </w:tblCellMar>
      </w:tblPr>
      <w:tr>
        <w:trPr>
          <w:trHeight w:val="233"/>
        </w:trPr>
        <w:tc>
          <w:tcPr>
            <w:tcW w:w="292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51-0014090</w:t>
            </w:r>
          </w:p>
        </w:tc>
        <w:tc>
          <w:tcPr>
            <w:tcW w:w="0" w:type="dxa"/>
            <w:vAlign w:val="bottom"/>
          </w:tcPr>
          <w:p>
            <w:pPr>
              <w:spacing w:after="0"/>
              <w:rPr>
                <w:sz w:val="1"/>
                <w:szCs w:val="1"/>
                <w:color w:val="auto"/>
              </w:rPr>
            </w:pPr>
          </w:p>
        </w:tc>
      </w:tr>
      <w:tr>
        <w:trPr>
          <w:trHeight w:val="225"/>
        </w:trPr>
        <w:tc>
          <w:tcPr>
            <w:tcW w:w="5200" w:type="dxa"/>
            <w:vAlign w:val="bottom"/>
            <w:gridSpan w:val="3"/>
          </w:tcPr>
          <w:p>
            <w:pPr>
              <w:jc w:val="center"/>
              <w:ind w:right="7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8"/>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9330 Zionsville Road, Indianapolis,</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46268</w:t>
            </w:r>
          </w:p>
        </w:tc>
        <w:tc>
          <w:tcPr>
            <w:tcW w:w="398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(833) 267-8382</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974 Centre Road, Wilmington,</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19805</w:t>
            </w:r>
          </w:p>
        </w:tc>
        <w:tc>
          <w:tcPr>
            <w:tcW w:w="3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140" w:type="dxa"/>
            <w:vAlign w:val="bottom"/>
            <w:gridSpan w:val="2"/>
          </w:tcPr>
          <w:p>
            <w:pPr>
              <w:jc w:val="center"/>
              <w:ind w:left="130"/>
              <w:spacing w:after="0" w:line="201" w:lineRule="exact"/>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1060" w:type="dxa"/>
            <w:vAlign w:val="bottom"/>
          </w:tcPr>
          <w:p>
            <w:pPr>
              <w:spacing w:after="0"/>
              <w:rPr>
                <w:sz w:val="17"/>
                <w:szCs w:val="17"/>
                <w:color w:val="auto"/>
              </w:rPr>
            </w:pPr>
          </w:p>
        </w:tc>
        <w:tc>
          <w:tcPr>
            <w:tcW w:w="3980" w:type="dxa"/>
            <w:vAlign w:val="bottom"/>
          </w:tcPr>
          <w:p>
            <w:pPr>
              <w:jc w:val="center"/>
              <w:ind w:left="450"/>
              <w:spacing w:after="0" w:line="201" w:lineRule="exact"/>
              <w:rPr>
                <w:sz w:val="20"/>
                <w:szCs w:val="20"/>
                <w:color w:val="auto"/>
              </w:rPr>
            </w:pPr>
            <w:r>
              <w:rPr>
                <w:rFonts w:ascii="Times New Roman" w:cs="Times New Roman" w:eastAsia="Times New Roman" w:hAnsi="Times New Roman"/>
                <w:sz w:val="18"/>
                <w:szCs w:val="18"/>
                <w:color w:val="auto"/>
                <w:w w:val="98"/>
              </w:rPr>
              <w:t>(Registrant’s Telephone Number, including area</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for Corteva, Inc.:</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Borders>
              <w:right w:val="single" w:sz="8" w:color="auto"/>
            </w:tcBorders>
          </w:tcPr>
          <w:p>
            <w:pPr>
              <w:spacing w:after="0"/>
              <w:rPr>
                <w:sz w:val="19"/>
                <w:szCs w:val="19"/>
                <w:color w:val="auto"/>
              </w:rPr>
            </w:pPr>
          </w:p>
        </w:tc>
        <w:tc>
          <w:tcPr>
            <w:tcW w:w="412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CTVA</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512"/>
        </w:trPr>
        <w:tc>
          <w:tcPr>
            <w:tcW w:w="60" w:type="dxa"/>
            <w:vAlign w:val="bottom"/>
          </w:tcPr>
          <w:p>
            <w:pPr>
              <w:spacing w:after="0"/>
              <w:rPr>
                <w:sz w:val="24"/>
                <w:szCs w:val="24"/>
                <w:color w:val="auto"/>
              </w:rPr>
            </w:pPr>
          </w:p>
        </w:tc>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for EIDP, Inc.:</w:t>
            </w:r>
          </w:p>
        </w:tc>
        <w:tc>
          <w:tcPr>
            <w:tcW w:w="4880" w:type="dxa"/>
            <w:vAlign w:val="bottom"/>
          </w:tcPr>
          <w:p>
            <w:pPr>
              <w:spacing w:after="0"/>
              <w:rPr>
                <w:sz w:val="24"/>
                <w:szCs w:val="24"/>
                <w:color w:val="auto"/>
              </w:rPr>
            </w:pPr>
          </w:p>
        </w:tc>
      </w:tr>
      <w:tr>
        <w:trPr>
          <w:trHeight w:val="113"/>
        </w:trPr>
        <w:tc>
          <w:tcPr>
            <w:tcW w:w="6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r>
      <w:tr>
        <w:trPr>
          <w:trHeight w:val="207"/>
        </w:trPr>
        <w:tc>
          <w:tcPr>
            <w:tcW w:w="6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$3.50 Series Preferred Stock</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CTAPrA</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2"/>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$4.50 Series Preferred Stock</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CTAPrB</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494"/>
        </w:trPr>
        <w:tc>
          <w:tcPr>
            <w:tcW w:w="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ind w:firstLine="323"/>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121" w:right="339" w:bottom="1440"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Corteva,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EIDP,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11" w:lineRule="exact"/>
        <w:rPr>
          <w:sz w:val="20"/>
          <w:szCs w:val="20"/>
          <w:color w:val="auto"/>
        </w:rPr>
      </w:pPr>
    </w:p>
    <w:p>
      <w:pPr>
        <w:sectPr>
          <w:pgSz w:w="11900" w:h="16838" w:orient="portrait"/>
          <w:cols w:equalWidth="0" w:num="3">
            <w:col w:w="8800" w:space="720"/>
            <w:col w:w="480" w:space="520"/>
            <w:col w:w="720"/>
          </w:cols>
          <w:pgMar w:left="320" w:top="121" w:right="339" w:bottom="1440" w:gutter="0" w:footer="0" w:header="0"/>
          <w:type w:val="continuous"/>
        </w:sectPr>
      </w:pPr>
    </w:p>
    <w:p>
      <w:pPr>
        <w:spacing w:after="0" w:line="113" w:lineRule="exact"/>
        <w:rPr>
          <w:sz w:val="20"/>
          <w:szCs w:val="20"/>
          <w:color w:val="auto"/>
        </w:rPr>
      </w:pPr>
    </w:p>
    <w:p>
      <w:pPr>
        <w:ind w:firstLine="323"/>
        <w:spacing w:after="0" w:line="27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40"/>
          </w:cols>
          <w:pgMar w:left="320" w:top="121" w:right="3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Corteva,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EIDP,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11" w:lineRule="exact"/>
        <w:rPr>
          <w:sz w:val="20"/>
          <w:szCs w:val="20"/>
          <w:color w:val="auto"/>
        </w:rPr>
      </w:pPr>
    </w:p>
    <w:p>
      <w:pPr>
        <w:sectPr>
          <w:pgSz w:w="11900" w:h="16838" w:orient="portrait"/>
          <w:cols w:equalWidth="0" w:num="3">
            <w:col w:w="8800" w:space="720"/>
            <w:col w:w="480" w:space="520"/>
            <w:col w:w="720"/>
          </w:cols>
          <w:pgMar w:left="320" w:top="121" w:right="339" w:bottom="1440" w:gutter="0" w:footer="0" w:header="0"/>
          <w:type w:val="continuous"/>
        </w:sectPr>
      </w:pPr>
    </w:p>
    <w:p>
      <w:pPr>
        <w:spacing w:after="0" w:line="126" w:lineRule="exact"/>
        <w:rPr>
          <w:sz w:val="20"/>
          <w:szCs w:val="20"/>
          <w:color w:val="auto"/>
        </w:rPr>
      </w:pPr>
    </w:p>
    <w:p>
      <w:pPr>
        <w:jc w:val="both"/>
        <w:ind w:firstLine="323"/>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w:t>
            </w:r>
          </w:p>
        </w:tc>
        <w:tc>
          <w:tcPr>
            <w:tcW w:w="2020" w:type="dxa"/>
            <w:vAlign w:val="bottom"/>
          </w:tcPr>
          <w:p>
            <w:pPr>
              <w:spacing w:after="0"/>
              <w:rPr>
                <w:sz w:val="17"/>
                <w:szCs w:val="17"/>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Smaller reporting</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Emerging growth</w:t>
            </w:r>
          </w:p>
        </w:tc>
      </w:tr>
      <w:tr>
        <w:trPr>
          <w:trHeight w:val="242"/>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Corteva, Inc.</w:t>
            </w:r>
          </w:p>
        </w:tc>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22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Filer</w:t>
            </w:r>
            <w:r>
              <w:rPr>
                <w:rFonts w:ascii="Wingdings" w:cs="Wingdings" w:eastAsia="Wingdings" w:hAnsi="Wingdings"/>
                <w:sz w:val="18"/>
                <w:szCs w:val="18"/>
                <w:b w:val="1"/>
                <w:bCs w:val="1"/>
                <w:color w:val="auto"/>
              </w:rPr>
              <w:t xml:space="preserve"> o</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20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company</w:t>
            </w:r>
            <w:r>
              <w:rPr>
                <w:rFonts w:ascii="Wingdings" w:cs="Wingdings" w:eastAsia="Wingdings" w:hAnsi="Wingdings"/>
                <w:sz w:val="18"/>
                <w:szCs w:val="18"/>
                <w:b w:val="1"/>
                <w:bCs w:val="1"/>
                <w:color w:val="auto"/>
              </w:rPr>
              <w:t xml:space="preserve"> o</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company </w:t>
            </w:r>
            <w:r>
              <w:rPr>
                <w:rFonts w:ascii="Wingdings" w:cs="Wingdings" w:eastAsia="Wingdings" w:hAnsi="Wingdings"/>
                <w:sz w:val="18"/>
                <w:szCs w:val="18"/>
                <w:b w:val="1"/>
                <w:bCs w:val="1"/>
                <w:color w:val="auto"/>
              </w:rPr>
              <w:t>o</w:t>
            </w:r>
          </w:p>
        </w:tc>
      </w:tr>
      <w:tr>
        <w:trPr>
          <w:trHeight w:val="228"/>
        </w:trPr>
        <w:tc>
          <w:tcPr>
            <w:tcW w:w="1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w:t>
            </w:r>
          </w:p>
        </w:tc>
        <w:tc>
          <w:tcPr>
            <w:tcW w:w="2020" w:type="dxa"/>
            <w:vAlign w:val="bottom"/>
          </w:tcPr>
          <w:p>
            <w:pPr>
              <w:spacing w:after="0"/>
              <w:rPr>
                <w:sz w:val="19"/>
                <w:szCs w:val="19"/>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Smaller reporting</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Emerging growth</w:t>
            </w:r>
          </w:p>
        </w:tc>
      </w:tr>
      <w:tr>
        <w:trPr>
          <w:trHeight w:val="242"/>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EIDP, Inc.</w:t>
            </w:r>
          </w:p>
        </w:tc>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Filer</w:t>
            </w:r>
            <w:r>
              <w:rPr>
                <w:rFonts w:ascii="Wingdings" w:cs="Wingdings" w:eastAsia="Wingdings" w:hAnsi="Wingdings"/>
                <w:sz w:val="18"/>
                <w:szCs w:val="18"/>
                <w:b w:val="1"/>
                <w:bCs w:val="1"/>
                <w:color w:val="auto"/>
              </w:rPr>
              <w:t xml:space="preserve"> o</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20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company</w:t>
            </w:r>
            <w:r>
              <w:rPr>
                <w:rFonts w:ascii="Wingdings" w:cs="Wingdings" w:eastAsia="Wingdings" w:hAnsi="Wingdings"/>
                <w:sz w:val="18"/>
                <w:szCs w:val="18"/>
                <w:b w:val="1"/>
                <w:bCs w:val="1"/>
                <w:color w:val="auto"/>
              </w:rPr>
              <w:t xml:space="preserve"> o</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company </w:t>
            </w:r>
            <w:r>
              <w:rPr>
                <w:rFonts w:ascii="Wingdings" w:cs="Wingdings" w:eastAsia="Wingdings" w:hAnsi="Wingdings"/>
                <w:sz w:val="18"/>
                <w:szCs w:val="18"/>
                <w:b w:val="1"/>
                <w:bCs w:val="1"/>
                <w:color w:val="auto"/>
              </w:rPr>
              <w:t>o</w:t>
            </w:r>
          </w:p>
        </w:tc>
      </w:tr>
    </w:tbl>
    <w:p>
      <w:pPr>
        <w:spacing w:after="0" w:line="89"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121" w:right="33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Corteva,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EIDP,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0"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4" w:lineRule="exact"/>
        <w:rPr>
          <w:sz w:val="20"/>
          <w:szCs w:val="20"/>
          <w:color w:val="auto"/>
        </w:rPr>
      </w:pPr>
    </w:p>
    <w:p>
      <w:pPr>
        <w:sectPr>
          <w:pgSz w:w="11900" w:h="16838" w:orient="portrait"/>
          <w:cols w:equalWidth="0" w:num="2">
            <w:col w:w="10040" w:space="720"/>
            <w:col w:w="480"/>
          </w:cols>
          <w:pgMar w:left="320" w:top="121" w:right="339" w:bottom="1440" w:gutter="0" w:footer="0" w:header="0"/>
          <w:type w:val="continuous"/>
        </w:sectPr>
      </w:pP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ectPr>
          <w:pgSz w:w="11900" w:h="16838" w:orient="portrait"/>
          <w:cols w:equalWidth="0" w:num="1">
            <w:col w:w="11240"/>
          </w:cols>
          <w:pgMar w:left="320" w:top="121" w:right="339" w:bottom="1440" w:gutter="0" w:footer="0" w:header="0"/>
          <w:type w:val="continuous"/>
        </w:sectPr>
      </w:pP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Corteva,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EIDP, Inc.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11" w:lineRule="exact"/>
        <w:rPr>
          <w:sz w:val="20"/>
          <w:szCs w:val="20"/>
          <w:color w:val="auto"/>
        </w:rPr>
      </w:pPr>
    </w:p>
    <w:p>
      <w:pPr>
        <w:sectPr>
          <w:pgSz w:w="11900" w:h="16838" w:orient="portrait"/>
          <w:cols w:equalWidth="0" w:num="3">
            <w:col w:w="8500" w:space="720"/>
            <w:col w:w="460" w:space="500"/>
            <w:col w:w="1060"/>
          </w:cols>
          <w:pgMar w:left="320" w:top="121" w:right="339" w:bottom="1440" w:gutter="0" w:footer="0" w:header="0"/>
          <w:type w:val="continuous"/>
        </w:sect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Corteva, Inc. had 687,293,000 shares of common stock, par value $0.01 per share, outstanding at October 31, 2024.</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EIDP, Inc. had 200 shares of common stock, par value $0.30 per share, outstanding at October 31, 2024, all of which are held by Corteva, Inc.</w:t>
      </w:r>
    </w:p>
    <w:p>
      <w:pPr>
        <w:spacing w:after="0" w:line="200" w:lineRule="exact"/>
        <w:rPr>
          <w:sz w:val="20"/>
          <w:szCs w:val="20"/>
          <w:color w:val="auto"/>
        </w:rPr>
      </w:pPr>
    </w:p>
    <w:p>
      <w:pPr>
        <w:spacing w:after="0" w:line="262"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color w:val="auto"/>
        </w:rPr>
        <w:t>EIDP, Inc. meets the conditions set forth in General Instruction H(1)(a) and (b) of Form 10-Q (as modified by a grant of no-action relief dated February 12, 2018) and is therefore filing this form with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Corteva,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EIDP,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Explanatory Note</w:t>
            </w:r>
          </w:p>
        </w:tc>
        <w:tc>
          <w:tcPr>
            <w:tcW w:w="8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560" w:type="dxa"/>
            <w:vAlign w:val="bottom"/>
            <w:gridSpan w:val="2"/>
            <w:vMerge w:val="continue"/>
          </w:tcPr>
          <w:p>
            <w:pPr>
              <w:spacing w:after="0"/>
              <w:rPr>
                <w:sz w:val="17"/>
                <w:szCs w:val="17"/>
                <w:color w:val="auto"/>
              </w:rPr>
            </w:pPr>
          </w:p>
        </w:tc>
        <w:tc>
          <w:tcPr>
            <w:tcW w:w="8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0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Notes to the Interim Consolidated 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452"/>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Cautionary Statements About Forward-Looking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Recent Developments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Overview</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Recent Accounting Pronouncements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Segment Reviews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Non-GAAP Financial Measures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Liquidity &amp; Capital Resources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0000FF"/>
              </w:rPr>
              <w:t>Contractual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452"/>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3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45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29"/>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29"/>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color w:val="000000"/>
              </w:rPr>
              <w:t>.</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29"/>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color w:val="000000"/>
              </w:rPr>
              <w:t>.</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29"/>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25"/>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Item</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29"/>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8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29"/>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38"/>
        </w:trPr>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Consolidated Financial Statements of EIDP, Inc.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Corteva owns 100% of the outstanding common stock of EIDP (defined below). EIDP is a subsidiary of Corteva, Inc. and continues to be a reporting company, subject to the requirements of the Securities Exchange Act of 1934,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Quarterly Report on Form 10-Q to:</w:t>
      </w:r>
    </w:p>
    <w:p>
      <w:pPr>
        <w:spacing w:after="0" w:line="250" w:lineRule="exact"/>
        <w:rPr>
          <w:sz w:val="20"/>
          <w:szCs w:val="20"/>
          <w:color w:val="auto"/>
        </w:rPr>
      </w:pP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"Corteva" or "the company" refers to Corteva, Inc. and its consolidated subsidiaries (including EIDP);</w:t>
      </w:r>
    </w:p>
    <w:p>
      <w:pPr>
        <w:spacing w:after="0" w:line="26" w:lineRule="exact"/>
        <w:rPr>
          <w:rFonts w:ascii="Times New Roman" w:cs="Times New Roman" w:eastAsia="Times New Roman" w:hAnsi="Times New Roman"/>
          <w:sz w:val="18"/>
          <w:szCs w:val="18"/>
          <w:color w:val="auto"/>
        </w:rPr>
      </w:pPr>
    </w:p>
    <w:p>
      <w:pPr>
        <w:ind w:left="660" w:right="20" w:hanging="7"/>
        <w:spacing w:after="0" w:line="249" w:lineRule="auto"/>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"EIDP" refers to EIDP, Inc. (formerly known as E. I. du Pont de Nemours and Company) and its consolidated subsidiaries or EIDP excluding its consolidated subsidiaries, as the context may indicate;</w:t>
      </w: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"DowDuPont" refers to DowDuPont Inc. and its subsidiaries prior to the Separation of Corteva (defined below);</w:t>
      </w:r>
    </w:p>
    <w:p>
      <w:pPr>
        <w:spacing w:after="0" w:line="8" w:lineRule="exact"/>
        <w:rPr>
          <w:rFonts w:ascii="Times New Roman" w:cs="Times New Roman" w:eastAsia="Times New Roman" w:hAnsi="Times New Roman"/>
          <w:sz w:val="18"/>
          <w:szCs w:val="18"/>
          <w:color w:val="auto"/>
        </w:rPr>
      </w:pP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Dow" refers to The Dow Chemical Company and its consolidated subsidiaries prior to the Internal Reorganization (defined below);</w:t>
      </w:r>
    </w:p>
    <w:p>
      <w:pPr>
        <w:spacing w:after="0" w:line="8" w:lineRule="exact"/>
        <w:rPr>
          <w:rFonts w:ascii="Times New Roman" w:cs="Times New Roman" w:eastAsia="Times New Roman" w:hAnsi="Times New Roman"/>
          <w:sz w:val="18"/>
          <w:szCs w:val="18"/>
          <w:color w:val="auto"/>
        </w:rPr>
      </w:pP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DuPont" refers to EIDP prior to the Internal Reorganization (defined below);</w:t>
      </w:r>
    </w:p>
    <w:p>
      <w:pPr>
        <w:spacing w:after="0" w:line="8" w:lineRule="exact"/>
        <w:rPr>
          <w:rFonts w:ascii="Times New Roman" w:cs="Times New Roman" w:eastAsia="Times New Roman" w:hAnsi="Times New Roman"/>
          <w:sz w:val="18"/>
          <w:szCs w:val="18"/>
          <w:color w:val="auto"/>
        </w:rPr>
      </w:pPr>
    </w:p>
    <w:p>
      <w:pPr>
        <w:jc w:val="both"/>
        <w:ind w:left="660" w:hanging="7"/>
        <w:spacing w:after="0" w:line="249" w:lineRule="auto"/>
        <w:tabs>
          <w:tab w:leader="none" w:pos="7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Reorganizations" refers to the series of internal reorganization and realignment steps undertaken by Historical DuPont and Historical Dow to realign its business into three groups: agriculture, materials science and specialty products. Refer to the company’s Annual Report on Form 10-K for the year ended December 31, 2023 for further information.</w:t>
      </w:r>
    </w:p>
    <w:p>
      <w:pPr>
        <w:spacing w:after="0" w:line="1" w:lineRule="exact"/>
        <w:rPr>
          <w:rFonts w:ascii="Times New Roman" w:cs="Times New Roman" w:eastAsia="Times New Roman" w:hAnsi="Times New Roman"/>
          <w:sz w:val="18"/>
          <w:szCs w:val="18"/>
          <w:color w:val="auto"/>
        </w:rPr>
      </w:pPr>
    </w:p>
    <w:p>
      <w:pPr>
        <w:jc w:val="both"/>
        <w:ind w:left="660" w:hanging="7"/>
        <w:spacing w:after="0" w:line="249" w:lineRule="auto"/>
        <w:tabs>
          <w:tab w:leader="none" w:pos="7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 Distribution" refers to the separation of DowDuPont's materials science business into a separate and independent public company on April 1, 2019 by way of a distribution of Dow Inc. through a pro rata dividend in-kind of all of the then-issued and outstanding shares of Dow Inc.’s common stock;</w:t>
      </w:r>
    </w:p>
    <w:p>
      <w:pPr>
        <w:spacing w:after="0" w:line="1" w:lineRule="exact"/>
        <w:rPr>
          <w:rFonts w:ascii="Times New Roman" w:cs="Times New Roman" w:eastAsia="Times New Roman" w:hAnsi="Times New Roman"/>
          <w:sz w:val="18"/>
          <w:szCs w:val="18"/>
          <w:color w:val="auto"/>
        </w:rPr>
      </w:pP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refers to the all-stock merger of equals strategic combination between Historical Dow and Historical DuPont on August 31, 2017;</w:t>
      </w:r>
    </w:p>
    <w:p>
      <w:pPr>
        <w:spacing w:after="0" w:line="8" w:lineRule="exact"/>
        <w:rPr>
          <w:rFonts w:ascii="Times New Roman" w:cs="Times New Roman" w:eastAsia="Times New Roman" w:hAnsi="Times New Roman"/>
          <w:sz w:val="18"/>
          <w:szCs w:val="18"/>
          <w:color w:val="auto"/>
        </w:rPr>
      </w:pP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 refers to Dow Inc. after the Dow Distribution;</w:t>
      </w:r>
    </w:p>
    <w:p>
      <w:pPr>
        <w:spacing w:after="0" w:line="8" w:lineRule="exact"/>
        <w:rPr>
          <w:rFonts w:ascii="Times New Roman" w:cs="Times New Roman" w:eastAsia="Times New Roman" w:hAnsi="Times New Roman"/>
          <w:sz w:val="18"/>
          <w:szCs w:val="18"/>
          <w:color w:val="auto"/>
        </w:rPr>
      </w:pPr>
    </w:p>
    <w:p>
      <w:pPr>
        <w:ind w:left="660" w:hanging="7"/>
        <w:spacing w:after="0" w:line="249"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"DuPont" refers to DuPont de Nemours, Inc. after the Separation of Corteva (on June 1, 2019, DowDuPont Inc. changed its registered name to DuPont de Nemours, Inc.);</w:t>
      </w:r>
    </w:p>
    <w:p>
      <w:pPr>
        <w:ind w:left="760" w:hanging="10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or "Separation of Corteva" refers to June 1, 2019, when Corteva, Inc. became an independent, publicly</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traded company;</w:t>
      </w:r>
    </w:p>
    <w:p>
      <w:pPr>
        <w:spacing w:after="0" w:line="8" w:lineRule="exact"/>
        <w:rPr>
          <w:sz w:val="20"/>
          <w:szCs w:val="20"/>
          <w:color w:val="auto"/>
        </w:rPr>
      </w:pPr>
    </w:p>
    <w:p>
      <w:pPr>
        <w:jc w:val="both"/>
        <w:ind w:left="660" w:hanging="7"/>
        <w:spacing w:after="0" w:line="249" w:lineRule="auto"/>
        <w:tabs>
          <w:tab w:leader="none" w:pos="7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"Corteva Distribution" refers to the pro rata distribution of all of the then-issued and outstanding shares of Corteva, Inc.'s common stock on June 1, 2019, which was then a wholly-owned subsidiary of DowDuPont, to holders of DowDuPont's common stock as of the close of business on May 24, 2019;</w:t>
      </w:r>
    </w:p>
    <w:p>
      <w:pPr>
        <w:spacing w:after="0" w:line="1" w:lineRule="exact"/>
        <w:rPr>
          <w:rFonts w:ascii="Times New Roman" w:cs="Times New Roman" w:eastAsia="Times New Roman" w:hAnsi="Times New Roman"/>
          <w:sz w:val="18"/>
          <w:szCs w:val="18"/>
          <w:color w:val="auto"/>
        </w:rPr>
      </w:pPr>
    </w:p>
    <w:p>
      <w:pPr>
        <w:ind w:left="760" w:hanging="107"/>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refers to the Dow Distribution and the Corteva Distribution; and</w:t>
      </w:r>
    </w:p>
    <w:p>
      <w:pPr>
        <w:spacing w:after="0" w:line="8" w:lineRule="exact"/>
        <w:rPr>
          <w:rFonts w:ascii="Times New Roman" w:cs="Times New Roman" w:eastAsia="Times New Roman" w:hAnsi="Times New Roman"/>
          <w:sz w:val="18"/>
          <w:szCs w:val="18"/>
          <w:color w:val="auto"/>
        </w:rPr>
      </w:pPr>
    </w:p>
    <w:p>
      <w:pPr>
        <w:jc w:val="both"/>
        <w:ind w:left="660" w:hanging="7"/>
        <w:spacing w:after="0" w:line="252" w:lineRule="auto"/>
        <w:tabs>
          <w:tab w:leader="none" w:pos="7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refers to the Letter Agreement executed by DuPont and Corteva on June 1, 2019, which sets forth certain additional terms and conditions related to the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spacing w:after="0" w:line="2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separately by Corteva, Inc. and EIDP. The information in this Quarterly Report on Form 10-Q is equally applicable to Corteva, Inc. and EIDP, except where otherwise indicated.</w:t>
      </w:r>
    </w:p>
    <w:p>
      <w:pPr>
        <w:spacing w:after="0" w:line="19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separate EIDP financial statements and footnotes for areas that differ from Corteva, are included within this Quarterly Report on Form 10-Q and begin on page 64. Footnotes of EIDP that are identical to that of Corteva are cross-referenced accordingly.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13,519</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7,554</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 after income taxes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Corteva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of common stock:</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222"/>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Basic earnings (loss) per share of common stock from discontinued operations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2"/>
        </w:trPr>
        <w:tc>
          <w:tcPr>
            <w:tcW w:w="6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(loss) per share of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of common stock:</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222"/>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(loss) per share of common stock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 earnings (loss) per share of common stock from discontinued operations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6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(loss) per share of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bl>
    <w:p>
      <w:pPr>
        <w:spacing w:after="0" w:line="3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9.</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Adjustments to pension benefit plans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other benefit plans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 net of tax</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Corteva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r>
    </w:tbl>
    <w:p>
      <w:pPr>
        <w:spacing w:after="0" w:line="29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 amounts)</w:t>
            </w:r>
          </w:p>
        </w:tc>
        <w:tc>
          <w:tcPr>
            <w:tcW w:w="16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2"/>
        </w:trPr>
        <w:tc>
          <w:tcPr>
            <w:tcW w:w="5300" w:type="dxa"/>
            <w:vAlign w:val="bottom"/>
            <w:tcBorders>
              <w:right w:val="single" w:sz="8" w:color="auto"/>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r>
      <w:tr>
        <w:trPr>
          <w:trHeight w:val="229"/>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29"/>
        </w:trPr>
        <w:tc>
          <w:tcPr>
            <w:tcW w:w="53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29"/>
        </w:trPr>
        <w:tc>
          <w:tcPr>
            <w:tcW w:w="53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3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 - net</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6,651</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6,581</w:t>
            </w:r>
          </w:p>
        </w:tc>
      </w:tr>
      <w:tr>
        <w:trPr>
          <w:trHeight w:val="229"/>
        </w:trPr>
        <w:tc>
          <w:tcPr>
            <w:tcW w:w="53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5,674</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6,320</w:t>
            </w:r>
          </w:p>
        </w:tc>
      </w:tr>
      <w:tr>
        <w:trPr>
          <w:trHeight w:val="229"/>
        </w:trPr>
        <w:tc>
          <w:tcPr>
            <w:tcW w:w="53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22"/>
        </w:trPr>
        <w:tc>
          <w:tcPr>
            <w:tcW w:w="53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15,649</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16,333</w:t>
            </w:r>
          </w:p>
        </w:tc>
      </w:tr>
      <w:tr>
        <w:trPr>
          <w:trHeight w:val="222"/>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9,235</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8,892</w:t>
            </w:r>
          </w:p>
        </w:tc>
      </w:tr>
      <w:tr>
        <w:trPr>
          <w:trHeight w:val="229"/>
        </w:trPr>
        <w:tc>
          <w:tcPr>
            <w:tcW w:w="5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5,025</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4,572</w:t>
            </w:r>
          </w:p>
        </w:tc>
      </w:tr>
      <w:tr>
        <w:trPr>
          <w:trHeight w:val="222"/>
        </w:trPr>
        <w:tc>
          <w:tcPr>
            <w:tcW w:w="5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4,210</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4,320</w:t>
            </w:r>
          </w:p>
        </w:tc>
      </w:tr>
      <w:tr>
        <w:trPr>
          <w:trHeight w:val="222"/>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10,629</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10,441</w:t>
            </w:r>
          </w:p>
        </w:tc>
      </w:tr>
      <w:tr>
        <w:trPr>
          <w:trHeight w:val="229"/>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9,084</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9,795</w:t>
            </w:r>
          </w:p>
        </w:tc>
      </w:tr>
      <w:tr>
        <w:trPr>
          <w:trHeight w:val="229"/>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5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1,644</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r>
      <w:tr>
        <w:trPr>
          <w:trHeight w:val="222"/>
        </w:trPr>
        <w:tc>
          <w:tcPr>
            <w:tcW w:w="530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43,110</w:t>
            </w:r>
          </w:p>
        </w:tc>
      </w:tr>
      <w:tr>
        <w:trPr>
          <w:trHeight w:val="222"/>
        </w:trPr>
        <w:tc>
          <w:tcPr>
            <w:tcW w:w="5300" w:type="dxa"/>
            <w:vAlign w:val="bottom"/>
            <w:tcBorders>
              <w:right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29"/>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r>
      <w:tr>
        <w:trPr>
          <w:trHeight w:val="229"/>
        </w:trPr>
        <w:tc>
          <w:tcPr>
            <w:tcW w:w="53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3,609</w:t>
            </w:r>
          </w:p>
        </w:tc>
      </w:tr>
      <w:tr>
        <w:trPr>
          <w:trHeight w:val="229"/>
        </w:trPr>
        <w:tc>
          <w:tcPr>
            <w:tcW w:w="53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3,678</w:t>
            </w:r>
          </w:p>
        </w:tc>
      </w:tr>
      <w:tr>
        <w:trPr>
          <w:trHeight w:val="229"/>
        </w:trPr>
        <w:tc>
          <w:tcPr>
            <w:tcW w:w="53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3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53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2,188</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2,273</w:t>
            </w:r>
          </w:p>
        </w:tc>
      </w:tr>
      <w:tr>
        <w:trPr>
          <w:trHeight w:val="222"/>
        </w:trPr>
        <w:tc>
          <w:tcPr>
            <w:tcW w:w="53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10,424</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10,348</w:t>
            </w:r>
          </w:p>
        </w:tc>
      </w:tr>
      <w:tr>
        <w:trPr>
          <w:trHeight w:val="222"/>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1,975</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r>
      <w:tr>
        <w:trPr>
          <w:trHeight w:val="229"/>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r>
      <w:tr>
        <w:trPr>
          <w:trHeight w:val="229"/>
        </w:trPr>
        <w:tc>
          <w:tcPr>
            <w:tcW w:w="53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530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other post employment benefits - noncurrent</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r>
      <w:tr>
        <w:trPr>
          <w:trHeight w:val="229"/>
        </w:trPr>
        <w:tc>
          <w:tcPr>
            <w:tcW w:w="53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r>
      <w:tr>
        <w:trPr>
          <w:trHeight w:val="222"/>
        </w:trPr>
        <w:tc>
          <w:tcPr>
            <w:tcW w:w="530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6,505</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7,295</w:t>
            </w:r>
          </w:p>
        </w:tc>
      </w:tr>
      <w:tr>
        <w:trPr>
          <w:trHeight w:val="222"/>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29"/>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r>
      <w:tr>
        <w:trPr>
          <w:trHeight w:val="175"/>
        </w:trPr>
        <w:tc>
          <w:tcPr>
            <w:tcW w:w="53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Common stock, $0.01 par value; 1,666,667,000 shares authorized;</w:t>
            </w:r>
          </w:p>
        </w:tc>
        <w:tc>
          <w:tcPr>
            <w:tcW w:w="16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r>
      <w:tr>
        <w:trPr>
          <w:trHeight w:val="183"/>
        </w:trPr>
        <w:tc>
          <w:tcPr>
            <w:tcW w:w="530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issued at September 30, 2024 - 689,170,000; December 31, 2023 -</w:t>
            </w:r>
          </w:p>
        </w:tc>
        <w:tc>
          <w:tcPr>
            <w:tcW w:w="16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r>
      <w:tr>
        <w:trPr>
          <w:trHeight w:val="234"/>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701,260,000; and September 30, 2023 - 704,880,000</w:t>
            </w:r>
          </w:p>
        </w:tc>
        <w:tc>
          <w:tcPr>
            <w:tcW w:w="160" w:type="dxa"/>
            <w:vAlign w:val="bottom"/>
          </w:tcPr>
          <w:p>
            <w:pPr>
              <w:spacing w:after="0"/>
              <w:rPr>
                <w:sz w:val="20"/>
                <w:szCs w:val="20"/>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27,518</w:t>
            </w:r>
          </w:p>
        </w:tc>
        <w:tc>
          <w:tcPr>
            <w:tcW w:w="1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27,895</w:t>
            </w:r>
          </w:p>
        </w:tc>
      </w:tr>
      <w:tr>
        <w:trPr>
          <w:trHeight w:val="229"/>
        </w:trPr>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5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22"/>
        </w:trPr>
        <w:tc>
          <w:tcPr>
            <w:tcW w:w="53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Corteva stockholders’ equity</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24,737</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25,226</w:t>
            </w:r>
          </w:p>
        </w:tc>
      </w:tr>
      <w:tr>
        <w:trPr>
          <w:trHeight w:val="222"/>
        </w:trPr>
        <w:tc>
          <w:tcPr>
            <w:tcW w:w="53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22"/>
        </w:trPr>
        <w:tc>
          <w:tcPr>
            <w:tcW w:w="53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24,979</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25,467</w:t>
            </w:r>
          </w:p>
        </w:tc>
      </w:tr>
      <w:tr>
        <w:trPr>
          <w:trHeight w:val="229"/>
        </w:trPr>
        <w:tc>
          <w:tcPr>
            <w:tcW w:w="530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43,110</w:t>
            </w:r>
          </w:p>
        </w:tc>
      </w:tr>
    </w:tbl>
    <w:p>
      <w:pPr>
        <w:spacing w:after="0" w:line="3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9.</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9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90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9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90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after income taxes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90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(used for) operating activities: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90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90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deferred income tax</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90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periodic pension and OPEB (credits) costs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90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OPEB contributions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90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(gain) loss on sales of property, businesses, consolidated companies and investments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0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90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net loss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90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9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Accounts and notes receivable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90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9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90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9"/>
        </w:trPr>
        <w:tc>
          <w:tcPr>
            <w:tcW w:w="90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2"/>
        </w:trPr>
        <w:tc>
          <w:tcPr>
            <w:tcW w:w="90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for) operating activities -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22"/>
        </w:trPr>
        <w:tc>
          <w:tcPr>
            <w:tcW w:w="90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Cash provided by (used for) operating activities - discontinued operations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2"/>
        </w:trPr>
        <w:tc>
          <w:tcPr>
            <w:tcW w:w="90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2"/>
        </w:trPr>
        <w:tc>
          <w:tcPr>
            <w:tcW w:w="9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9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businesses and consolidated companies - net of cash divested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businesses - net of cash acquired</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9"/>
        </w:trPr>
        <w:tc>
          <w:tcPr>
            <w:tcW w:w="9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Investments in and loans to nonconsolidated affiliates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9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settlement of net investment hedge</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0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90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2"/>
        </w:trPr>
        <w:tc>
          <w:tcPr>
            <w:tcW w:w="9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borrowings (less than 90 days)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r>
      <w:tr>
        <w:trPr>
          <w:trHeight w:val="229"/>
        </w:trPr>
        <w:tc>
          <w:tcPr>
            <w:tcW w:w="9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debt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9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90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9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90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2"/>
        </w:trPr>
        <w:tc>
          <w:tcPr>
            <w:tcW w:w="90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r>
      <w:tr>
        <w:trPr>
          <w:trHeight w:val="222"/>
        </w:trPr>
        <w:tc>
          <w:tcPr>
            <w:tcW w:w="9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2"/>
        </w:trPr>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equivalents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2"/>
        </w:trPr>
        <w:tc>
          <w:tcPr>
            <w:tcW w:w="9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3,618</w:t>
            </w:r>
          </w:p>
        </w:tc>
      </w:tr>
      <w:tr>
        <w:trPr>
          <w:trHeight w:val="229"/>
        </w:trPr>
        <w:tc>
          <w:tcPr>
            <w:tcW w:w="9020" w:type="dxa"/>
            <w:vAlign w:val="bottom"/>
            <w:tcBorders>
              <w:bottom w:val="single" w:sz="8" w:color="auto"/>
              <w:right w:val="single" w:sz="8" w:color="auto"/>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equivalents at end of period</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2,776</w:t>
            </w:r>
          </w:p>
        </w:tc>
      </w:tr>
    </w:tbl>
    <w:p>
      <w:pPr>
        <w:spacing w:after="0" w:line="71" w:lineRule="exact"/>
        <w:rPr>
          <w:sz w:val="20"/>
          <w:szCs w:val="20"/>
          <w:color w:val="auto"/>
        </w:rPr>
      </w:pPr>
    </w:p>
    <w:p>
      <w:pPr>
        <w:ind w:left="160" w:right="20" w:hanging="152"/>
        <w:spacing w:after="0" w:line="277" w:lineRule="auto"/>
        <w:tabs>
          <w:tab w:leader="none" w:pos="14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page 15 for reconciliation of cash and cash equivalents and restricted cash equivalents presented in interim Consolidated Balance Sheets to total cash, cash equivalents and restricted cash equivalents presented in the interim Consolidated Statements of Cash Flows.</w:t>
      </w:r>
    </w:p>
    <w:p>
      <w:pPr>
        <w:spacing w:after="0" w:line="21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9.</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60" w:type="dxa"/>
            <w:vAlign w:val="bottom"/>
            <w:tcBorders>
              <w:top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ind w:right="130"/>
              <w:spacing w:after="0" w:line="189" w:lineRule="exact"/>
              <w:rPr>
                <w:sz w:val="20"/>
                <w:szCs w:val="20"/>
                <w:color w:val="auto"/>
              </w:rPr>
            </w:pPr>
            <w:r>
              <w:rPr>
                <w:rFonts w:ascii="Times New Roman" w:cs="Times New Roman" w:eastAsia="Times New Roman" w:hAnsi="Times New Roman"/>
                <w:sz w:val="18"/>
                <w:szCs w:val="18"/>
                <w:i w:val="1"/>
                <w:iCs w:val="1"/>
                <w:color w:val="auto"/>
                <w:w w:val="99"/>
              </w:rPr>
              <w:t>Retained</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Accumulated</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6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w w:val="97"/>
              </w:rPr>
              <w:t>Additional Paid-</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center"/>
              <w:ind w:right="110"/>
              <w:spacing w:after="0" w:line="175" w:lineRule="exact"/>
              <w:rPr>
                <w:sz w:val="20"/>
                <w:szCs w:val="20"/>
                <w:color w:val="auto"/>
              </w:rPr>
            </w:pPr>
            <w:r>
              <w:rPr>
                <w:rFonts w:ascii="Times New Roman" w:cs="Times New Roman" w:eastAsia="Times New Roman" w:hAnsi="Times New Roman"/>
                <w:sz w:val="18"/>
                <w:szCs w:val="18"/>
                <w:i w:val="1"/>
                <w:iCs w:val="1"/>
                <w:color w:val="auto"/>
                <w:w w:val="99"/>
              </w:rPr>
              <w:t>Earnings</w:t>
            </w:r>
          </w:p>
        </w:tc>
        <w:tc>
          <w:tcPr>
            <w:tcW w:w="120" w:type="dxa"/>
            <w:vAlign w:val="bottom"/>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Non-Controlling</w:t>
            </w:r>
          </w:p>
        </w:tc>
        <w:tc>
          <w:tcPr>
            <w:tcW w:w="14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Common Stock</w:t>
            </w:r>
          </w:p>
        </w:tc>
        <w:tc>
          <w:tcPr>
            <w:tcW w:w="124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jc w:val="center"/>
              <w:ind w:right="130"/>
              <w:spacing w:after="0" w:line="189" w:lineRule="exact"/>
              <w:rPr>
                <w:sz w:val="20"/>
                <w:szCs w:val="20"/>
                <w:color w:val="auto"/>
              </w:rPr>
            </w:pPr>
            <w:r>
              <w:rPr>
                <w:rFonts w:ascii="Times New Roman" w:cs="Times New Roman" w:eastAsia="Times New Roman" w:hAnsi="Times New Roman"/>
                <w:sz w:val="18"/>
                <w:szCs w:val="18"/>
                <w:i w:val="1"/>
                <w:iCs w:val="1"/>
                <w:color w:val="auto"/>
              </w:rPr>
              <w:t>(Accum.</w:t>
            </w:r>
          </w:p>
        </w:tc>
        <w:tc>
          <w:tcPr>
            <w:tcW w:w="120" w:type="dxa"/>
            <w:vAlign w:val="bottom"/>
          </w:tcPr>
          <w:p>
            <w:pPr>
              <w:spacing w:after="0"/>
              <w:rPr>
                <w:sz w:val="16"/>
                <w:szCs w:val="16"/>
                <w:color w:val="auto"/>
              </w:rPr>
            </w:pPr>
          </w:p>
        </w:tc>
        <w:tc>
          <w:tcPr>
            <w:tcW w:w="124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i w:val="1"/>
                <w:iCs w:val="1"/>
                <w:color w:val="auto"/>
                <w:w w:val="99"/>
              </w:rPr>
              <w:t>Other Comp.</w:t>
            </w:r>
          </w:p>
        </w:tc>
        <w:tc>
          <w:tcPr>
            <w:tcW w:w="124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98"/>
              </w:rPr>
              <w:t>Total Equity</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200" w:type="dxa"/>
            <w:vAlign w:val="bottom"/>
            <w:tcBorders>
              <w:bottom w:val="single" w:sz="8" w:color="auto"/>
              <w:right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in Capital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Deficit)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Income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Interests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0" w:type="dxa"/>
            <w:vAlign w:val="bottom"/>
          </w:tcPr>
          <w:p>
            <w:pPr>
              <w:spacing w:after="0"/>
              <w:rPr>
                <w:sz w:val="1"/>
                <w:szCs w:val="1"/>
                <w:color w:val="auto"/>
              </w:rPr>
            </w:pPr>
          </w:p>
        </w:tc>
      </w:tr>
      <w:tr>
        <w:trPr>
          <w:trHeight w:val="222"/>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($0.15 per share)</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2"/>
        </w:trPr>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25,839</w:t>
            </w:r>
          </w:p>
        </w:tc>
        <w:tc>
          <w:tcPr>
            <w:tcW w:w="0" w:type="dxa"/>
            <w:vAlign w:val="bottom"/>
          </w:tcPr>
          <w:p>
            <w:pPr>
              <w:spacing w:after="0"/>
              <w:rPr>
                <w:sz w:val="1"/>
                <w:szCs w:val="1"/>
                <w:color w:val="auto"/>
              </w:rPr>
            </w:pPr>
          </w:p>
        </w:tc>
      </w:tr>
      <w:tr>
        <w:trPr>
          <w:trHeight w:val="222"/>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($0.15 per share)</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0" w:type="dxa"/>
            <w:vAlign w:val="bottom"/>
          </w:tcPr>
          <w:p>
            <w:pPr>
              <w:spacing w:after="0"/>
              <w:rPr>
                <w:sz w:val="1"/>
                <w:szCs w:val="1"/>
                <w:color w:val="auto"/>
              </w:rPr>
            </w:pPr>
          </w:p>
        </w:tc>
      </w:tr>
      <w:tr>
        <w:trPr>
          <w:trHeight w:val="222"/>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($0.16 per share)</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Notes to the Interim Consolidated Financial Statements beginning on page 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20" w:type="dxa"/>
            <w:vAlign w:val="bottom"/>
            <w:tcBorders>
              <w:top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ind w:right="130"/>
              <w:spacing w:after="0" w:line="189" w:lineRule="exact"/>
              <w:rPr>
                <w:sz w:val="20"/>
                <w:szCs w:val="20"/>
                <w:color w:val="auto"/>
              </w:rPr>
            </w:pPr>
            <w:r>
              <w:rPr>
                <w:rFonts w:ascii="Times New Roman" w:cs="Times New Roman" w:eastAsia="Times New Roman" w:hAnsi="Times New Roman"/>
                <w:sz w:val="18"/>
                <w:szCs w:val="18"/>
                <w:i w:val="1"/>
                <w:iCs w:val="1"/>
                <w:color w:val="auto"/>
                <w:w w:val="99"/>
              </w:rPr>
              <w:t>Retained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Accumulated</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2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w w:val="97"/>
              </w:rPr>
              <w:t>Additional Paid-</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center"/>
              <w:ind w:right="130"/>
              <w:spacing w:after="0" w:line="175" w:lineRule="exact"/>
              <w:rPr>
                <w:sz w:val="20"/>
                <w:szCs w:val="20"/>
                <w:color w:val="auto"/>
              </w:rPr>
            </w:pPr>
            <w:r>
              <w:rPr>
                <w:rFonts w:ascii="Times New Roman" w:cs="Times New Roman" w:eastAsia="Times New Roman" w:hAnsi="Times New Roman"/>
                <w:sz w:val="18"/>
                <w:szCs w:val="18"/>
                <w:i w:val="1"/>
                <w:iCs w:val="1"/>
                <w:color w:val="auto"/>
                <w:w w:val="96"/>
              </w:rPr>
              <w:t>Earnings</w:t>
            </w:r>
          </w:p>
        </w:tc>
        <w:tc>
          <w:tcPr>
            <w:tcW w:w="120" w:type="dxa"/>
            <w:vAlign w:val="bottom"/>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Non-Controlling</w:t>
            </w:r>
          </w:p>
        </w:tc>
        <w:tc>
          <w:tcPr>
            <w:tcW w:w="14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Common Stock</w:t>
            </w:r>
          </w:p>
        </w:tc>
        <w:tc>
          <w:tcPr>
            <w:tcW w:w="124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jc w:val="center"/>
              <w:ind w:right="130"/>
              <w:spacing w:after="0" w:line="189" w:lineRule="exact"/>
              <w:rPr>
                <w:sz w:val="20"/>
                <w:szCs w:val="20"/>
                <w:color w:val="auto"/>
              </w:rPr>
            </w:pPr>
            <w:r>
              <w:rPr>
                <w:rFonts w:ascii="Times New Roman" w:cs="Times New Roman" w:eastAsia="Times New Roman" w:hAnsi="Times New Roman"/>
                <w:sz w:val="18"/>
                <w:szCs w:val="18"/>
                <w:i w:val="1"/>
                <w:iCs w:val="1"/>
                <w:color w:val="auto"/>
              </w:rPr>
              <w:t>(Accum.</w:t>
            </w: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i w:val="1"/>
                <w:iCs w:val="1"/>
                <w:color w:val="auto"/>
                <w:w w:val="99"/>
              </w:rPr>
              <w:t>Other Comp.</w:t>
            </w:r>
          </w:p>
        </w:tc>
        <w:tc>
          <w:tcPr>
            <w:tcW w:w="130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98"/>
              </w:rPr>
              <w:t>Total Equity</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200" w:type="dxa"/>
            <w:vAlign w:val="bottom"/>
            <w:tcBorders>
              <w:bottom w:val="single" w:sz="8" w:color="auto"/>
              <w:right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in Capital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Deficit)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Income (Loss)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Interests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22"/>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($0.16 per share)</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0" w:type="dxa"/>
            <w:vAlign w:val="bottom"/>
          </w:tcPr>
          <w:p>
            <w:pPr>
              <w:spacing w:after="0"/>
              <w:rPr>
                <w:sz w:val="1"/>
                <w:szCs w:val="1"/>
                <w:color w:val="auto"/>
              </w:rPr>
            </w:pPr>
          </w:p>
        </w:tc>
      </w:tr>
      <w:tr>
        <w:trPr>
          <w:trHeight w:val="222"/>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($0.16 per share)</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0" w:type="dxa"/>
            <w:vAlign w:val="bottom"/>
          </w:tcPr>
          <w:p>
            <w:pPr>
              <w:spacing w:after="0"/>
              <w:rPr>
                <w:sz w:val="1"/>
                <w:szCs w:val="1"/>
                <w:color w:val="auto"/>
              </w:rPr>
            </w:pPr>
          </w:p>
        </w:tc>
      </w:tr>
      <w:tr>
        <w:trPr>
          <w:trHeight w:val="222"/>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($0.17 per share)</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5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Notes to the Interim Consolidated Financial Statements beginning on page 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Corteva, Inc.</w:t>
      </w:r>
    </w:p>
    <w:p>
      <w:pPr>
        <w:spacing w:after="0" w:line="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Notes to the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06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9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4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51"/>
        </w:trPr>
        <w:tc>
          <w:tcPr>
            <w:tcW w:w="152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72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3"/>
        </w:trPr>
        <w:tc>
          <w:tcPr>
            <w:tcW w:w="880" w:type="dxa"/>
            <w:vAlign w:val="bottom"/>
            <w:gridSpan w:val="4"/>
          </w:tcPr>
          <w:p>
            <w:pPr>
              <w:jc w:val="center"/>
              <w:ind w:left="7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10</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Recent Accounting Guidance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Business Combinations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4</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Revenue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Restructuring and Asset Related Charges - Net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Supplementary Information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Income 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Earnings Per Share of Common Stock</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88"/>
              </w:rPr>
              <w:t>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Accounts and Notes Receivable - Net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Inventories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9"/>
        </w:trPr>
        <w:tc>
          <w:tcPr>
            <w:tcW w:w="92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0000FF"/>
                <w:w w:val="99"/>
              </w:rPr>
              <w:t>11</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Other Intangible Assets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
        </w:trPr>
        <w:tc>
          <w:tcPr>
            <w:tcW w:w="76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Short-Term Borrowings, Long-Term Debt and Available Credit Facilities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Commitments and Contingent Liabilities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Stockholders' Equity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Pension Plans and Other Post Employment Benefits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16</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Financial Instruments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17</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Fair Value Measurements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9"/>
        </w:trPr>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60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Segment Information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generally accepted accounting principles in the United States of America ("GAAP") for interim financial information and the instructions to Form 10-Q and Rule 10-01 of Regulation S-X. In the opinion of management, all adjustments (consisting of normal recurring adjustments) considered necessary for a fair statement of the results for interim periods have been included. Results for interim periods should not be considered indicative of results for a full year. These interim Consolidated Financial Statements should be read in conjunction with the audited Consolidated Financial Statements and Notes thereto contained in the company’s Annual Report on Form 10-K for the year ended December 31, 2023, collectively referred to as the “2023 Annual Report.” The interim Consolidated Financial Statements include the accounts of the company and all of its subsidiaries in which a controlling interest is maintained. The interim Consolidated Financial Statements and other financial information included in this Form 10-Q, unless otherwise specified, have been presented to separately show the effects of discontinued operations.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fourth quarter of 2023, the company made the decision, which was retrospectively applied, to adjust the presentation of the interim Consolidated Statement of Cash Flows to separately present the cash provided by (used for) operating activities – discontinued operations, which was previously presented within cash provided by (used for) operating activities. See Note 13 – Commitments and Contingent Liabilities, to the interim Consolidated Financial Statements, for additional information on discontinued operations activities.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2018, Argentina has been considered a hyper-inflationary economy under U.S. GAAP and therefore the U.S. Dollar (“USD”) is the functional currency for our related subsidiaries. Argentina contributes approximately 4 percent to the company's annual net sales and less than 4 percent to each of the company's annual Seed and Crop Protection segment operating EBITDA. The company remeasures net monetary assets utilizing the official Argentine Peso (“Peso”) to USD exchange rate. The ability to draw down Peso cash balances is limited at this time due to government restrictions and market availability of U.S. Dollars. The devaluation of the Peso relative to the USD over the last several years has resulted in the recognition of exchange losses (refer to Note 6 – Supplementary Information, to the interim Consolidated Financial Statements, and Note 7 – Supplementary Information, to the Consolidated Financial Statements, in the company's 2023 Annual Report). The Argentina government has offered USD-denominated bonds to importers, the proceeds from which could be used to pay off outstanding intercompany payables. During the first quarter of 2024, the company purchased $125 million of these foreign government bonds as part of its strategy to manage its net monetary asset exposure in Argentina. Refer to the “Debt Securities” section in Note 16 - Financial Instruments, to the interim Consolidated Financial Statements, for additional information. As of September 30, 2024, a further 10 percent deterioration in the official Peso to USD exchange rate would not have a significant impact on the USD value of our net monetary assets or pre-tax earnings. The company will continue to assess the implications to our operations and financial reporting.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 ACCOUNTING GUIDANCE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2023, the FASB issued ASU 2023-05, Business Combinations—Joint Venture Formations (Subtopic 805-60): Recognition and Initial Measurement. The amendments in this ASU are intended to facilitate consistency in the application of accounting guidance upon the formation of entities qualifying as joint ventures. It generally requires the use of business combinations accounting at the joint venture formation date, which would result in the contributed assets/liabilities being revalued to fair value and potentially result in the recognition of goodwill and other intangible assets on the joint venture’s financial statements. It does not alter the ongoing accounting for the joint venture’s operations. This guidance is effective for joint ventures with formation dates on or after January 1, 2025. Prospective application is required, with early adoption permitted. Retrospective application can be elected for joint ventures formed before January 1, 2025. Beginning in the third quarter of 2024, newly-formed joint ventures have applied this guidance.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as of September 30, 2024</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requires that an entity disclose specific categories in the effective tax rate reconciliation as well as reconciling items that meet a quantitative threshold. Further, the ASU requires additional disclosures on income tax expense and taxes paid, net of refunds received, by jurisdiction. The new standard is effective for annual periods beginning after December 15, 2024 on a prospective basis with the option to apply it retrospectively. Early adoption is permitted. The adoption of this guidance will result in the company being required to include enhanced income tax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includes amendments that expand the existing reportable segment disclosure requirements and requires disclosure of (i) significant expense categories and amounts by reportable segment as well as the segment’s profit or loss measure(s) that are regularly provided to the chief operating decision maker (the “CODM”) to allocate resources and assess performance; (ii) how the CODM uses each reported segment profit or loss measure to allocate resources and assess performance; (iii) the nature of other segment balances contributing to reported segment profit or loss that are not captured within segment revenues or expenses; and (iv) the title and position of the individual or name of the group or committee identified as the CODM. This guidance requires retrospective application to all prior periods presented in the financial statements and is effective for fiscal years beginning after December 15, 2023 and interim periods within fiscal years beginning after December 15, 2024. Early adoption is permitted. The company will adopt this guidance upon its effective date and will include enhanced disclosures relating to its reportable segments for all subsequent annual and interim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5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March 1, 2023 ("Acquisition Date"), Corteva completed the acquisitions of all the outstanding equity interests in Stoller Group, Inc. (“Stoller”), one of the largest independent companies in the Biologicals industry, and Quorum Vital Investment, S.L. and its affiliates (“Symborg”), an expert in microbiological technologies. The purchase price for Stoller and Symborg was $1,220 million, inclusive of a working capital adjustment, and $370 million, respectively. These acquisitions supplement the Crop Protection business with additional biological tools that complement evolving farming practices.</w:t>
      </w:r>
    </w:p>
    <w:p>
      <w:pPr>
        <w:spacing w:after="0" w:line="21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 finalized the purchase price allocation and assessment of the fair value of the assets acquired and liabilities assumed as of the Acquisition Date in the first quarter of 2024. There were no material adjustments recognized during the measurement period. For additional information regarding the acquisition of Stoller and Symborg, see Note 4 - Business Combinations, to the Consolidated Financial Statements, in the company's 2023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3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or partially unsatisfied performance obligations. The company applies the practical expedient to disclose the transaction price allocated to the remaining performance obligations for only those contracts with an original duration of more than one year. The transaction price allocated to remaining performance obligations with an original duration of more than one year related to material rights granted to customers for contract renewal options were $140 million, $134 million and $135 million at September 30, 2024, December 31, 2023 and September 30, 2023, respectively. The company expects revenue to be recognized for the remaining performance obligations evenly over the period of one year to six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Contract liabilities primarily reflect deferred revenue from prepayments under contracts with customers where the company receives advance payments for products to be delivered in future periods. Corteva classifies deferred revenue as current or noncurrent based on the timing of when the company expects to recognize revenue. Contract assets primarily include amounts related to conditional rights to consideration for completed performance not yet invoiced. Accounts receivable are recorded when the right to consideration becomes unconditional.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180" w:type="dxa"/>
            <w:vAlign w:val="bottom"/>
            <w:tcBorders>
              <w:top w:val="single" w:sz="8" w:color="auto"/>
            </w:tcBorders>
          </w:tcPr>
          <w:p>
            <w:pPr>
              <w:spacing w:after="0"/>
              <w:rPr>
                <w:sz w:val="23"/>
                <w:szCs w:val="23"/>
                <w:color w:val="auto"/>
              </w:rPr>
            </w:pPr>
          </w:p>
        </w:tc>
        <w:tc>
          <w:tcPr>
            <w:tcW w:w="1860" w:type="dxa"/>
            <w:vAlign w:val="bottom"/>
            <w:tcBorders>
              <w:top w:val="single" w:sz="8" w:color="auto"/>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top w:val="single" w:sz="8" w:color="auto"/>
            </w:tcBorders>
          </w:tcPr>
          <w:p>
            <w:pPr>
              <w:spacing w:after="0"/>
              <w:rPr>
                <w:sz w:val="23"/>
                <w:szCs w:val="23"/>
                <w:color w:val="auto"/>
              </w:rPr>
            </w:pPr>
          </w:p>
        </w:tc>
        <w:tc>
          <w:tcPr>
            <w:tcW w:w="186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tcBorders>
          </w:tcPr>
          <w:p>
            <w:pPr>
              <w:spacing w:after="0"/>
              <w:rPr>
                <w:sz w:val="23"/>
                <w:szCs w:val="23"/>
                <w:color w:val="auto"/>
              </w:rPr>
            </w:pPr>
          </w:p>
        </w:tc>
        <w:tc>
          <w:tcPr>
            <w:tcW w:w="18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108"/>
        </w:trPr>
        <w:tc>
          <w:tcPr>
            <w:tcW w:w="5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100" w:type="dxa"/>
            <w:vAlign w:val="bottom"/>
            <w:tcBorders>
              <w:bottom w:val="single" w:sz="8" w:color="auto"/>
              <w:right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10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Accounts and notes receivable - trade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9"/>
        </w:trPr>
        <w:tc>
          <w:tcPr>
            <w:tcW w:w="510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Contract assets - current</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10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Contract assets - noncurrent</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6"/>
        </w:trPr>
        <w:tc>
          <w:tcPr>
            <w:tcW w:w="510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Deferred revenue - noncurrent</w:t>
            </w:r>
            <w:r>
              <w:rPr>
                <w:rFonts w:ascii="Times New Roman" w:cs="Times New Roman" w:eastAsia="Times New Roman" w:hAnsi="Times New Roman"/>
                <w:sz w:val="23"/>
                <w:szCs w:val="23"/>
                <w:color w:val="auto"/>
                <w:vertAlign w:val="superscript"/>
              </w:rPr>
              <w:t>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and notes receivable - net in the interim Consolidated Balance Sheets.</w:t>
      </w:r>
    </w:p>
    <w:p>
      <w:pPr>
        <w:spacing w:after="0" w:line="16"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current assets in the interim Consolidated Balance Sheets.</w:t>
      </w:r>
    </w:p>
    <w:p>
      <w:pPr>
        <w:spacing w:after="0" w:line="8"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interim Consolidated Balance Sheets.</w:t>
      </w:r>
    </w:p>
    <w:p>
      <w:pPr>
        <w:spacing w:after="0" w:line="13"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obligations in the interim Consolidated Balance Sheets.</w:t>
      </w:r>
    </w:p>
    <w:p>
      <w:pPr>
        <w:spacing w:after="0" w:line="25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2024 and 2023 from amounts included in deferred revenue at the beginning of the period was $3,314 million and $3,287 million, respectively.</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3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Corteva's operations are classified into two reportable segments: Seed and Crop Protection. The company disaggregates its revenue by major product line and geographic region, as the company believes it best depicts the nature, amount and timing of its revenue and cash flows. Net sales by major product line are included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2"/>
        </w:trPr>
        <w:tc>
          <w:tcPr>
            <w:tcW w:w="680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Soybean</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oilseeds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Seed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22"/>
        </w:trPr>
        <w:tc>
          <w:tcPr>
            <w:tcW w:w="6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Herbicides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Insecticides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Fungicides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Crop Protection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13,519</w:t>
            </w:r>
          </w:p>
        </w:tc>
        <w:tc>
          <w:tcPr>
            <w:tcW w:w="0" w:type="dxa"/>
            <w:vAlign w:val="bottom"/>
          </w:tcPr>
          <w:p>
            <w:pPr>
              <w:spacing w:after="0"/>
              <w:rPr>
                <w:sz w:val="1"/>
                <w:szCs w:val="1"/>
                <w:color w:val="auto"/>
              </w:rPr>
            </w:pPr>
          </w:p>
        </w:tc>
      </w:tr>
      <w:tr>
        <w:trPr>
          <w:trHeight w:val="538"/>
        </w:trPr>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Sales are attributed to geographic regions based on customer location. Net sales by geographic region and segment are included below:</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80" w:type="dxa"/>
            <w:vAlign w:val="bottom"/>
          </w:tcPr>
          <w:p>
            <w:pPr>
              <w:spacing w:after="0"/>
              <w:rPr>
                <w:sz w:val="14"/>
                <w:szCs w:val="14"/>
                <w:color w:val="auto"/>
              </w:rPr>
            </w:pPr>
          </w:p>
        </w:tc>
        <w:tc>
          <w:tcPr>
            <w:tcW w:w="2040" w:type="dxa"/>
            <w:vAlign w:val="bottom"/>
            <w:tcBorders>
              <w:right w:val="single" w:sz="8" w:color="auto"/>
            </w:tcBorders>
            <w:gridSpan w:val="3"/>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4"/>
                <w:szCs w:val="14"/>
                <w:color w:val="auto"/>
              </w:rPr>
            </w:pPr>
          </w:p>
        </w:tc>
        <w:tc>
          <w:tcPr>
            <w:tcW w:w="2020" w:type="dxa"/>
            <w:vAlign w:val="bottom"/>
            <w:tcBorders>
              <w:right w:val="single" w:sz="8" w:color="auto"/>
            </w:tcBorders>
            <w:gridSpan w:val="3"/>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2"/>
        </w:trPr>
        <w:tc>
          <w:tcPr>
            <w:tcW w:w="6800" w:type="dxa"/>
            <w:vAlign w:val="bottom"/>
            <w:tcBorders>
              <w:right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2"/>
        </w:trPr>
        <w:tc>
          <w:tcPr>
            <w:tcW w:w="6800" w:type="dxa"/>
            <w:vAlign w:val="bottom"/>
            <w:tcBorders>
              <w:right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363"/>
        </w:trPr>
        <w:tc>
          <w:tcPr>
            <w:tcW w:w="6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180" w:type="dxa"/>
            <w:vAlign w:val="bottom"/>
          </w:tcPr>
          <w:p>
            <w:pPr>
              <w:spacing w:after="0"/>
              <w:rPr>
                <w:sz w:val="14"/>
                <w:szCs w:val="14"/>
                <w:color w:val="auto"/>
              </w:rPr>
            </w:pPr>
          </w:p>
        </w:tc>
        <w:tc>
          <w:tcPr>
            <w:tcW w:w="2040" w:type="dxa"/>
            <w:vAlign w:val="bottom"/>
            <w:tcBorders>
              <w:right w:val="single" w:sz="8" w:color="auto"/>
            </w:tcBorders>
            <w:gridSpan w:val="3"/>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4"/>
                <w:szCs w:val="14"/>
                <w:color w:val="auto"/>
              </w:rPr>
            </w:pPr>
          </w:p>
        </w:tc>
        <w:tc>
          <w:tcPr>
            <w:tcW w:w="2020" w:type="dxa"/>
            <w:vAlign w:val="bottom"/>
            <w:tcBorders>
              <w:right w:val="single" w:sz="8" w:color="auto"/>
            </w:tcBorders>
            <w:gridSpan w:val="3"/>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2"/>
        </w:trPr>
        <w:tc>
          <w:tcPr>
            <w:tcW w:w="6800" w:type="dxa"/>
            <w:vAlign w:val="bottom"/>
            <w:tcBorders>
              <w:right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2"/>
        </w:trPr>
        <w:tc>
          <w:tcPr>
            <w:tcW w:w="6800" w:type="dxa"/>
            <w:vAlign w:val="bottom"/>
            <w:tcBorders>
              <w:right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&amp; Canada.</w:t>
      </w:r>
    </w:p>
    <w:p>
      <w:pPr>
        <w:spacing w:after="0" w:line="2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Middle East and Africa ("EMEA").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 AND ASSET RELATED CHARGES - NET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Crop Protection Operations Strategy Restructuring Program</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On November 5, 2023, management of the company approved a plan to further optimize its Crop Protection network of manufacturing and external partners (the "Crop Protection Operations Strategy Restructuring Program"). In October 2024, management of the company amended the Crop Protection Operations Strategy Restructuring Program to include revisions to its previous estimates and decommissioning and demolition costs associated with the ceasing of operations, primarily at the Pittsburg, California site.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expects to record aggregate pre-tax restructuring and asset related charges of $650 million to $700 million, comprised of $85 million to $105 million of severance and related benefit costs, $320 million to $340 million of asset-related and impairment charges and $245 million to $255 million of costs related to exiting the company’s production activities and ceasing operations (inclusive of contract terminations and decommissioning and demolition costs). Decommissioning and demolition costs will be expensed on an as-incurred basis. Reductions in workforce are subject to local regulatory requirements. Through the third quarter of 2024, the company recorded net pre-tax restructuring and asset related charges of $372 million, comprised of $60 million of severance and related benefit costs, $309 million of asset-related and impairment charges and $3 million of costs related to contract terminations. The pre-tax restructuring and asset related charges noted above includes charges relating to spare parts write-offs recognized during the fourth quarter of 2023, which impacted the Crop Protection segment, and were included in cost of goods sold, in the company’s Consolidated Statement of Operations for the year ended December 31, 2023. See Note 23 – Segment Information, to the Consolidated Financial Statements, in the company’s 2023 Annual Report for additional information.</w:t>
      </w:r>
    </w:p>
    <w:p>
      <w:pPr>
        <w:spacing w:after="0" w:line="21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Cash payments related to these charges are anticipated to be $330 million to $360 million, which primarily relate to the payment of severance and related benefits, contract terminations and decommissioning and demolition. Through the third quarter of 2024, the company paid $10 million associated with these charges. The restructuring actions associated with these charges are expected to be substantially complete by the end of 2026.</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following table is a summary of charges incurred related to the Crop Protection Operations Strategy Restructuring Program for the three and nine months ended September 30, 2024.</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0" w:type="dxa"/>
            <w:vAlign w:val="bottom"/>
            <w:tcBorders>
              <w:top w:val="single" w:sz="8" w:color="auto"/>
              <w:right w:val="single" w:sz="8" w:color="auto"/>
            </w:tcBorders>
          </w:tcPr>
          <w:p>
            <w:pPr>
              <w:spacing w:after="0"/>
              <w:rPr>
                <w:sz w:val="16"/>
                <w:szCs w:val="16"/>
                <w:color w:val="auto"/>
              </w:rPr>
            </w:pPr>
          </w:p>
        </w:tc>
        <w:tc>
          <w:tcPr>
            <w:tcW w:w="2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4"/>
        </w:trPr>
        <w:tc>
          <w:tcPr>
            <w:tcW w:w="6600" w:type="dxa"/>
            <w:vAlign w:val="bottom"/>
            <w:tcBorders>
              <w:right w:val="single" w:sz="8" w:color="auto"/>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Severance and related benefit costs</w:t>
            </w:r>
            <w:r>
              <w:rPr>
                <w:rFonts w:ascii="Times New Roman" w:cs="Times New Roman" w:eastAsia="Times New Roman" w:hAnsi="Times New Roman"/>
                <w:sz w:val="23"/>
                <w:szCs w:val="23"/>
                <w:color w:val="auto"/>
                <w:vertAlign w:val="superscript"/>
              </w:rPr>
              <w:t>1</w:t>
            </w:r>
          </w:p>
        </w:tc>
        <w:tc>
          <w:tcPr>
            <w:tcW w:w="20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60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Asset related charges</w:t>
            </w:r>
            <w:r>
              <w:rPr>
                <w:rFonts w:ascii="Times New Roman" w:cs="Times New Roman" w:eastAsia="Times New Roman" w:hAnsi="Times New Roman"/>
                <w:sz w:val="23"/>
                <w:szCs w:val="23"/>
                <w:color w:val="auto"/>
                <w:vertAlign w:val="superscript"/>
              </w:rPr>
              <w:t>2, 3</w:t>
            </w:r>
          </w:p>
        </w:tc>
        <w:tc>
          <w:tcPr>
            <w:tcW w:w="2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and asset related charges - net</w:t>
            </w:r>
          </w:p>
        </w:tc>
        <w:tc>
          <w:tcPr>
            <w:tcW w:w="200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58"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corporate-related charges.</w:t>
      </w:r>
    </w:p>
    <w:p>
      <w:pPr>
        <w:spacing w:after="0" w:line="2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charges associated with the Crop Protection segment.</w:t>
      </w:r>
    </w:p>
    <w:p>
      <w:pPr>
        <w:spacing w:after="0" w:line="13" w:lineRule="exact"/>
        <w:rPr>
          <w:rFonts w:ascii="Times New Roman" w:cs="Times New Roman" w:eastAsia="Times New Roman" w:hAnsi="Times New Roman"/>
          <w:sz w:val="14"/>
          <w:szCs w:val="14"/>
          <w:color w:val="auto"/>
        </w:rPr>
      </w:pPr>
    </w:p>
    <w:p>
      <w:pPr>
        <w:ind w:left="160" w:right="40" w:hanging="152"/>
        <w:spacing w:after="0" w:line="281" w:lineRule="auto"/>
        <w:tabs>
          <w:tab w:leader="none" w:pos="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nine months ended September 30, 2024 include charges of $4 million for decommissioning costs associated with the exit of the company’s production activities at its site in Pittsburg, California.</w:t>
      </w:r>
    </w:p>
    <w:p>
      <w:pPr>
        <w:spacing w:after="0" w:line="20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 reconciliation of the December 31, 2023 to the September 30, 2024 liability balances related to the Crop Protection Operations Strategy Restructuring Program is summarized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Borders>
              <w:top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8"/>
                <w:szCs w:val="18"/>
                <w:i w:val="1"/>
                <w:iCs w:val="1"/>
                <w:color w:val="auto"/>
              </w:rPr>
              <w:t>Severance and Related Benefit</w:t>
            </w:r>
          </w:p>
        </w:tc>
        <w:tc>
          <w:tcPr>
            <w:tcW w:w="20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Asset Related Charges</w:t>
            </w:r>
            <w:r>
              <w:rPr>
                <w:rFonts w:ascii="Times New Roman" w:cs="Times New Roman" w:eastAsia="Times New Roman" w:hAnsi="Times New Roman"/>
                <w:sz w:val="23"/>
                <w:szCs w:val="23"/>
                <w:i w:val="1"/>
                <w:iCs w:val="1"/>
                <w:color w:val="auto"/>
                <w:vertAlign w:val="superscript"/>
              </w:rPr>
              <w:t>1</w:t>
            </w:r>
          </w:p>
        </w:tc>
        <w:tc>
          <w:tcPr>
            <w:tcW w:w="54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vMerge w:val="restart"/>
          </w:tcPr>
          <w:p>
            <w:pPr>
              <w:jc w:val="right"/>
              <w:ind w:right="89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0" w:type="dxa"/>
            <w:vAlign w:val="bottom"/>
          </w:tcPr>
          <w:p>
            <w:pPr>
              <w:spacing w:after="0"/>
              <w:rPr>
                <w:sz w:val="1"/>
                <w:szCs w:val="1"/>
                <w:color w:val="auto"/>
              </w:rPr>
            </w:pPr>
          </w:p>
        </w:tc>
      </w:tr>
      <w:tr>
        <w:trPr>
          <w:trHeight w:val="242"/>
        </w:trPr>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i w:val="1"/>
                <w:iCs w:val="1"/>
                <w:color w:val="auto"/>
              </w:rPr>
              <w:t>Costs</w:t>
            </w: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3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right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Charges to income from continuing operations</w:t>
            </w:r>
          </w:p>
        </w:tc>
        <w:tc>
          <w:tcPr>
            <w:tcW w:w="520" w:type="dxa"/>
            <w:vAlign w:val="bottom"/>
          </w:tcPr>
          <w:p>
            <w:pPr>
              <w:spacing w:after="0"/>
              <w:rPr>
                <w:sz w:val="19"/>
                <w:szCs w:val="19"/>
                <w:color w:val="auto"/>
              </w:rPr>
            </w:pPr>
          </w:p>
        </w:tc>
        <w:tc>
          <w:tcPr>
            <w:tcW w:w="17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2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40" w:type="dxa"/>
            <w:vAlign w:val="bottom"/>
          </w:tcPr>
          <w:p>
            <w:pPr>
              <w:spacing w:after="0"/>
              <w:rPr>
                <w:sz w:val="19"/>
                <w:szCs w:val="19"/>
                <w:color w:val="auto"/>
              </w:rPr>
            </w:pPr>
          </w:p>
        </w:tc>
        <w:tc>
          <w:tcPr>
            <w:tcW w:w="1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shd w:val="clear" w:color="auto" w:fill="CCEEFF"/>
          </w:tcPr>
          <w:p>
            <w:pPr>
              <w:spacing w:after="0"/>
              <w:rPr>
                <w:sz w:val="19"/>
                <w:szCs w:val="19"/>
                <w:color w:val="auto"/>
              </w:rPr>
            </w:pPr>
          </w:p>
        </w:tc>
        <w:tc>
          <w:tcPr>
            <w:tcW w:w="1780" w:type="dxa"/>
            <w:vAlign w:val="bottom"/>
            <w:tcBorders>
              <w:right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2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CCEEFF"/>
          </w:tcPr>
          <w:p>
            <w:pPr>
              <w:spacing w:after="0"/>
              <w:rPr>
                <w:sz w:val="19"/>
                <w:szCs w:val="19"/>
                <w:color w:val="auto"/>
              </w:rPr>
            </w:pPr>
          </w:p>
        </w:tc>
        <w:tc>
          <w:tcPr>
            <w:tcW w:w="1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 write-offs</w:t>
            </w: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right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charges of $4 million for decommissioning costs associated with the exit of the company’s production activities at its site in Pittsburg, California.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Restructuring Actions</w:t>
      </w:r>
    </w:p>
    <w:p>
      <w:pPr>
        <w:spacing w:after="0" w:line="3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 connection with the company’s shift to a global business unit model during 2022, the company assessed its business priorities and operational structure to maximize the customer experience and deliver on growth and earnings potential. As a result of this assessment, the company committed to restructuring actions during the second quarter of 2022, which included the company’s separate announcement to withdraw from Russia (“Russia Exit”) (collectively the “2022 Restructuring Actions”). The company does not anticipate any additional material charges from the 2022 Restructuring Actions as actions associated with this charge are substantially complete.</w:t>
      </w:r>
    </w:p>
    <w:p>
      <w:pPr>
        <w:spacing w:after="0" w:line="21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remaining cash payments related to these charges is $36 million, and primarily relate to the payment of severance and related benefits and contract terminations.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following table is a summary of charges incurred related to the 2022 Restructuring Actions for the three and nine months ended September 30, 2024 and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Severance and related benefit costs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 related charges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80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Contract termination charges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800" w:type="dxa"/>
            <w:vAlign w:val="bottom"/>
            <w:tcBorders>
              <w:bottom w:val="single" w:sz="8" w:color="auto"/>
              <w:right w:val="single" w:sz="8" w:color="auto"/>
            </w:tcBorders>
          </w:tcPr>
          <w:p>
            <w:pPr>
              <w:ind w:left="20"/>
              <w:spacing w:after="0" w:line="222" w:lineRule="exact"/>
              <w:rPr>
                <w:sz w:val="20"/>
                <w:szCs w:val="20"/>
                <w:color w:val="auto"/>
              </w:rPr>
            </w:pPr>
            <w:r>
              <w:rPr>
                <w:rFonts w:ascii="Times New Roman" w:cs="Times New Roman" w:eastAsia="Times New Roman" w:hAnsi="Times New Roman"/>
                <w:sz w:val="18"/>
                <w:szCs w:val="18"/>
                <w:color w:val="auto"/>
              </w:rPr>
              <w:t>Total restructuring and asset related charges - net</w:t>
            </w:r>
            <w:r>
              <w:rPr>
                <w:rFonts w:ascii="Times New Roman" w:cs="Times New Roman" w:eastAsia="Times New Roman" w:hAnsi="Times New Roman"/>
                <w:sz w:val="23"/>
                <w:szCs w:val="23"/>
                <w:color w:val="auto"/>
                <w:vertAlign w:val="superscript"/>
              </w:rPr>
              <w:t>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bl>
    <w:p>
      <w:pPr>
        <w:spacing w:after="0" w:line="71"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corporate-related charges.</w:t>
      </w:r>
    </w:p>
    <w:p>
      <w:pPr>
        <w:spacing w:after="0" w:line="16" w:lineRule="exact"/>
        <w:rPr>
          <w:rFonts w:ascii="Times New Roman" w:cs="Times New Roman" w:eastAsia="Times New Roman" w:hAnsi="Times New Roman"/>
          <w:sz w:val="14"/>
          <w:szCs w:val="14"/>
          <w:color w:val="auto"/>
        </w:rPr>
      </w:pPr>
    </w:p>
    <w:p>
      <w:pPr>
        <w:jc w:val="both"/>
        <w:ind w:left="160" w:right="20" w:hanging="152"/>
        <w:spacing w:after="0" w:line="276" w:lineRule="auto"/>
        <w:tabs>
          <w:tab w:leader="none" w:pos="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nine months ended September 30, 2024, reflects a benefit of $(2) million, associated with sales of inventory previously reserved for impacting the Seed segment. The three and nine months ended September 30, 2023 reflects charges of $1 million and $10 million, respectively, impacting the Seed segment, and $— and $5 million, respectively, impacting the Crop Protection segment.</w:t>
      </w:r>
    </w:p>
    <w:p>
      <w:pPr>
        <w:spacing w:after="0" w:line="149" w:lineRule="exact"/>
        <w:rPr>
          <w:rFonts w:ascii="Times New Roman" w:cs="Times New Roman" w:eastAsia="Times New Roman" w:hAnsi="Times New Roman"/>
          <w:sz w:val="14"/>
          <w:szCs w:val="14"/>
          <w:color w:val="auto"/>
        </w:rPr>
      </w:pPr>
    </w:p>
    <w:p>
      <w:pPr>
        <w:jc w:val="both"/>
        <w:ind w:left="160" w:right="20" w:hanging="152"/>
        <w:spacing w:after="0" w:line="261" w:lineRule="auto"/>
        <w:tabs>
          <w:tab w:leader="none" w:pos="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excludes other pre-tax charges recorded during the nine months ended September 30, 2024 and the three and nine months ended September 30, 2023 impacting the Seed segment included in cost of goods sold and other income (expense) – net, in the company’s interim Consolidated Statement of Operations, relating to inventory write-offs and a loss on the sale of the company's interest in an equity investment. See Note 18 - Segment Information, to the interim Consolidated Financial Statements, for additional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 Related Charges</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company recognized charges (benefits) of $55 million for the nine months ended September 30, 2024, and $(2) million and $66 million for the three and nine months ended September 30, 2023 respectively, in restructuring and asset related charges - net, in the interim Consolidated Statement of Operations, from non-cash accelerated prepaid royalty amortization expense related to Roundup Ready 2 Yield® and Roundup Ready 2 Xtend® herbicide tolerance traits, which as of the end of the second quarter of 2024 is now complete.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SUPPLEMENTARY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 Net</w:t>
            </w: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9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93"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800" w:type="dxa"/>
            <w:vAlign w:val="bottom"/>
            <w:tcBorders>
              <w:right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affiliates - net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sales of businesses and other assets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Net exchange gains (losses)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80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Non-operating pension and other post employment benefit credits (costs)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Miscellaneous income (expenses) - net</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right="20" w:hanging="152"/>
        <w:spacing w:after="0" w:line="262" w:lineRule="auto"/>
        <w:tabs>
          <w:tab w:leader="none" w:pos="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pre-tax exchange gains (losses) of $(26) million and $(54) million associated with impacts from the devaluation of the Argentine Peso for the three and nine months ended September 30, 2024, respectively, and $(83) million and $(150) million for the three and nine months ended September 30, 2023, respectively.</w:t>
      </w:r>
    </w:p>
    <w:p>
      <w:pPr>
        <w:ind w:left="160" w:right="20" w:hanging="152"/>
        <w:spacing w:after="0" w:line="256" w:lineRule="auto"/>
        <w:tabs>
          <w:tab w:leader="none" w:pos="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non-service related components of net periodic benefit credits (costs) (interest cost, expected return on plan assets, amortization of unrecognized gain (loss), amortization of prior service benefit and settlement gain (loss)).</w:t>
      </w:r>
    </w:p>
    <w:p>
      <w:pPr>
        <w:spacing w:after="0" w:line="1" w:lineRule="exact"/>
        <w:rPr>
          <w:rFonts w:ascii="Times New Roman" w:cs="Times New Roman" w:eastAsia="Times New Roman" w:hAnsi="Times New Roman"/>
          <w:sz w:val="14"/>
          <w:szCs w:val="14"/>
          <w:color w:val="auto"/>
        </w:rPr>
      </w:pPr>
    </w:p>
    <w:p>
      <w:pPr>
        <w:jc w:val="both"/>
        <w:ind w:left="160" w:right="20" w:hanging="152"/>
        <w:spacing w:after="0" w:line="260" w:lineRule="auto"/>
        <w:tabs>
          <w:tab w:leader="none" w:pos="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nine months ended September 30, 2024 includes tax indemnification adjustments related to changes in indemnification balances as a result of the application of the terms of the Tax Matters Agreement between Corteva and Dow and/or DuPont ("Tax Indemnification Adjustments"), while the nine months ended September 30, 2024 additionally includes the receipt of an indemnification payment negotiated with the prior Stoller owners and estimated settlement reserves. The three and nine months ended September 30, 2023 includes Tax Indemnification Adjustments and an adjustment to the Employee Retention Credit pursuant to the Coronavirus Aid, Relief, and Economic Security (“CARES”) Act as enhanced by the Consolidated Appropriations Act (“CAA”) and American Rescue Plan Act (“ARPA”) due to a change in estimate as well as estimated settlement reserves. The nine months ended September 30, 2023 also includes gains on the sale of assets, and a loss on the sale of the company's interest in an equity investment.</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interim Consolidated Statements of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Monetary Position Gain (Loss)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Local tax (expenses) benefits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after-tax impact from subsidiary exchange gain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9"/>
        </w:trPr>
        <w:tc>
          <w:tcPr>
            <w:tcW w:w="68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tcBorders>
              <w:right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tcBorders>
              <w:right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tcBorders>
              <w:right w:val="single" w:sz="8" w:color="auto"/>
            </w:tcBorders>
            <w:shd w:val="clear" w:color="auto" w:fill="CCEEFF"/>
          </w:tcPr>
          <w:p>
            <w:pPr>
              <w:spacing w:after="0"/>
              <w:rPr>
                <w:sz w:val="21"/>
                <w:szCs w:val="21"/>
                <w:color w:val="auto"/>
              </w:rPr>
            </w:pP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Hedging Program Gain (Loss)</w:t>
            </w: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(expenses) benefits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after-tax impact from hedging program exchange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9"/>
        </w:trPr>
        <w:tc>
          <w:tcPr>
            <w:tcW w:w="68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r>
      <w:tr>
        <w:trPr>
          <w:trHeight w:val="229"/>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Exchange Gain (Loss)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(expenses) benefits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after-tax exchange gain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6"/>
        </w:trPr>
        <w:tc>
          <w:tcPr>
            <w:tcW w:w="680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tcBorders>
              <w:right w:val="single" w:sz="8" w:color="auto"/>
            </w:tcBorders>
            <w:shd w:val="clear" w:color="auto" w:fill="CCEEFF"/>
          </w:tcPr>
          <w:p>
            <w:pPr>
              <w:spacing w:after="0"/>
              <w:rPr>
                <w:sz w:val="20"/>
                <w:szCs w:val="20"/>
                <w:color w:val="auto"/>
              </w:rPr>
            </w:pP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Adjustment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0" w:type="dxa"/>
            <w:vAlign w:val="bottom"/>
            <w:tcBorders>
              <w:bottom w:val="single" w:sz="8" w:color="auto"/>
              <w:right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right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29"/>
        </w:trPr>
        <w:tc>
          <w:tcPr>
            <w:tcW w:w="68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after-tax exchange gain (loss) attributable to Corteva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equivalents</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equivalents presented in the interim Consolidated Balance Sheets to the total cash, cash equivalents and restricted cash equivalents presented in the interim Consolidated Statements of Cash Flows. Corteva classifies restricted cash equivalents as current or noncurrent based on the nature of the restrictions, which are included in other current assets and other assets, respectively, in the interim 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2"/>
        </w:trPr>
        <w:tc>
          <w:tcPr>
            <w:tcW w:w="53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29"/>
        </w:trPr>
        <w:tc>
          <w:tcPr>
            <w:tcW w:w="5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5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2,776</w:t>
            </w:r>
          </w:p>
        </w:tc>
      </w:tr>
    </w:tbl>
    <w:p>
      <w:pPr>
        <w:spacing w:after="0" w:line="3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Restricted cash equivalents is primarily comprised of a trust funded by EIDP for cash obligations under certain non-qualified benefit and deferred compensation plans due to the Merger, which was a change in control event, and contributions to escrow accounts established for the settlement of certain legal matters and the settlement of legacy PFAS matters and the associated qualified spend. During the second quarter of 2024, the previously-restricted cash in the Water District Settlement Fund, which was established by the settling companies in September 2023 under the Nationwide Water District Settlement, was released. Collective contributions amounted to $1.185 billion, with Chemours contributing 50 percent and DuPont and Corteva collectively contributing the remaining 50 percent pursuant to the terms of the Letter Agreement. All of the company's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restricted cash equivalents are classified as current as of September 30, 2024, December 31, 2023 and September 30, 2023, except for the 2024 contribution to the MOU Escrow Account, which is classified as noncurrent as of September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September 30, 2024, December 31, 2023 and September 30, 2023, accounts payable was $3,753 million, $4,280 million and $3,678 million, respectively, which includes accounts payable - trade of $2,051 million, $2,952 million, and $2,046 million, respectively. Included in accounts payable – trade was seed grower compensation of approximately $214 million, $560 million, and $217 million at September 30, 2024, December 31, 2023 and September 30, 2023, respectively, which is measured at fair value using Level 2 inputs for each period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18.0 percent and 23.1 percent, respectively, and 29.1 percent and 17.2 percent for the three and nine months ended September 30, 2023, respectively.</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$10 million and $25 million, respectively, of net tax benefits for income taxes on continuing operations associated with changes in deferred taxes and accruals for certain prior year tax positions in various jurisdictions as well as from stock-based compensation.</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recognized $11 million and $79 million, respectively, of net tax benefits for income taxes on continuing operations associated with changes in deferred taxes, accruals for certain prior year tax positions in various jurisdictions, stock-based compensation, as well as the impact of changes to deferred taxes associated with a tax currency change for a legal entity.</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routinely uses foreign currency exchange contracts to offset its net exposures, by currency, related to the foreign currency-denominated monetary assets and liabilities. The objective of the program, which resides in the U.S., is to maintain an approximately balanced position in foreign currencies in order to minimize, on an after-tax basis, the effects of exchange rate changes on net monetary asset positions, which can drive material impacts on the company's effective tax rate. For further discussion of pre-tax and after-tax impacts of the company's foreign currency hedging program and net monetary asset programs, refer to Note 6 - Supplementary Information,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 OF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earnings per share calculations for the periods indicated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for Earnings (Loss) Per Share Calculations - Basic and Diluted</w:t>
            </w: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2"/>
        </w:trPr>
        <w:tc>
          <w:tcPr>
            <w:tcW w:w="6800" w:type="dxa"/>
            <w:vAlign w:val="bottom"/>
            <w:tcBorders>
              <w:right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continuing operations noncontrolling interests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available to Corteva common stockholders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available to Corteva common stockholders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80" w:type="dxa"/>
            <w:vAlign w:val="bottom"/>
            <w:tcBorders>
              <w:top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Earnings (Loss) Per Share Calculations - Basic</w:t>
            </w:r>
          </w:p>
        </w:tc>
        <w:tc>
          <w:tcPr>
            <w:tcW w:w="20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10"/>
              <w:spacing w:after="0" w:line="19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00" w:type="dxa"/>
            <w:vAlign w:val="bottom"/>
            <w:tcBorders>
              <w:top w:val="single" w:sz="8" w:color="auto"/>
              <w:right w:val="single" w:sz="8" w:color="auto"/>
            </w:tcBorders>
            <w:gridSpan w:val="3"/>
          </w:tcPr>
          <w:p>
            <w:pPr>
              <w:jc w:val="center"/>
              <w:ind w:right="1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78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2"/>
        </w:trPr>
        <w:tc>
          <w:tcPr>
            <w:tcW w:w="6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per share)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7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Earnings (loss) </w:t>
            </w:r>
            <w:r>
              <w:rPr>
                <w:rFonts w:ascii="Times New Roman" w:cs="Times New Roman" w:eastAsia="Times New Roman" w:hAnsi="Times New Roman"/>
                <w:sz w:val="18"/>
                <w:szCs w:val="18"/>
                <w:color w:val="212529"/>
              </w:rPr>
              <w:t>per share of common stock from continuing operations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1.64</w:t>
            </w:r>
          </w:p>
        </w:tc>
      </w:tr>
      <w:tr>
        <w:trPr>
          <w:trHeight w:val="229"/>
        </w:trPr>
        <w:tc>
          <w:tcPr>
            <w:tcW w:w="6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212529"/>
              </w:rPr>
              <w:t>Earnings (loss) per share of common stock from discontinued operations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67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12529"/>
              </w:rPr>
              <w:t>Earnings (loss) per share of common stock</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1.40</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Earnings (Loss) Per Share Calculations - Diluted</w:t>
            </w: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per share)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common stock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1.63</w:t>
            </w:r>
          </w:p>
        </w:tc>
      </w:tr>
      <w:tr>
        <w:trPr>
          <w:trHeight w:val="229"/>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(loss) per share of common stock from discontinued operations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1.39</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4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Share Count Information</w:t>
            </w:r>
          </w:p>
        </w:tc>
        <w:tc>
          <w:tcPr>
            <w:tcW w:w="2220" w:type="dxa"/>
            <w:vAlign w:val="bottom"/>
            <w:tcBorders>
              <w:top w:val="single" w:sz="8" w:color="auto"/>
              <w:right w:val="single" w:sz="8" w:color="auto"/>
            </w:tcBorders>
            <w:gridSpan w:val="2"/>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0" w:type="dxa"/>
            <w:vAlign w:val="bottom"/>
            <w:tcBorders>
              <w:top w:val="single" w:sz="8" w:color="auto"/>
              <w:right w:val="single" w:sz="8" w:color="auto"/>
            </w:tcBorders>
            <w:gridSpan w:val="2"/>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40" w:type="dxa"/>
            <w:vAlign w:val="bottom"/>
            <w:tcBorders>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0" w:type="dxa"/>
            <w:vAlign w:val="bottom"/>
            <w:tcBorders>
              <w:bottom w:val="single" w:sz="8" w:color="auto"/>
              <w:right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(Shares in millions)</w:t>
            </w:r>
          </w:p>
        </w:tc>
        <w:tc>
          <w:tcPr>
            <w:tcW w:w="11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w:t>
            </w: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691.1</w:t>
            </w: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708.4</w:t>
            </w: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695.8</w:t>
            </w: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710.7</w:t>
            </w:r>
          </w:p>
        </w:tc>
      </w:tr>
      <w:tr>
        <w:trPr>
          <w:trHeight w:val="229"/>
        </w:trPr>
        <w:tc>
          <w:tcPr>
            <w:tcW w:w="6840" w:type="dxa"/>
            <w:vAlign w:val="bottom"/>
            <w:tcBorders>
              <w:bottom w:val="single" w:sz="8" w:color="auto"/>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Plus: dilutive effect of equity compensation plans</w:t>
            </w:r>
            <w:r>
              <w:rPr>
                <w:rFonts w:ascii="Times New Roman" w:cs="Times New Roman" w:eastAsia="Times New Roman" w:hAnsi="Times New Roman"/>
                <w:sz w:val="23"/>
                <w:szCs w:val="23"/>
                <w:color w:val="auto"/>
                <w:vertAlign w:val="superscript"/>
              </w:rPr>
              <w:t>1</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22"/>
        </w:trPr>
        <w:tc>
          <w:tcPr>
            <w:tcW w:w="6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691.1</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708.4</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698.3</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29"/>
        </w:trPr>
        <w:tc>
          <w:tcPr>
            <w:tcW w:w="6840" w:type="dxa"/>
            <w:vAlign w:val="bottom"/>
            <w:tcBorders>
              <w:bottom w:val="single" w:sz="8" w:color="auto"/>
              <w:right w:val="single" w:sz="8" w:color="auto"/>
            </w:tcBorders>
          </w:tcPr>
          <w:p>
            <w:pPr>
              <w:ind w:left="20"/>
              <w:spacing w:after="0" w:line="222" w:lineRule="exact"/>
              <w:rPr>
                <w:sz w:val="20"/>
                <w:szCs w:val="20"/>
                <w:color w:val="auto"/>
              </w:rPr>
            </w:pPr>
            <w:r>
              <w:rPr>
                <w:rFonts w:ascii="Times New Roman" w:cs="Times New Roman" w:eastAsia="Times New Roman" w:hAnsi="Times New Roman"/>
                <w:sz w:val="18"/>
                <w:szCs w:val="18"/>
                <w:color w:val="auto"/>
              </w:rPr>
              <w:t>Potential shares of common stock excluded from EPS calculations</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bl>
    <w:p>
      <w:pPr>
        <w:spacing w:after="0" w:line="58" w:lineRule="exact"/>
        <w:rPr>
          <w:sz w:val="20"/>
          <w:szCs w:val="20"/>
          <w:color w:val="auto"/>
        </w:rPr>
      </w:pPr>
    </w:p>
    <w:p>
      <w:pPr>
        <w:ind w:left="160" w:right="20" w:hanging="152"/>
        <w:spacing w:after="0" w:line="268" w:lineRule="auto"/>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(loss) per share considers the impact of potentially dilutive securities except in periods in which there is a loss because the inclusion of the potential common shares would have an anti-dilutive effect.</w:t>
      </w:r>
    </w:p>
    <w:p>
      <w:pPr>
        <w:spacing w:after="0" w:line="1" w:lineRule="exact"/>
        <w:rPr>
          <w:rFonts w:ascii="Times New Roman" w:cs="Times New Roman" w:eastAsia="Times New Roman" w:hAnsi="Times New Roman"/>
          <w:sz w:val="14"/>
          <w:szCs w:val="14"/>
          <w:color w:val="auto"/>
        </w:rPr>
      </w:pPr>
    </w:p>
    <w:p>
      <w:pPr>
        <w:jc w:val="both"/>
        <w:ind w:left="160" w:right="20" w:hanging="152"/>
        <w:spacing w:after="0" w:line="261" w:lineRule="auto"/>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outstanding potential shares of common stock relating to stock options, restricted stock units and performance-based restricted stock units were excluded from the calculation of diluted earnings (loss) per share because (i) the effect of including them would have been anti-dilutive; and (ii) the performance metrics have not yet been achieved for the outstanding potential shares relating to performance-based restricted stock units, which are deemed to be contingently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ACCOUNTS AND NOTES RECEIVABLE - NET</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2"/>
        </w:trPr>
        <w:tc>
          <w:tcPr>
            <w:tcW w:w="4500" w:type="dxa"/>
            <w:vAlign w:val="bottom"/>
            <w:tcBorders>
              <w:right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Accounts receivable – trade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r>
      <w:tr>
        <w:trPr>
          <w:trHeight w:val="229"/>
        </w:trPr>
        <w:tc>
          <w:tcPr>
            <w:tcW w:w="450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Notes receivable – trade</w:t>
            </w:r>
            <w:r>
              <w:rPr>
                <w:rFonts w:ascii="Times New Roman" w:cs="Times New Roman" w:eastAsia="Times New Roman" w:hAnsi="Times New Roman"/>
                <w:sz w:val="23"/>
                <w:szCs w:val="23"/>
                <w:color w:val="auto"/>
                <w:vertAlign w:val="superscript"/>
              </w:rPr>
              <w:t>1,2</w:t>
            </w:r>
          </w:p>
        </w:tc>
        <w:tc>
          <w:tcPr>
            <w:tcW w:w="220" w:type="dxa"/>
            <w:vAlign w:val="bottom"/>
          </w:tcPr>
          <w:p>
            <w:pPr>
              <w:spacing w:after="0"/>
              <w:rPr>
                <w:sz w:val="19"/>
                <w:szCs w:val="19"/>
                <w:color w:val="auto"/>
              </w:rPr>
            </w:pP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29"/>
        </w:trPr>
        <w:tc>
          <w:tcPr>
            <w:tcW w:w="450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accounts and notes receivable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6,651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5,488</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w:t>
            </w:r>
          </w:p>
        </w:tc>
      </w:tr>
    </w:tbl>
    <w:p>
      <w:pPr>
        <w:spacing w:after="0" w:line="71"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and notes receivable – trade are net of allowances of $188 million, $205 million and $201 million at September 30, 2024, December 31, 2023 and September 30, 2023, respectively.</w:t>
      </w:r>
    </w:p>
    <w:p>
      <w:pPr>
        <w:spacing w:after="0" w:line="16" w:lineRule="exact"/>
        <w:rPr>
          <w:rFonts w:ascii="Times New Roman" w:cs="Times New Roman" w:eastAsia="Times New Roman" w:hAnsi="Times New Roman"/>
          <w:sz w:val="14"/>
          <w:szCs w:val="14"/>
          <w:color w:val="auto"/>
        </w:rPr>
      </w:pPr>
    </w:p>
    <w:p>
      <w:pPr>
        <w:jc w:val="both"/>
        <w:ind w:left="160" w:hanging="152"/>
        <w:spacing w:after="0" w:line="258" w:lineRule="auto"/>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receivable – trade primarily consists of receivables for deferred payment loan programs for the sale of seed and chemical products to customers. These loans have terms of one year or less and are primarily concentrated in North America. The company maintains a rigid approval process for extending credit to customers in order to manage overall risk and exposure associated with credit losses. As of September 30, 2024, December 31, 2023 and September 30, 2023, there were no significant impairments related to current loan agreements.</w:t>
      </w:r>
    </w:p>
    <w:p>
      <w:pPr>
        <w:jc w:val="both"/>
        <w:ind w:left="160" w:hanging="152"/>
        <w:spacing w:after="0" w:line="261" w:lineRule="auto"/>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receivables in relation to indemnification assets, royalties, value added tax, general sales tax and other taxes. No individual group represents more than 5 percent of total current assets. In addition, Other includes amounts due from nonconsolidated affiliates of $145 million, $131 million and $137 million as of September 30, 2024, December 31, 2023 and September 30, 2023, respectively.</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Accounts and notes receivable are carried at the expected amount to be collected, which approximates fair value. The company establishes the allowance for doubtful receivables using a loss-rate method where the loss rate is developed using past events, historical experience, current conditions and forecasts that affect the collectability of the financial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allowance for doubtful receivables 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24065" cy="1776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4065" cy="177673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34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2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29"/>
        </w:trPr>
        <w:tc>
          <w:tcPr>
            <w:tcW w:w="7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r>
      <w:tr>
        <w:trPr>
          <w:trHeight w:val="269"/>
        </w:trPr>
        <w:tc>
          <w:tcPr>
            <w:tcW w:w="73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provision for credit losses</w:t>
            </w:r>
          </w:p>
        </w:tc>
        <w:tc>
          <w:tcPr>
            <w:tcW w:w="182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r>
      <w:tr>
        <w:trPr>
          <w:trHeight w:val="269"/>
        </w:trPr>
        <w:tc>
          <w:tcPr>
            <w:tcW w:w="7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 of write-offs charged against allowance</w:t>
            </w:r>
          </w:p>
        </w:tc>
        <w:tc>
          <w:tcPr>
            <w:tcW w:w="18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23"/>
                <w:szCs w:val="23"/>
                <w:color w:val="auto"/>
              </w:rPr>
            </w:pPr>
          </w:p>
        </w:tc>
      </w:tr>
      <w:tr>
        <w:trPr>
          <w:trHeight w:val="263"/>
        </w:trPr>
        <w:tc>
          <w:tcPr>
            <w:tcW w:w="7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820" w:type="dxa"/>
            <w:vAlign w:val="bottom"/>
            <w:tcBorders>
              <w:bottom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Borders>
              <w:bottom w:val="single" w:sz="8" w:color="auto"/>
            </w:tcBorders>
          </w:tcPr>
          <w:p>
            <w:pPr>
              <w:spacing w:after="0"/>
              <w:rPr>
                <w:sz w:val="22"/>
                <w:szCs w:val="22"/>
                <w:color w:val="auto"/>
              </w:rPr>
            </w:pPr>
          </w:p>
        </w:tc>
      </w:tr>
      <w:tr>
        <w:trPr>
          <w:trHeight w:val="222"/>
        </w:trPr>
        <w:tc>
          <w:tcPr>
            <w:tcW w:w="7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r>
      <w:tr>
        <w:trPr>
          <w:trHeight w:val="229"/>
        </w:trPr>
        <w:tc>
          <w:tcPr>
            <w:tcW w:w="7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provision for credit losses</w:t>
            </w:r>
          </w:p>
        </w:tc>
        <w:tc>
          <w:tcPr>
            <w:tcW w:w="18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69"/>
        </w:trPr>
        <w:tc>
          <w:tcPr>
            <w:tcW w:w="7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net of write-offs charged against allowance</w:t>
            </w:r>
          </w:p>
        </w:tc>
        <w:tc>
          <w:tcPr>
            <w:tcW w:w="182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tcPr>
          <w:p>
            <w:pPr>
              <w:spacing w:after="0"/>
              <w:rPr>
                <w:sz w:val="23"/>
                <w:szCs w:val="23"/>
                <w:color w:val="auto"/>
              </w:rPr>
            </w:pPr>
          </w:p>
        </w:tc>
      </w:tr>
      <w:tr>
        <w:trPr>
          <w:trHeight w:val="269"/>
        </w:trPr>
        <w:tc>
          <w:tcPr>
            <w:tcW w:w="7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2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auto"/>
            </w:tcBorders>
          </w:tcPr>
          <w:p>
            <w:pPr>
              <w:spacing w:after="0"/>
              <w:rPr>
                <w:sz w:val="23"/>
                <w:szCs w:val="23"/>
                <w:color w:val="auto"/>
              </w:rPr>
            </w:pPr>
          </w:p>
        </w:tc>
      </w:tr>
    </w:tbl>
    <w:p>
      <w:pPr>
        <w:spacing w:after="0" w:line="3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its trade receivables under both recourse and non-recourse agreements in exchange for cash proceeds. These financing arrangements result in a transfer of the company's receivables and risks to the third party. As these transfers qualify as true sales under the applicable accounting guidance, the receivables are derecognized from the interim Consolidated Balance Sheets upon transfer, and the company receives a payment for the receivables from the third party within a mutually agreed 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interim Consolidated Balance Sheets.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receivables sold under these agreements were $51 million and $118 million for the three and nine months ended September 30, 2024, respectively, and $57 million and $100 million for the three and nine months ended September 30, 2023, respectively. The trade receivables sold that remained outstanding under these agreements which include an element of recourse as of September 30, 2024, December 31, 2023 and September 30, 2023 were $17 million, $2 million and $19 million, respectively. The net proceeds received are included in cash provided by (used for) operating activities in the interim Consolidated Statements of Cash Flows. The difference between the carrying amount of the trade receivables sold and the sum of the cash received is recorded as a loss on sale of receivables in other income (expense) - net, in the interim Consolidated Statements of Operations. The loss on sale of receivables was $5 million and $8 million for the three and nine months ended September 30, 2024, respectively, and $4 million and $17 million for the three and nine months ended September 30, 2023, respectively. See Note 13 - Commitments and Contingent Liabilities, to the interim Consolidated Financial Statements, for additional information on the company’s guarantees.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2"/>
        </w:trPr>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w:t>
            </w:r>
          </w:p>
        </w:tc>
      </w:tr>
      <w:tr>
        <w:trPr>
          <w:trHeight w:val="229"/>
        </w:trPr>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Semi-finished products</w:t>
            </w:r>
          </w:p>
        </w:tc>
        <w:tc>
          <w:tcPr>
            <w:tcW w:w="220" w:type="dxa"/>
            <w:vAlign w:val="bottom"/>
          </w:tcPr>
          <w:p>
            <w:pPr>
              <w:spacing w:after="0"/>
              <w:rPr>
                <w:sz w:val="19"/>
                <w:szCs w:val="19"/>
                <w:color w:val="auto"/>
              </w:rPr>
            </w:pP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2,785</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2,690</w:t>
            </w:r>
          </w:p>
        </w:tc>
      </w:tr>
      <w:tr>
        <w:trPr>
          <w:trHeight w:val="229"/>
        </w:trPr>
        <w:tc>
          <w:tcPr>
            <w:tcW w:w="4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by major class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8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September 30, 2024</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7"/>
              </w:rPr>
              <w:t>September 30, 2023</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20" w:type="dxa"/>
            <w:vAlign w:val="bottom"/>
            <w:tcBorders>
              <w:right w:val="single" w:sz="8" w:color="auto"/>
            </w:tcBorders>
          </w:tcPr>
          <w:p>
            <w:pPr>
              <w:jc w:val="right"/>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60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20" w:type="dxa"/>
            <w:vAlign w:val="bottom"/>
            <w:tcBorders>
              <w:right w:val="single" w:sz="8" w:color="auto"/>
            </w:tcBorders>
          </w:tcPr>
          <w:p>
            <w:pPr>
              <w:jc w:val="right"/>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60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20" w:type="dxa"/>
            <w:vAlign w:val="bottom"/>
            <w:tcBorders>
              <w:right w:val="single" w:sz="8" w:color="auto"/>
            </w:tcBorders>
          </w:tcPr>
          <w:p>
            <w:pPr>
              <w:jc w:val="right"/>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60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tcBorders>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16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0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 (finite-lived):</w:t>
            </w:r>
          </w:p>
        </w:tc>
        <w:tc>
          <w:tcPr>
            <w:tcW w:w="160" w:type="dxa"/>
            <w:vAlign w:val="bottom"/>
            <w:shd w:val="clear" w:color="auto" w:fill="CCEEFF"/>
          </w:tcPr>
          <w:p>
            <w:pPr>
              <w:spacing w:after="0"/>
              <w:rPr>
                <w:sz w:val="21"/>
                <w:szCs w:val="21"/>
                <w:color w:val="auto"/>
              </w:rPr>
            </w:pPr>
          </w:p>
        </w:tc>
        <w:tc>
          <w:tcPr>
            <w:tcW w:w="64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Germplasm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29"/>
        </w:trPr>
        <w:tc>
          <w:tcPr>
            <w:tcW w:w="30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Customer-related</w:t>
            </w:r>
          </w:p>
        </w:tc>
        <w:tc>
          <w:tcPr>
            <w:tcW w:w="1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29"/>
        </w:trPr>
        <w:tc>
          <w:tcPr>
            <w:tcW w:w="3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19"/>
                <w:szCs w:val="19"/>
                <w:color w:val="auto"/>
              </w:rPr>
            </w:pPr>
          </w:p>
        </w:tc>
        <w:tc>
          <w:tcPr>
            <w:tcW w:w="6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9"/>
                <w:szCs w:val="19"/>
                <w:color w:val="auto"/>
              </w:rPr>
            </w:pP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9"/>
                <w:szCs w:val="19"/>
                <w:color w:val="auto"/>
              </w:rPr>
            </w:pPr>
          </w:p>
        </w:tc>
        <w:tc>
          <w:tcPr>
            <w:tcW w:w="6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30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Trademarks/trade names</w:t>
            </w:r>
          </w:p>
        </w:tc>
        <w:tc>
          <w:tcPr>
            <w:tcW w:w="1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1,697</w:t>
            </w:r>
          </w:p>
        </w:tc>
        <w:tc>
          <w:tcPr>
            <w:tcW w:w="1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6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auto"/>
              <w:right w:val="single" w:sz="8" w:color="auto"/>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68"/>
        </w:trPr>
        <w:tc>
          <w:tcPr>
            <w:tcW w:w="3080" w:type="dxa"/>
            <w:vAlign w:val="bottom"/>
            <w:tcBorders>
              <w:right w:val="single" w:sz="8" w:color="auto"/>
            </w:tcBorders>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other intangible assets with finite</w:t>
            </w:r>
          </w:p>
        </w:tc>
        <w:tc>
          <w:tcPr>
            <w:tcW w:w="16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lives</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12,986</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9,079</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168"/>
        </w:trPr>
        <w:tc>
          <w:tcPr>
            <w:tcW w:w="30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Intangible assets not subject to</w:t>
            </w: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 (indefinite-lived):</w:t>
            </w:r>
          </w:p>
        </w:tc>
        <w:tc>
          <w:tcPr>
            <w:tcW w:w="1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68"/>
        </w:trPr>
        <w:tc>
          <w:tcPr>
            <w:tcW w:w="30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other intangible assets with</w:t>
            </w: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indefinite lives</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9,795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Primarily consists of sales and farmer networks, marketing and manufacturing alliances and noncompetition agreements.</w:t>
      </w:r>
    </w:p>
    <w:p>
      <w:pPr>
        <w:spacing w:after="0" w:line="2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aggregate pre-tax amortization expense from continuing operations for definite-lived intangible assets was $170 million and $521 million for the three and nine months ended September 30, 2024, respectively, and $174 million and $508 million for the three and nine months ended September 30, 2023, respectively. The current estimated aggregate pre-tax amortization expense from continuing operations for the remainder of 2024 and each of the next five years is approximately $164 million, $644 million, $634 million, $574 million, $552 million and $529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SHORT-TERM BORROWINGS, LONG-TERM DEBT AND AVAILABLE CREDIT FACILITIES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Corteva's short-term borrowings and finance lease obligations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810" cy="1212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810" cy="12128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 and finance lease obligations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 w:type="dxa"/>
            <w:vAlign w:val="bottom"/>
            <w:tcBorders>
              <w:top w:val="single" w:sz="8" w:color="auto"/>
              <w:bottom w:val="single" w:sz="8" w:color="auto"/>
            </w:tcBorders>
          </w:tcPr>
          <w:p>
            <w:pPr>
              <w:spacing w:after="0"/>
              <w:rPr>
                <w:sz w:val="19"/>
                <w:szCs w:val="19"/>
                <w:color w:val="auto"/>
              </w:rPr>
            </w:pPr>
          </w:p>
        </w:tc>
      </w:tr>
      <w:tr>
        <w:trPr>
          <w:trHeight w:val="222"/>
        </w:trPr>
        <w:tc>
          <w:tcPr>
            <w:tcW w:w="5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20" w:type="dxa"/>
            <w:vAlign w:val="bottom"/>
          </w:tcPr>
          <w:p>
            <w:pPr>
              <w:spacing w:after="0"/>
              <w:rPr>
                <w:sz w:val="19"/>
                <w:szCs w:val="19"/>
                <w:color w:val="auto"/>
              </w:rPr>
            </w:pPr>
          </w:p>
        </w:tc>
      </w:tr>
      <w:tr>
        <w:trPr>
          <w:trHeight w:val="229"/>
        </w:trPr>
        <w:tc>
          <w:tcPr>
            <w:tcW w:w="5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364-Day Revolving Credit Facility</w:t>
            </w:r>
          </w:p>
        </w:tc>
        <w:tc>
          <w:tcPr>
            <w:tcW w:w="180" w:type="dxa"/>
            <w:vAlign w:val="bottom"/>
          </w:tcPr>
          <w:p>
            <w:pPr>
              <w:spacing w:after="0"/>
              <w:rPr>
                <w:sz w:val="19"/>
                <w:szCs w:val="19"/>
                <w:color w:val="auto"/>
              </w:rPr>
            </w:pPr>
          </w:p>
        </w:tc>
        <w:tc>
          <w:tcPr>
            <w:tcW w:w="1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52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loans - various currencies</w:t>
            </w:r>
          </w:p>
        </w:tc>
        <w:tc>
          <w:tcPr>
            <w:tcW w:w="180" w:type="dxa"/>
            <w:vAlign w:val="bottom"/>
            <w:shd w:val="clear" w:color="auto" w:fill="CCEEFF"/>
          </w:tcPr>
          <w:p>
            <w:pPr>
              <w:spacing w:after="0"/>
              <w:rPr>
                <w:sz w:val="19"/>
                <w:szCs w:val="19"/>
                <w:color w:val="auto"/>
              </w:rPr>
            </w:pPr>
          </w:p>
        </w:tc>
        <w:tc>
          <w:tcPr>
            <w:tcW w:w="18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9"/>
        </w:trPr>
        <w:tc>
          <w:tcPr>
            <w:tcW w:w="5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payable within one year</w:t>
            </w:r>
          </w:p>
        </w:tc>
        <w:tc>
          <w:tcPr>
            <w:tcW w:w="180" w:type="dxa"/>
            <w:vAlign w:val="bottom"/>
          </w:tcPr>
          <w:p>
            <w:pPr>
              <w:spacing w:after="0"/>
              <w:rPr>
                <w:sz w:val="19"/>
                <w:szCs w:val="19"/>
                <w:color w:val="auto"/>
              </w:rPr>
            </w:pPr>
          </w:p>
        </w:tc>
        <w:tc>
          <w:tcPr>
            <w:tcW w:w="1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9"/>
                <w:szCs w:val="19"/>
                <w:color w:val="auto"/>
              </w:rPr>
            </w:pPr>
          </w:p>
        </w:tc>
      </w:tr>
      <w:tr>
        <w:trPr>
          <w:trHeight w:val="229"/>
        </w:trPr>
        <w:tc>
          <w:tcPr>
            <w:tcW w:w="52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payable within one year</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r>
      <w:tr>
        <w:trPr>
          <w:trHeight w:val="229"/>
        </w:trPr>
        <w:tc>
          <w:tcPr>
            <w:tcW w:w="5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finance lease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41210"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246888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right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right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Amount</w:t>
            </w:r>
          </w:p>
        </w:tc>
        <w:tc>
          <w:tcPr>
            <w:tcW w:w="12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Weighted</w:t>
            </w:r>
          </w:p>
        </w:tc>
        <w:tc>
          <w:tcPr>
            <w:tcW w:w="160" w:type="dxa"/>
            <w:vAlign w:val="bottom"/>
          </w:tcPr>
          <w:p>
            <w:pPr>
              <w:spacing w:after="0"/>
              <w:rPr>
                <w:sz w:val="24"/>
                <w:szCs w:val="24"/>
                <w:color w:val="auto"/>
              </w:rPr>
            </w:pPr>
          </w:p>
        </w:tc>
        <w:tc>
          <w:tcPr>
            <w:tcW w:w="8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Amount</w:t>
            </w:r>
          </w:p>
        </w:tc>
        <w:tc>
          <w:tcPr>
            <w:tcW w:w="12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Weighted</w:t>
            </w:r>
          </w:p>
        </w:tc>
        <w:tc>
          <w:tcPr>
            <w:tcW w:w="160" w:type="dxa"/>
            <w:vAlign w:val="bottom"/>
          </w:tcPr>
          <w:p>
            <w:pPr>
              <w:spacing w:after="0"/>
              <w:rPr>
                <w:sz w:val="24"/>
                <w:szCs w:val="24"/>
                <w:color w:val="auto"/>
              </w:rPr>
            </w:pPr>
          </w:p>
        </w:tc>
        <w:tc>
          <w:tcPr>
            <w:tcW w:w="8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Amount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Weighted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Average Rate</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Average Rate</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Average Rate</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 and debentures:</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Maturing in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Maturing in 2026</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Maturing in 2030</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Maturing in 2033</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loans, various rates and maturities</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12.70 %</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Medium-term notes, varying maturities through 2041</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estimated fair value of the company's short-term and long-term borrowings, including interest rate financial instruments, was determined using Level 2 inputs within the fair value hierarchy. Based on quoted market prices for the same or similar issues, or on current rates offered to the company for debt of the same remaining maturities, the fair value of the company's short-term borrowings and finance lease obligations approximated carrying value.</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fair value of the company’s long-term borrowings, including debt due within one year, was $2,437 million, $2,434 million and $2,320 million as of September 30, 2024, December 31, 2023 and September 30,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Offering</w:t>
      </w:r>
    </w:p>
    <w:p>
      <w:pPr>
        <w:spacing w:after="0" w:line="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May 2023, the company issued $600 million of 4.50 percent Senior Notes due in 2026 and $600 million of 4.80 percent Senior Notes due in 2033 (the “May 2023 Debt Offering”). The proceeds of this offering were used for general corporate purposes, including funding of working capital, capital expenditures and share repurchases.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Loans</w:t>
      </w:r>
    </w:p>
    <w:p>
      <w:pPr>
        <w:spacing w:after="0" w:line="2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company enters into short-term and long-term foreign currency loans from time-to-time by accessing uncommitted revolving credit lines to fund working capital needs of foreign subsidiaries in the normal course of business (“Foreign Currency Loans”). Interest rates are variable and determined at the time of borrowing. Total unused bank credit lines on the Foreign Currency Loans at September 30, 2024 was approximately $38 million. The company’s Foreign Currency Loans have varying maturities through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Committed Credit Facilities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41210" cy="1042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04203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Committed and Available Credit Facilities at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i w:val="1"/>
                <w:iCs w:val="1"/>
                <w:color w:val="auto"/>
              </w:rPr>
              <w:t>Committed</w:t>
            </w:r>
          </w:p>
        </w:tc>
        <w:tc>
          <w:tcPr>
            <w:tcW w:w="1320" w:type="dxa"/>
            <w:vAlign w:val="bottom"/>
            <w:tcBorders>
              <w:top w:val="single" w:sz="8" w:color="auto"/>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Credit Available</w:t>
            </w:r>
          </w:p>
        </w:tc>
        <w:tc>
          <w:tcPr>
            <w:tcW w:w="1440" w:type="dxa"/>
            <w:vAlign w:val="bottom"/>
            <w:tcBorders>
              <w:top w:val="single" w:sz="8" w:color="auto"/>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Maturity Date</w:t>
            </w:r>
          </w:p>
        </w:tc>
        <w:tc>
          <w:tcPr>
            <w:tcW w:w="130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6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Credit</w:t>
            </w:r>
          </w:p>
        </w:tc>
        <w:tc>
          <w:tcPr>
            <w:tcW w:w="1320" w:type="dxa"/>
            <w:vAlign w:val="bottom"/>
            <w:tcBorders>
              <w:bottom w:val="single" w:sz="8" w:color="auto"/>
              <w:right w:val="single" w:sz="8" w:color="auto"/>
            </w:tcBorders>
            <w:gridSpan w:val="2"/>
            <w:vMerge w:val="continue"/>
          </w:tcPr>
          <w:p>
            <w:pPr>
              <w:spacing w:after="0"/>
              <w:rPr>
                <w:sz w:val="21"/>
                <w:szCs w:val="21"/>
                <w:color w:val="auto"/>
              </w:rPr>
            </w:pPr>
          </w:p>
        </w:tc>
        <w:tc>
          <w:tcPr>
            <w:tcW w:w="1440" w:type="dxa"/>
            <w:vAlign w:val="bottom"/>
            <w:tcBorders>
              <w:bottom w:val="single" w:sz="8" w:color="auto"/>
              <w:right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3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4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2029</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 Rate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46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2027</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Floating Rate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364-Day Revolving Credit Facility</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2024</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 Rate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Committed and Available Credit Facilities</w:t>
            </w:r>
          </w:p>
        </w:tc>
        <w:tc>
          <w:tcPr>
            <w:tcW w:w="14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5,750</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May 2022, the company entered into a $3 billion, five-year revolving credit facility and a $2 billion, three-year revolving credit facility (the “Revolving Credit Facilities”) expiring in May 2027 and May 2025, respectively. Borrowings under the Revolving Credit Facilities will have an interest rate equal to Adjusted Term SOFR, which is Term SOFR plus 0.10 percent,</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plus the applicable margin. 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 billion.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September 30, 2024, the company was in compliance with these covenants.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Revolving Credit Facility</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2024, the company amended and restated its July 2023 (as amended in July 2023 and January 2024) 364-day revolving credit agreement (the “364-Day Revolving Credit Facility”) increasing the facility amount to $1 billion and extending the expiration date to February 2025. Borrowings under the 364-Day Revolving Credit Facility will have an interest rate equal to Adjusted Term SOFR, which is Term SOFR plus 0.10 percent, plus the applicable margin. The 364-Day Revolving Credit Facility includes a provision under which the company may convert any advances outstanding prior to the maturity date into term loans having a maturity date up to one year later. In February 2023, the company drew down $1 billion under the 364-Day Revolving Credit Facility, which was used for general corporate purposes, including funding seasonal working capital needs, capital spending, dividend payments, share repurchases and to partially fund the Stoller and Symborg acquisitions. In May 2023, the company repaid the $1 billion loan using the proceeds from the May 2023 Debt Offering.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September 30, 2024, the company was in compliance with these covenants.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CONTINGENT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divestitures,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See below for additional information relating to the indemnification obligations under the Chemours Separation Agreement and the Corteva Separation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Supplier Finance Programs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supplier finance programs with various finance providers in which the company agrees to pay these finance providers the stated amount of confirmed invoices from participating suppliers by the original maturity date. The company or the financial provider may terminate the agreement upon providing at least thirty days’ written notice. The payment terms that the company has with its finance providers under supplier finance programs are less than one year. At September 30, 2024, December 31, 2023 and September 30, 2023, the outstanding obligations under supplier finance programs was $124 million, $115 million and $115 million, respectively, and included within accounts payable in the interim Consolidated Balance Sheets.</w:t>
      </w: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rollforward of the company’s outstanding obligations confirmed as valid under its supplier finance programs for the period ended September 30,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24065" cy="76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4065" cy="76009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December 31, 2023</w:t>
            </w:r>
          </w:p>
        </w:tc>
        <w:tc>
          <w:tcPr>
            <w:tcW w:w="3640" w:type="dxa"/>
            <w:vAlign w:val="bottom"/>
            <w:tcBorders>
              <w:top w:val="single" w:sz="8" w:color="auto"/>
              <w:right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364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460</w:t>
            </w:r>
          </w:p>
        </w:tc>
        <w:tc>
          <w:tcPr>
            <w:tcW w:w="20" w:type="dxa"/>
            <w:vAlign w:val="bottom"/>
          </w:tcPr>
          <w:p>
            <w:pPr>
              <w:spacing w:after="0"/>
              <w:rPr>
                <w:sz w:val="19"/>
                <w:szCs w:val="19"/>
                <w:color w:val="auto"/>
              </w:rPr>
            </w:pP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36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7"/>
              </w:rPr>
              <w:t>(451)</w:t>
            </w:r>
          </w:p>
        </w:tc>
        <w:tc>
          <w:tcPr>
            <w:tcW w:w="20" w:type="dxa"/>
            <w:vAlign w:val="bottom"/>
          </w:tcPr>
          <w:p>
            <w:pPr>
              <w:spacing w:after="0"/>
              <w:rPr>
                <w:sz w:val="19"/>
                <w:szCs w:val="19"/>
                <w:color w:val="auto"/>
              </w:rPr>
            </w:pPr>
          </w:p>
        </w:tc>
      </w:tr>
      <w:tr>
        <w:trPr>
          <w:trHeight w:val="22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September 30, 2024</w:t>
            </w:r>
          </w:p>
        </w:tc>
        <w:tc>
          <w:tcPr>
            <w:tcW w:w="36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6"/>
              </w:rPr>
              <w:t>124</w:t>
            </w:r>
          </w:p>
        </w:tc>
        <w:tc>
          <w:tcPr>
            <w:tcW w:w="20" w:type="dxa"/>
            <w:vAlign w:val="bottom"/>
          </w:tcPr>
          <w:p>
            <w:pPr>
              <w:spacing w:after="0"/>
              <w:rPr>
                <w:sz w:val="19"/>
                <w:szCs w:val="19"/>
                <w:color w:val="auto"/>
              </w:rPr>
            </w:pPr>
          </w:p>
        </w:tc>
      </w:tr>
      <w:tr>
        <w:trPr>
          <w:trHeight w:val="861"/>
        </w:trPr>
        <w:tc>
          <w:tcPr>
            <w:tcW w:w="4860" w:type="dxa"/>
            <w:vAlign w:val="bottom"/>
          </w:tcPr>
          <w:p>
            <w:pPr>
              <w:spacing w:after="0"/>
              <w:rPr>
                <w:sz w:val="24"/>
                <w:szCs w:val="24"/>
                <w:color w:val="auto"/>
              </w:rPr>
            </w:pPr>
          </w:p>
        </w:tc>
        <w:tc>
          <w:tcPr>
            <w:tcW w:w="364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8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Customers and Other Third Parties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directly guaranteed various debt obligations under agreements with third parties related to customers and other third parties. At September 30, 2024, December 31, 2023 and September 30, 2023, the company had directly guaranteed $75 million, $84 million and $73 million, respectively, of such obligations. These amounts represent the maximum potential amount of future (undiscounted) payments that the company could be required to make under the guarantees in the event of default by the guaranteed party. Of the maximum future payments at September 30, 2024, approximately $15 million had terms greater than one year. The maximum future payments include $4 million, $2 million and $4 million at September 30, 2024, December 31, 2023 and September 30, 2023, respectively, of guarantees related to the various factoring agreements into which the company enters with third-party financial institutions to sell its trade receivables. See Note 9 - Accounts and Notes Receivable - Net, to the interim Consolidated Financial Statements, for additional information.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maximum future payments also include agreements with lenders to establish programs that provide financing for select customers. The terms of the guarantees are equivalent to the terms of the customer loans that are primarily made to finance customer invoices. The total amounts owed from customers to the lenders relating to these agreements was $598 million, $187 million and $492 million at September 30, 2024, December 31, 2023 and September 30, 2023, respectively.</w:t>
      </w:r>
    </w:p>
    <w:p>
      <w:pPr>
        <w:spacing w:after="0" w:line="2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under Separation Agreements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agreements where the company is indemnified for certain liabilities. The term of this indemnification is generally indefinite, with exceptions, and includes defense costs and expenses, as well as monetary and non-monetary settlements and judgments. In connection with the recognition of liabilities related to these matters, the company records an indemnification asset when recovery is deemed probable.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Chemours Separation Agreement (Performance Chemicals)</w:t>
      </w:r>
    </w:p>
    <w:p>
      <w:pPr>
        <w:spacing w:after="0" w:line="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Chemours Separation Agreement resulting from the 2015 spin-off of the Performance Chemicals segment from Historical DuPont, Chemours indemnifies the company against certain litigation, environmental, workers' compensation and other liabilities that arose prior to the distribution.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2017, the Chemours Separation Agreement was amended to provide for a limited sharing of potential future liabilities related to alleged historical releases of perfluorooctanoic acids and its ammonium salts (“PFOA”) for a five-year period that began on July 6, 2017. In addition, in 2017, Chemours and EIDP settled multi-district litigation in the U.S. District Court for the Southern District of Ohio (“Ohio MDL”), resolving claims of about 3,550 plaintiffs alleging injury from exposure to PFOA in drinking water as a result of the historical manufacture or use of PFOA at the Washington Works plant outside Parkersburg, West Virginia. This plant was previously owned and/or operated by the Performance Chemicals segment of EIDP and is now owned and/or operated by Chemours.</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13, 2019, Chemours filed suit in the Delaware Court of Chancery against DuPont, EIDP, and Corteva, seeking, among other things, to limit its responsibility for the litigation and environmental liabilities allocated to and assumed by Chemours under the Chemours Separation Agreement (the “Delaware Litigation”). On March 30, 2020, the Court of Chancery granted a motion to dismiss. On December 15, 2020, the Delaware Supreme Court affirmed the judgment of the Court of Chancery. Meanwhile, a confidential arbitration process regarding the same and other claims proceeded (the “Arbitration”).</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22, 2021, Chemours, DuPont, Corteva and EIDP entered into a binding memorandum of understanding containing a settlement to resolve legal disputes originating from the Delaware Litigation and Arbitration, and to establish a cost sharing arrangement and escrow account to be used to support and manage potential future legacy per- and polyfluoroalkyl substances (“PFAS”) liabilities arising out of pre-July 1, 2015 conduct (the “MOU”). The MOU replaced the 2017 amendment to the Chemours Separation Agreement. According to the terms of the cost sharing arrangement within the MOU, Corteva and DuPont together, on one hand, and Chemours, on the other hand, agreed to a 50-50 split of certain qualified expenses related to PFAS liabilities incurred over a term not to exceed twenty years or $4 billion of qualified spend and escrow account contributions (see below for discussion of the escrow account) in the aggregate. DuPont’s and Corteva’s 50% share under the MOU will be limited to $2 billion, including qualified expenses and escrow account contributions. These expenses and escrow account contributions will be subject to the existing Letter Agreement, under which DuPont and Corteva will each bear 50% of the first $300 million (up to $150 million each), and thereafter DuPont bears 71% and Corteva bears the remaining 29%. Under the terms of the MOU, Corteva’s estimated aggregate share of the potential $2 billion is approximately $600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support and manage any potential future PFAS liabilities, the parties also agreed to establish an escrow account (“MOU Escrow Account”). The MOU provides that (1) no later than each of September 30, 2021 and September 30, 2022, Chemours shall deposit $100 million into an escrow account and DuPont and Corteva shall together deposit $100 million in the aggregate into an escrow account and (2) no later than September 30 of each subsequent year through and including 2028, Chemours shall deposit $50 million into an escrow account and DuPont and Corteva shall together deposit $50 million in the aggregate into an escrow account. Subject to the terms and conditions set forth in the MOU, each party may be permitted to defer funding in any year (excluding 2021). Over this period, Chemours will deposit a total of $500 million in the account and DuPont and Corteva will deposit an additional $500 million pursuant to the terms of the Letter Agreement. Additionally, if on December 31, 2028, the balance of the escrow account (including interest) is less than $700 million, Chemours will make 50% of the deposits and DuPont and Corteva together will make 50% of the deposits necessary to restore the balance of the escrow account to $700 million, pursuant to the terms of the Letter Agreement. Such payments will be made in a series of consecutive annual equal installments commencing on September 30, 2029, pursuant to the escrow account replenishment terms as set forth in the MOU. The MOU provides that no withdrawals from the MOU Escrow Account can be made before year six, except to fund mutually agreed upon third-party settlements in excess of $125 million. Starting with year six, withdrawals can only be made to fund qualified spend if the parties’ aggregate qualified spend in that particular year is greater than $200 million. Beginning with year 11, the amounts in the MOU Escrow Account can be used to fund any qualified spend. The company made its annual installment deposits due to the MOU Escrow Account through September 30, 2024.</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Corteva, EIDP, DuPont, and Chemours received a final judgment resolving all drinking water claims related to PFAS of a defined class of U.S. public water systems that serve the vast majority of the United States population (the “Nationwide Water District Settlement”). In connection with the Nationwide Water District Settlement, the MOU was supplemented to waive funding due to the MOU Escrow Account by Chemours, DuPont and Corteva for 2023 provided that each party fully funds its portion of the Nationwide Water District Settlement and said settlement is consummated. The funding obligation to the MOU Escrow Account with respect to 2024 and due September 30, 2024 was to be waived if (i) between October 1, 2023 and September 30, 2024, the parties had entered into settlement agreements resolving liabilities under the MOU that in the aggregate exceed $100 million; (ii) each company had fully funded its respective share, in accordance with the MOU, of such settlements; and (iii) such settlements were consummated. No such waiver was triggered for the 2024 escrow funding obligation due September 30, 2024 and, therefore, the company made its required contribution.</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After the term of this arrangement, Chemours’ indemnification obligations under the original 2015 Chemours Separation Agreement, would continue unchanged, subject in each case to certain exceptions set out in the MOU. Under the MOU, Chemours waived specified claims regarding the construct of its 2015 spin-off transaction, and the parties dismissed the pending arbitration regarding those claims. Additionally, the parties have agreed to resolve the Ohio MDL PFOA personal injury litigation (as discussed below). The parties are expected to cooperate in good faith to enter into additional agreements reflecting the terms set forth in the MOU.</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Corteva Separation Agreement</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1, 2019, in connection with the Dow Distribution, Corteva, DuPont and Dow entered into the Corteva Separation Agreement, the Tax Matters Agreement ("TMA"), the Employee Matters Agreement, and certain other agreements (collectively, the “Corteva Separation Agreements”). The Corteva Separation Agreements allocate among Corteva, DuPont and Dow assets, employees, certain liabilities and obligations (including its investments, property and employee benefits and tax-related assets and liabilities) and provides for indemnification obligation among the parties. Under the Corteva Separation Agreement, DuPont indemnifies Corteva against certain litigation, environmental, tax, workers' compensation and other liabilities that arose prior to the Corteva Distribution, Dow indemnifies Corteva against certain litigation, environmental, tax, workers' compensation and other liabilities that relate to the Historical Dow business, and Corteva indemnifies DuPont and Dow for certain liabilities.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Indemnification matters under the Corteva Separation Agreements contain dispute resolution clauses. Corteva and DuPont are pursuing a resolution of a matter under the terms of the TMA. The company believes its interpretation of the TMA is correct, but it is reasonably possible that the required third party assessment may differ from our interpretation, which could have a significant impact to the current carrying value of our indemnification liability. Under the terms of the TMA, the dispute resolution process is expected to be concluded in the first half of 2025.</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Corteva Separation Agreements, certain legacy EIDP liabilities from discontinued and/or divested operations and businesses of EIDP (including Performance Chemicals) (a “stray liability”) were allocated to Corteva or DuPont. For those stray liabilities allocated to Corteva and DuPont (which may include a specified amount of liability associated with that liability), Corteva and DuPont are responsible for liabilities in an amount up to that specified amount plus an additional $200 million each. Once each company has met the $200 million threshold, Corteva and DuPont will share future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proportionally on the basis of 29% and 71%, respectively; provided, however, that for PFAS, DuPont managed such liabilities with Corteva and DuPont sharing the costs on a 50% - 50% basis starting from $1 and up to $300 million (with such amount, up to $150 million, to be credited to each company’s $200 million threshold) and once the $300 million threshold was met, the companies share proportionally on the basis of 29% and 71% respectively, subject to a $1 million de minimis requirement. The aggregate amount of cash remitted by Corteva has exceeded the stray liability thresholds, including PFAS, noted above.</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September 30, 2024, December 31, 2023 and September 30, 2023, the indemnification assets were $36 million, $44 million and $36 million, respectively, within accounts and notes receivable - net and $129 million, $104 million and $126 million, respectively, within other assets in the interim Consolidated Balance Sheets. At September 30, 2024, December 31, 2023 and September 30, 2023, the indemnification liabilities were $19 million, $30 million and $38 million, respectively, within accrued and other current liabilities and $141 million, $106 million and $108 million, respectively, within other noncurrent obligations in the interim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 Activity</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recorded benefits (charges) of $(2) million and $45 million for the three and nine months ended September 30, 2024, respectively, and $(3) million and $(174) million, respectively, for the three and nine months ended September 30, 2023 to income (loss) from discontinued operations after income taxes, in the interim Consolidated Statements of Operations. The after-tax charge for the three months ended September 30, 2024 was primarily driven by litigation-related activity. The after-tax benefits recognized during the nine months ended September 30, 2024 was driven by charges recognized relating to the MOU with Chemours and DuPont relating to PFAS environmental remediation activities primarily at Chemours' Fayetteville Works facility and litigation-related activity, more than offset by a favorable adjustment of certain prior year tax positions for previously divested businesses and the derecognition of an indemnification liability associated with the Water District Settlement Fund contribution. The after-tax charges recognized during the three and nine months ended September 30, 2023 primarily related to the settlement of certain legacy PFAS related legal matters that are subject to the MOU, including the Nationwide Water District Settlement.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Litigation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the separation of Corteva from DuPont. It is not possible to predict the outcome of these various proceedings, as considerable uncertainty exists. The company records accruals for legal matters when the information available indicates that it is probable that a liability has been incurred and the amount of the loss can be reasonably estimated. Accruals may reflect the impact and status of negotiations, settlements, rulings, advice from counsel and other information and events that may pertain to a particular matter. For the litigation matters discussed below, management believes that it is reasonably possible that the company could incur liabilities in excess of amounts accrued, for which the ultimate liability could be material to the results of operations and the cash flows in the period recognized. However, the company is unable to estimate the possible loss beyond amounts accrued due to various reasons, including, among others, that the underlying matters are either in early stages and/or have significant factual issues to be resolved. In addition, even when the company believes it has substantial defenses, the company may consider settlement of matters if it believes it is in the best interest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Lorsban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Lawsuits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there were pending personal injury lawsuits filed and additional asserted claims against the former Dow Agrosciences LLC, alleging injuries related to chlorpyrifos exposure, the active ingredient in Lorsban®, an insecticide used by commercial farms for field fruit, nut and vegetable crops. Corteva ended its production of Lorsban® in 2020. Chlorpyrifos products are restricted-use pesticides, which are not available for purchase or use by the general public, and may only be sold to, and used by, certified applicators or someone under the certified applicator's direct supervision. These lawsuits do not relate to Dursban®, a residential type chlorpyrifos product that was authorized for indoor purposes, which was discontinued over two decades ago prior to the Merger and Corteva’s formation and Separation. Claimants allege personal injury, including autism, developmental delays and/or decreased neurologic function, resulting from farm worker exposure and bystander drift and in utero exposure to chlorpyrifos. Certain claimants have also put forth remediation claims due to alleged property contamination from chlorpyrifos. As of September 30, 2024, an accrual has been established for the estimated resolution of certain claims.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Trade Commission Investigation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26, 2020, Corteva received a subpoena from the Federal Trade Commission (“FTC”) directing it to submit documents pertaining to its Crop Protection products generally, as well as business plans, rebate programs, offers, pricing and marketing materials specifically related to its acetochlor, oxamyl, rimsulfuron and other related products in order to determine whether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Corteva engaged in unfair methods of competition through anticompetitive conduct. Corteva has fully cooperated with all requests related to this subpoena. On September 29, 2022, the FTC, along with ten state attorneys general in California, Colorado, Illinois, Indiana, Iowa, Minnesota, Nebraska, Oregon, Wisconsin, and Texas, filed a lawsuit against Corteva and another competitor alleging the parties engaged in unfair methods of competition, unlawful conditioning of payments, unreasonably restrained trade, and have an unlawful monopoly (the “FTC lawsuit”). In December 2022, attorneys general in Tennessee and Washington joined the FTC lawsuit and the Arkansas state attorney general filed a separate lawsuit against Corteva and another competitor based on the allegations set forth in the FTC lawsuit. Several proposed private class action lawsuits were also filed in federal court alleging anticompetitive conduct based on the allegations set forth in the FTC lawsuit.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Virtually all of these private lawsuits were centralized into a multi-district litigation in the U.S. District Court for the Middle District of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Corteva expects to continue a meritorious defense of its business practices.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Dispute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2022, Bayer filed a breach of contract/declaratory judgment lawsuit in Delaware state court against Corteva relating to an agrobacterium cross-license agreement and E3® soybeans. Bayer alleges that Corteva practiced two Bayer patents in developing E3® soybeans, and therefore, is entitled to royalties pursuant to the terms of the cross-license agreement. In April 2023, Corteva's motion to dismiss the complaint on the basis that, under the terms of the cross-license agreement and the law, E3® soybeans cannot infringe expired patents was denied. At that time the court also denied Bayer’s motion to dismiss our invalidity counterclaim. Recently Corteva asserted a counterclaim against Bayer for inequitable conduct during the patent prosecution process, which Bayer has moved to dismiss. A ruling on the patent claims construction is expected by the end of 2024 and the trial date is currently scheduled for June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legacy EIDP businesses unrelated to Corteva’s current businesses</w:t>
      </w:r>
    </w:p>
    <w:p>
      <w:pPr>
        <w:spacing w:after="0" w:line="2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purposes of this report, the term PFOA means collectively perfluorooctanoic acid and its salts, including the ammonium salt and does not distinguish between the two forms, and PFAS, including PFOA, PFOS (perfluorooctanesulfonic acid), GenX and other perfluorinated chemicals and compounds ("PFCs").</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EIDP is a party to various legal proceedings relating to the use of PFOA by its former Performance Chemicals segment for which potential liabilities would be subject to the cost sharing arrangement under the MOU as long as it remains effective.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Leach Settlement and Ohio MDL Settlement</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EIDP has residual liabilities under its 2004 settlement of a West Virginia state court class action, Leach v. EIDP, which alleged that PFOA from EIDP’s former Washington Works facility had contaminated area drinking water supplies and affected the health of area residents. The settlement class has about 80,000 members. In addition to relief that was provided to class members years ago, the settlement requires EIDP to continue providing PFOA water treatment to six area water districts and private well users and to fund, through an escrow account, up to $235 million for a medical monitoring program for eligible class members. As of September 30, 2024, approximately $2 million had been disbursed from the account since its establishment in 2012 and the remaining balance is approximately $1 million.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Leach settlement permits class members to pursue personal injury claims for six health conditions (and no others) that an expert panel appointed under the settlement reported in 2012 had a “probable link” (as defined in the settlement) with PFOA: pregnancy-induced hypertension, including preeclampsia; kidney cancer; testicular cancer; thyroid disease; ulcerative colitis; and diagnosed high cholesterol. After the panel reported its findings, approximately 3,550 personal injury lawsuits were filed in federal and state courts in Ohio and West Virginia and consolidated in multi-district litigation in the U.S. District Court for the Southern District of Ohio (“Ohio MDL”). The Ohio MDL was settled in early 2017 for approximately $670 million in cash, with Chemours and EIDP (without indemnification from Chemours) each paying half.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Post-MDL Settlement PFOA Personal Injury Claims</w:t>
      </w:r>
    </w:p>
    <w:p>
      <w:pPr>
        <w:spacing w:after="0" w:line="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2017 Ohio MDL settlement did not resolve claims of plaintiffs who did not have claims in the Ohio MDL or whose claims are based on diseases first diagnosed after February 11, 2017.</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January 2021, Chemours, DuPont and Corteva agreed to settle approximately 95 filed and unfiled matters remaining in the Ohio MDL for $83 million, with Chemours contributing $29 million to the settlement, and DuPont and Corteva contributing $27 million each. The company paid $27 million during the year ended December 31, 2021. The defendants have reached a tentative settlement of all of the currently filed and unfiled personal injury cases in the Ohio MDL contingent upon the court dissolving the MDL. As of September 30, 2024, an accrual has been established for the estimated resolution of these claims.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PFOA Matters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EIDP is a party to other PFOA lawsuits involving claims for property damage, medical monitoring and personal injury. Defense costs and any future liabilities that may arise out of these lawsuits are subject to the MOU and the cost sharing arrangement disclosed above. Under the MOU, fraudulent conveyance claims associated with these matters are not qualified expenses, unless Corteva, Inc. and EIDP would prevail on the merits of these claims.</w:t>
      </w:r>
    </w:p>
    <w:p>
      <w:pPr>
        <w:spacing w:after="0" w:line="21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EIDP did not make any film-forming foams, PFOS, or PFOS products. While EIDP made surfactants and intermediaries that some manufacturers used in making foams, which may have contained PFOA as an unintended byproduct or an impurity, EIDP’s products were not formulated with PFOA, nor was PFOA an ingredient of these products. EIDP has never made or sold PFOA as a commercial product.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April 2024, the U.S. Environmental Protection Agency ("EPA") announced that it established a maximum contaminant level in drinking water for certain PFOA, including four parts per trillion for PFOA and PFOS, individually, and ten parts per trillion for Dimer Acid (“GenX”). In April 2024, the EPA also designated PFOA and PFAS as hazardous substances under the Comprehensive Environmental Response, Compensation, and Liability Act (“CERCLA”).</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Aqueous Film-Forming Foams. </w:t>
      </w:r>
      <w:r>
        <w:rPr>
          <w:rFonts w:ascii="Times New Roman" w:cs="Times New Roman" w:eastAsia="Times New Roman" w:hAnsi="Times New Roman"/>
          <w:sz w:val="18"/>
          <w:szCs w:val="18"/>
          <w:color w:val="auto"/>
        </w:rPr>
        <w:t>Approximately 4,500 cases remain filed against 3M and other defendants, including EIDP and Chemours, and 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Corteva and DuPont, alleging personal injury (primarily prostate, kidney, and testicular cancer) from the use of aqueous film-forming foams (“AFFF”) and consolidated in a multi-district litigation proceeding in federal district court in South Carolina (“SC MDL”). Most of these recent cases also assert claims that the EIDP and Chemours separation constituted a fraudulent conveyance. The SC MDL ordered the dismissal of plaintiff claims by September 10, 2024, without prejudice, if such plaintiff could not produce peer reviewed science and expert reports supporting PFAS as both the general and specific causation of their personal injury. The trial for the first potential bellwether personal injury cases are expected to begin in October 2025. Additionally, in December 2023, a class action was filed in Canada against 3M and other defendants, including EIDP and Chemours, alleging PFOS and PFOA environmental contamination and personal injury from use of AFFF.</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Nationwide Water District Settlement. </w:t>
      </w:r>
      <w:r>
        <w:rPr>
          <w:rFonts w:ascii="Times New Roman" w:cs="Times New Roman" w:eastAsia="Times New Roman" w:hAnsi="Times New Roman"/>
          <w:sz w:val="18"/>
          <w:szCs w:val="18"/>
          <w:color w:val="auto"/>
        </w:rPr>
        <w:t>In April 2024, Corteva, EIDP, DuPont, and Chemours (collectively, the “settling companies”) comprehensively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resolved all drinking water claims related to PFAS of a defined class of U.S. public water systems that serve the vast majority of the United States population, including, but not limited to the AFFF claims in the SC MDL, under the Nationwide Water District Settlement. PFAS, as defined in the settlement, includes PFOA and HFPO-DA, among a broad range of fluorinated organic substances. The Nationwide Water District Settlement was entered into solely by way of compromise and settlement and is not in any way an admission of liability or fault by Corteva or EIDP.</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represented by the Nationwide Water District Settlement is composed of all Public Water Systems, as defined in 42 U.S.C. § 300f, with a current detection of PFAS or that are currently required to monitor for PFAS under the Environmental Protection Agency’s Fifth Unregulated Contaminant Monitoring Rule (“UCMR 5”) or other applicable federal or state law (the “Class”). Approximately 88 percent of the U.S. is served by systems required to test under UCMR 5. The Class does not include water systems owned and operated by a State or the United States government; small systems that have not detected the presence of PFAS and are not currently required to monitor for it under federal or state requirements; and, unless they otherwise request to be included, water systems in the lower Cape Fear River Basin of North Carolina. The total number of requests for exclusion (“opt-outs”) was approximately 900 water districts, while most public water districts (approximately 93 percent of the Class) remain in the class settlement.</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New Jersey</w:t>
      </w:r>
      <w:r>
        <w:rPr>
          <w:rFonts w:ascii="Times New Roman" w:cs="Times New Roman" w:eastAsia="Times New Roman" w:hAnsi="Times New Roman"/>
          <w:sz w:val="18"/>
          <w:szCs w:val="18"/>
          <w:color w:val="auto"/>
        </w:rPr>
        <w:t>. In late March 2019, the New Jersey State Attorney General filed four lawsuits against EIDP, Chemours, and others alleging that operations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discharges from former EIDP sites in New Jersey (Chambers Works, Pompton Lakes, Parlin and Repauno) damaged the State’s natural resources. Two of these lawsuits (those involving the Chambers Works and Parlin sites) allege contamination from PFAS. DuPont and Corteva were subsequently added as defendants to these lawsuits. These lawsuits include claims under the New Jersey Industrial Site Recovery Act (“ISRA”) and for fraudulent conveyance. These cases are proceeding to trial with the Chambers Works site case expected to begin in June 2025.</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EIDP and Chemours are also defendants in two lawsuits by a private water utility provider in New Jersey and New York alleging damages from PFAS releases into the environment, that impacted water sources that the utilities use to provide water, as well as product liability, negligence, nuisance, and trespass claims. The court dismissed the New York plaintiff's trespass claims and limited plaintiffs’ nuisance claims to abatement damages.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Ohio</w:t>
      </w:r>
      <w:r>
        <w:rPr>
          <w:rFonts w:ascii="Times New Roman" w:cs="Times New Roman" w:eastAsia="Times New Roman" w:hAnsi="Times New Roman"/>
          <w:sz w:val="18"/>
          <w:szCs w:val="18"/>
          <w:color w:val="auto"/>
        </w:rPr>
        <w:t>. EIDP is a defendant in two lawsuits, including an action by the State of Ohio based on alleged damage to natural resources. The natural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 claim was settled in December 2023 for $110 million and received final approval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3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Ohio's judicial consent order process. Pending any permitted appeals, Corteva’s share of the settlement under the MOU will be approximately $16 million. The second, a putative nationwide class action ("the Hardwick Class Action") brought on behalf of anyone who has detectable levels of PFAS in their blood serum seeks declaratory and injunctive relief, including the establishment of a “PFAS Science Panel”. In December 2023, the Sixth Circuit Court of Appeals dismissed the Hardwick Class Action due to lack of standing by Mr. Hardwick. With further opportunities for appeals expired, the plaintiffs filed a new case, narrowing their original claims, in June 2024.</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New York</w:t>
      </w:r>
      <w:r>
        <w:rPr>
          <w:rFonts w:ascii="Times New Roman" w:cs="Times New Roman" w:eastAsia="Times New Roman" w:hAnsi="Times New Roman"/>
          <w:sz w:val="18"/>
          <w:szCs w:val="18"/>
          <w:color w:val="auto"/>
        </w:rPr>
        <w:t>. EIDP is a defendant in a putative class action (the "Baker Class Action"), brought by persons who live in and around Hoosick Falls,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asserting claims for medical monitoring and property damage based on alleged PFOA releases from manufacturing facilities owned and operated by co-defendants in Hoosick Falls. The lawsuits allege that EIDP and others supplied materials used at these facilities resulting in PFOA air and water contamination. A court approved settlement was reached between the plaintiffs and the other co-defendants regarding the Baker Class Action case. In September 2022, the class certification of the Baker Class Action was granted, with the court certifying three separate classes consisting of a private well property damage class, a medical monitoring class and a nuisance class. EIDP will challenge the certification and continue to defend itself on the merits of the case, while seeking an out of court resolution.</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EIDP is a defendant in a lawsuit brought by the Town of East Hampton, New York alleging PFOA and PFOS contamination of the town’s water wells. This district submitted a timely op-out request from the Nationwide Water District Settlement.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Natural Resource Damage Cases. </w:t>
      </w:r>
      <w:r>
        <w:rPr>
          <w:rFonts w:ascii="Times New Roman" w:cs="Times New Roman" w:eastAsia="Times New Roman" w:hAnsi="Times New Roman"/>
          <w:sz w:val="18"/>
          <w:szCs w:val="18"/>
          <w:color w:val="auto"/>
        </w:rPr>
        <w:t>In addition to the natural resource damage cases in New Jersey and New York, natural resource damage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against EIDP, Chemours, and others, claiming, among other things, PFC (including PFOA) contamination of groundwater and drinking water, have been filed in 31 other states, the District of Columbia and three U.S. territories. Certain cases also name DuPont and Corteva as defendants and include claims of fraudulent conveyance. The complaints seek reimbursement for past and future costs to investigate and remediate the alleged contamination and compensation for the loss of value and use of the state’s natural resources. Due to overlapping AFFF allegations, virtually all of these cases have been transferred, or are pending transfer to the SC MDL. These cases are largely in the discovery phase. While the recent mediation of the natural resource case in North Carolina and New Jersey concluded without resolution, discussions continue between the parties to seek a resolution.</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13, 2021, Chemours, DuPont, EIDP and Corteva entered into a settlement agreement with the State of Delaware reflecting the companies' and the State's agreement to settle and fully resolve claims alleged against the companies regarding their historical Delaware operations, manufacturing, use and disposal of all chemical compounds, including PFAS. Under the settlement, if the companies, individually or jointly, within 8 years of the settlement, enter into a proportionally similar agreement to settle or resolve claims of another state for PFAS-related natural resource damages, for an amount greater than $50 million, the companies shall make a supplemental payment directly to the Natural Resources and Sustainability Trust (the “NRS Trust”) in an amount equal to such other states’ recovery in excess of $50 million ("Supplemental Payment"). Supplemental Payment(s), if any, will not exceed $25 million in the aggregate. All amounts paid by the companies under the settlement are subject to the MOU and the Corteva Separation Agreement. Due to the settlement of natural resource damages claims with the State of Ohio, the one-time Supplemental Payment will be triggered when further opportunities for appeals expires under the Ohio judicial consent order process, with Corteva’s share under the MOU being approximately $4 million. Under the settlement, if the state sues other parties and those parties seek contribution from the companies, the companies will have protection from contribution up to the amounts previously paid under the settlement agreement. The companies will also receive a credit up to the amount of the payment if the state seeks natural resource damage claims against the companies outside the scope of the settlement’s release of claims.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Canada. </w:t>
      </w:r>
      <w:r>
        <w:rPr>
          <w:rFonts w:ascii="Times New Roman" w:cs="Times New Roman" w:eastAsia="Times New Roman" w:hAnsi="Times New Roman"/>
          <w:sz w:val="18"/>
          <w:szCs w:val="18"/>
          <w:color w:val="auto"/>
        </w:rPr>
        <w:t>The Province of British Columbia, filed a class action against various defendants, including 3M, DuPont Canada, EIDP, and Chemours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harms caused by PFAS/AFFF. The class consists of all municipalities, regional districts, and other governance authorities and other persons in Canada that were responsible for a “Drinking Water System” from 1970 to the present. The plaintiff seeks to recover costs for the treatment and restoration of natural resources, as well as property, economic, and punitive damages. A putative class action was also filed in July 2024 on behalf of citizens of Quebec, Canada seeking class certification to recover for alleged PFAS and AFFF contamination of private wells and public water treatment facilities.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Netherlands</w:t>
      </w:r>
      <w:r>
        <w:rPr>
          <w:rFonts w:ascii="Times New Roman" w:cs="Times New Roman" w:eastAsia="Times New Roman" w:hAnsi="Times New Roman"/>
          <w:sz w:val="18"/>
          <w:szCs w:val="18"/>
          <w:color w:val="auto"/>
        </w:rPr>
        <w:t>. In April 2021, four municipalities in the Netherlands filed complaints alleging contamination of land and groundwater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 of PFOA and GenX by Corteva, DuPont and Chemours. The municipalities seek to recover costs incurred due to the alleged emissions, including damages for investigation costs, construction project delays, depreciation of land, soil remediation, liabilities to contractors, and attorneys’ fees. In September 2023, the court entered a second interlocutory judgment, ruling, inter alia, that defendants were liable to the municipalities for PFOA emissions during a certain time period, and the removal costs of deposited emissions on the municipalities land infringes their property rights by 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3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objective standard. While the parties continue to seek a resolution to these matters, a separate hearing related to damages is expected to be scheduled in the future. Additionally, the Office of Public Prosecutor in the Netherlands opened a criminal investigation against certain Dutch subsidiaries of Chemours and Historical DuPont, as well as each subsidiary's directors, alleging unlawful PFOA and GenX emissions from Chemours' Dordrecht Works facility.</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Carpet Mill Cases. </w:t>
      </w:r>
      <w:r>
        <w:rPr>
          <w:rFonts w:ascii="Times New Roman" w:cs="Times New Roman" w:eastAsia="Times New Roman" w:hAnsi="Times New Roman"/>
          <w:sz w:val="18"/>
          <w:szCs w:val="18"/>
          <w:color w:val="auto"/>
        </w:rPr>
        <w:t>The city of Centre, Alabama water district alleged defendants, including EIDP, Chemours, other chemical suppliers and large carpet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mills, discharged PFAS in their industrial wastewater, and that this wastewater after treatment, resulted in PFAS contamination of drinking water supplies. The trial for the Centre, Alabama water district carpet mill case is scheduled for March 2025. Numerous carpet manufacturers, their alleged suppliers and former suppliers, including EIDP and Chemours, and certain municipal or utility defendants are also subject to several lawsuits in Georgia and Alabama, alleging negligence, nuisance and trespass related to the release of PFOA, and requesting injunctive relief related to PFOA contamination.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Fayetteville Works Facility, North Carolina</w:t>
      </w:r>
    </w:p>
    <w:p>
      <w:pPr>
        <w:spacing w:after="0" w:line="2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Prior to the separation of Chemours, EIDP introduced GenX as a polymerization processing aid and a replacement for PFOA at the Fayetteville Works facility in Bladen County, North Carolina. The facility is now owned and operated by Chemours, which continues to manufacture and use GenX.</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At September 30, 2024, several actions, including for personal injury, are pending in federal court against Chemours and EIDP relating to PFC discharges from the Fayetteville Works facility. One of these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(“CFPUA”) and Brunswick County, that seek actual and punitive damages as well as injunctive relief. In a state court action, approximately 2,400 private property owners near the Fayetteville Works facility filed a complaint against Chemours and EIDP. The plaintiffs seek compensatory and punitive damages for their claims of private nuisance, trespass, negligence and property damage allegedly caused by release of certain PFCs. In March 2023, CFPUA filed a Delaware Chancery Court action claiming the spin-off of Chemours and the Dow and Historical DuPont merger were unlawful and should be voided, so CFPUA is not precluded from recovering amounts it is entitled in its pending litigation. EIDP filed a motion to dismiss the Delaware Chancery Court action based upon failure to state a claim under Delaware law in June 2023, along with a counterclaim in October 2023. CFPUA’s motion to stay the case was granted in January 2024. In addition, several personal injury cases have been filed alleging thyroid disease, and prostate, breast and kidney cancers as a result of PFAS exposure.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site-related expenses related to GenX claims are subject to the cost sharing arrangements as defined in the MOU.</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Accruals for environmental matters are recorded when it is probable that a liability has been incurred and the amount of the liability can be reasonably estimated based on current law and existing technologies. These obligations are included in accrued and other current liabilities and other noncurrent obligations in the interim Consolidated Balance Sheets.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a discussion of the allocation of environmental liabilities under the Chemours Separation Agreement and the Corteva Separation Agreement, see page 22-23.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accrued environmental obligations and indemnification assets include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6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right w:val="single" w:sz="8" w:color="auto"/>
            </w:tcBorders>
            <w:gridSpan w:val="4"/>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w w:val="94"/>
              </w:rPr>
              <w:t>As of September 30, 2024</w:t>
            </w:r>
          </w:p>
        </w:tc>
      </w:tr>
      <w:tr>
        <w:trPr>
          <w:trHeight w:val="168"/>
        </w:trPr>
        <w:tc>
          <w:tcPr>
            <w:tcW w:w="60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right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Indemnification</w:t>
            </w:r>
          </w:p>
        </w:tc>
        <w:tc>
          <w:tcPr>
            <w:tcW w:w="200" w:type="dxa"/>
            <w:vAlign w:val="bottom"/>
          </w:tcPr>
          <w:p>
            <w:pPr>
              <w:spacing w:after="0"/>
              <w:rPr>
                <w:sz w:val="14"/>
                <w:szCs w:val="14"/>
                <w:color w:val="auto"/>
              </w:rPr>
            </w:pPr>
          </w:p>
        </w:tc>
        <w:tc>
          <w:tcPr>
            <w:tcW w:w="1060" w:type="dxa"/>
            <w:vAlign w:val="bottom"/>
            <w:tcBorders>
              <w:right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Accrual</w:t>
            </w:r>
          </w:p>
        </w:tc>
        <w:tc>
          <w:tcPr>
            <w:tcW w:w="120" w:type="dxa"/>
            <w:vAlign w:val="bottom"/>
          </w:tcPr>
          <w:p>
            <w:pPr>
              <w:spacing w:after="0"/>
              <w:rPr>
                <w:sz w:val="14"/>
                <w:szCs w:val="14"/>
                <w:color w:val="auto"/>
              </w:rPr>
            </w:pPr>
          </w:p>
        </w:tc>
        <w:tc>
          <w:tcPr>
            <w:tcW w:w="2120" w:type="dxa"/>
            <w:vAlign w:val="bottom"/>
            <w:tcBorders>
              <w:right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Potential exposure above</w:t>
            </w:r>
          </w:p>
        </w:tc>
      </w:tr>
      <w:tr>
        <w:trPr>
          <w:trHeight w:val="242"/>
        </w:trPr>
        <w:tc>
          <w:tcPr>
            <w:tcW w:w="6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230"/>
              <w:spacing w:after="0" w:line="242" w:lineRule="exact"/>
              <w:rPr>
                <w:sz w:val="20"/>
                <w:szCs w:val="20"/>
                <w:color w:val="auto"/>
              </w:rPr>
            </w:pP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23"/>
                <w:szCs w:val="23"/>
                <w:b w:val="1"/>
                <w:bCs w:val="1"/>
                <w:color w:val="auto"/>
                <w:vertAlign w:val="superscript"/>
              </w:rPr>
              <w:t>3</w:t>
            </w: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right"/>
              <w:ind w:right="390"/>
              <w:spacing w:after="0" w:line="242" w:lineRule="exact"/>
              <w:rPr>
                <w:sz w:val="20"/>
                <w:szCs w:val="20"/>
                <w:color w:val="auto"/>
              </w:rPr>
            </w:pPr>
            <w:r>
              <w:rPr>
                <w:rFonts w:ascii="Times New Roman" w:cs="Times New Roman" w:eastAsia="Times New Roman" w:hAnsi="Times New Roman"/>
                <w:sz w:val="18"/>
                <w:szCs w:val="18"/>
                <w:b w:val="1"/>
                <w:bCs w:val="1"/>
                <w:color w:val="auto"/>
              </w:rPr>
              <w:t>amount accrued</w:t>
            </w:r>
            <w:r>
              <w:rPr>
                <w:rFonts w:ascii="Times New Roman" w:cs="Times New Roman" w:eastAsia="Times New Roman" w:hAnsi="Times New Roman"/>
                <w:sz w:val="23"/>
                <w:szCs w:val="23"/>
                <w:b w:val="1"/>
                <w:bCs w:val="1"/>
                <w:color w:val="auto"/>
                <w:vertAlign w:val="superscript"/>
              </w:rPr>
              <w:t>3</w:t>
            </w:r>
          </w:p>
        </w:tc>
      </w:tr>
      <w:tr>
        <w:trPr>
          <w:trHeight w:val="222"/>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Environmental Remediation Stray Liabilities</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spacing w:after="0"/>
              <w:rPr>
                <w:sz w:val="19"/>
                <w:szCs w:val="19"/>
                <w:color w:val="auto"/>
              </w:rPr>
            </w:pPr>
          </w:p>
        </w:tc>
      </w:tr>
      <w:tr>
        <w:trPr>
          <w:trHeight w:val="229"/>
        </w:trPr>
        <w:tc>
          <w:tcPr>
            <w:tcW w:w="6060" w:type="dxa"/>
            <w:vAlign w:val="bottom"/>
            <w:tcBorders>
              <w:right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Chemours related obligations - subject to indemnity</w:t>
            </w:r>
            <w:r>
              <w:rPr>
                <w:rFonts w:ascii="Times New Roman" w:cs="Times New Roman" w:eastAsia="Times New Roman" w:hAnsi="Times New Roman"/>
                <w:sz w:val="23"/>
                <w:szCs w:val="23"/>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6060" w:type="dxa"/>
            <w:vAlign w:val="bottom"/>
            <w:tcBorders>
              <w:right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Other discontinued or divested businesses obligations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r>
      <w:tr>
        <w:trPr>
          <w:trHeight w:val="269"/>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175"/>
        </w:trPr>
        <w:tc>
          <w:tcPr>
            <w:tcW w:w="6060" w:type="dxa"/>
            <w:vAlign w:val="bottom"/>
            <w:tcBorders>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Environmental remediation liabilities primarily related to DuPont - subject to</w:t>
            </w:r>
          </w:p>
        </w:tc>
        <w:tc>
          <w:tcPr>
            <w:tcW w:w="160" w:type="dxa"/>
            <w:vAlign w:val="bottom"/>
            <w:shd w:val="clear" w:color="auto" w:fill="CCEEFF"/>
          </w:tcPr>
          <w:p>
            <w:pPr>
              <w:spacing w:after="0"/>
              <w:rPr>
                <w:sz w:val="15"/>
                <w:szCs w:val="15"/>
                <w:color w:val="auto"/>
              </w:rPr>
            </w:pPr>
          </w:p>
        </w:tc>
        <w:tc>
          <w:tcPr>
            <w:tcW w:w="152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20" w:type="dxa"/>
            <w:vAlign w:val="bottom"/>
            <w:tcBorders>
              <w:right w:val="single" w:sz="8" w:color="auto"/>
            </w:tcBorders>
            <w:shd w:val="clear" w:color="auto" w:fill="CCEEFF"/>
          </w:tcPr>
          <w:p>
            <w:pPr>
              <w:spacing w:after="0"/>
              <w:rPr>
                <w:sz w:val="15"/>
                <w:szCs w:val="15"/>
                <w:color w:val="auto"/>
              </w:rPr>
            </w:pPr>
          </w:p>
        </w:tc>
      </w:tr>
      <w:tr>
        <w:trPr>
          <w:trHeight w:val="242"/>
        </w:trPr>
        <w:tc>
          <w:tcPr>
            <w:tcW w:w="6060" w:type="dxa"/>
            <w:vAlign w:val="bottom"/>
            <w:tcBorders>
              <w:right w:val="single" w:sz="8" w:color="auto"/>
            </w:tcBorders>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indemnity from DuPont</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1"/>
                <w:szCs w:val="21"/>
                <w:color w:val="auto"/>
              </w:rPr>
            </w:pPr>
          </w:p>
        </w:tc>
        <w:tc>
          <w:tcPr>
            <w:tcW w:w="2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69"/>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229"/>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liabilities not subject to indemnity</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69"/>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229"/>
        </w:trPr>
        <w:tc>
          <w:tcPr>
            <w:tcW w:w="606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Indemnification liabilities related to the MOU</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r>
    </w:tbl>
    <w:p>
      <w:pPr>
        <w:spacing w:after="0" w:line="71"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liabilities that are subject to the $200 million threshold and sharing arrangements as discussed on page 23, under the header "Corteva Separation Agreement."</w:t>
      </w:r>
    </w:p>
    <w:p>
      <w:pPr>
        <w:spacing w:after="0" w:line="16"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recorded an indemnification asset related to these accruals, including $19 million related to the Superfund sites.</w:t>
      </w:r>
    </w:p>
    <w:p>
      <w:pPr>
        <w:spacing w:after="0" w:line="8" w:lineRule="exact"/>
        <w:rPr>
          <w:rFonts w:ascii="Times New Roman" w:cs="Times New Roman" w:eastAsia="Times New Roman" w:hAnsi="Times New Roman"/>
          <w:sz w:val="14"/>
          <w:szCs w:val="14"/>
          <w:color w:val="auto"/>
        </w:rPr>
      </w:pPr>
    </w:p>
    <w:p>
      <w:pPr>
        <w:jc w:val="both"/>
        <w:ind w:left="160" w:hanging="152"/>
        <w:spacing w:after="0" w:line="257" w:lineRule="auto"/>
        <w:tabs>
          <w:tab w:leader="none" w:pos="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 balance represents management’s best estimate of the costs of remediation and restoration, although it is reasonably possible that the potential exposure, as indicated, could range above the amounts accrued, as there are inherent uncertainties in these estimates. Accrual balance includes $47 million for remediation of Superfund sites. Amounts do not include all possible impacts from the remediation elements of the EPA's October 2021 PFAS Strategic Roadmap (as applicable), except as disclosed on page 28 relating to Chemours' remediation activities at the Fayetteville Works Facility pursuant to the Consent Order with the North Carolina Department of Environmental Quality ("NC DEQ").</w:t>
      </w:r>
    </w:p>
    <w:p>
      <w:pPr>
        <w:spacing w:after="0" w:line="1" w:lineRule="exact"/>
        <w:rPr>
          <w:rFonts w:ascii="Times New Roman" w:cs="Times New Roman" w:eastAsia="Times New Roman" w:hAnsi="Times New Roman"/>
          <w:sz w:val="14"/>
          <w:szCs w:val="14"/>
          <w:color w:val="auto"/>
        </w:rPr>
      </w:pPr>
    </w:p>
    <w:p>
      <w:pPr>
        <w:ind w:left="160" w:hanging="152"/>
        <w:spacing w:after="0" w:line="256" w:lineRule="auto"/>
        <w:tabs>
          <w:tab w:leader="none" w:pos="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liabilities that are subject to the $150 million threshold and sharing agreements as discussed on page 22, under the header "Chemours Separation Agreement (Performance Chemicals)."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Chambers Works, New Jersey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January 28, 2022, the State of New Jersey filed a request for a preliminary injunction against EIDP and Chemours seeking the establishment of a Remediation Funding Source (“RFS”) in an amount exceeding $900 million for environmental remediation at EIDP’s former Chambers Works facility in New Jersey. The RFS primarily relates to non-PFAS remediation, which is not subject to the MOU. Chemours has accepted indemnity and defense for these matters, while reserving rights and declining EIDP’s demand relating to the ISRA and fraudulent transfer matters as alleged under the existing New Jersey natural resource lawsuits discussed on page 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Nebraska Department of Environment and Energy, AltEn Facility</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EPA and the Nebraska Department of Environment and Energy (“NDEE”) are pursuing investigations, response and removal actions, litigation and enforcement action related to an ethanol plant located near Mead, Nebraska that is owned and operated by AltEn LLC (“AltEn”). The agencies have alleged violations under the Resource Conservation and Recovery Act (“RCRA”) and other federal and state laws stemming from AltEn’s lack of compliance with the terms and conditions of its operating permits and other regulatory requirements. Corteva is one of six seed companies, who were customers of AltEn (collectively, the "Facility Response Group"), participating in the NDEE’s Voluntary Cleanup Program to address certain interim remediation needs at the site. In February 2022, the Facility Response Group filed a lawsuit against AltEn and certain of its affiliates to preserve certain contractual and common law indemnification claims. As of September 30, 2024, an accrual was established for Corteva’s estimated voluntary contribution to the solid waste and wastewater remedial action plans for the AltEn location.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California Department of Toxic Substances Control, Pittsburg Plant</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California Department of Toxic Substances Control (“DTSC”) has filed a state court lawsuit over challenging whether the Pittsburg plant’s high purity water system (“HPWS”), as operated by Dow and now Corteva, required a permit pursuant to the Federal Resource Conservation and Recovery Act (“RCRA”). Discussions between the parties remain ongoing and further litigation, including discovery, is stayed.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Buyback Plan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13, 2022, Corteva, Inc. announced that its Board of Directors authorized a $2 billion share repurchase program to purchase Corteva, Inc.'s common stock, par value $0.01 per share, without an expiration date ("2022 Share Buyback Plan"). The timing, price and volume of purchases will be based on market conditions, relevant securities laws and other factors. In connection with the 2022 Share Buyback Plan, the company repurchased and retired 4,722,000 shares and 4,913,000 shares in the open market for a total cost (excluding excise taxes) of $250 million for both the three months ended September 30, 2024 and 2023, respectively, and 13,838,000 shares and 6,330,000 shares in the open market for a total cost (excluding excise taxes) of $750 million and $330 million during the nine months ended September 30, 2024 and 2023 respectively.</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5, 2021, Corteva, Inc. announced that its Board of Directors authorized a $1.5 billion share repurchase program to purchase Corteva, Inc.'s common stock, par value $0.01 per share, without an expiration date ("2021 Share Buyback Plan"). The company completed the 2021 Share Buyback Plan during the first quarter of 2023 and repurchased and retired 4,098,000, 17,425,000 and 5,572,000 shares in the open market for a total cost of $250 million, $1 billion and $250 million during the years ended December 31, 2023, 2022 and 2021, respectively.</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Shares repurchased pursuant to Corteva's share buyback plans are immediately retired upon repurchase. Repurchased common stock is reflected as a reduction of stockholders' equity. The company's accounting policy related to its share repurchases is to reduce its common stock based on the par value of the shares and to reduce its retained earnings for the excess of the repurchase price over the par value. When Corteva has an accumulated deficit balance, the excess over the par value is applied to additional paid-in capital ("APIC"). When Corteva has retained earnings, the excess is charged entirely to retained earnings.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Corteva, Inc. owns 100 percent of the outstanding common shares of EIDP. However, EIDP has preferred stock outstanding to third parties which is accounted for as a non-controlling interest in Corteva's interim Consolidated Balance Sheets. Each share of EIDP Preferred Stock - $4.50 Series and EIDP Preferred Stock - $3.50 Series issued and outstanding at the effective date of the Corteva Distribution remains issued and outstanding as to EIDP and was unaffected by the Corteva Distribution.</w:t>
      </w:r>
    </w:p>
    <w:p>
      <w:pPr>
        <w:spacing w:after="0" w:line="2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Below is a summary of the EIDP Preferred Stock at September 30, 2024, December 31, 2023 and September 30, 2023, which is classified as noncontrolling interests in Corteva's interim Consolidated Balance Sheets.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8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(Shares in thousands)</w:t>
            </w:r>
          </w:p>
        </w:tc>
        <w:tc>
          <w:tcPr>
            <w:tcW w:w="27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22"/>
        </w:trPr>
        <w:tc>
          <w:tcPr>
            <w:tcW w:w="8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w:t>
            </w:r>
          </w:p>
        </w:tc>
        <w:tc>
          <w:tcPr>
            <w:tcW w:w="2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r>
      <w:tr>
        <w:trPr>
          <w:trHeight w:val="229"/>
        </w:trPr>
        <w:tc>
          <w:tcPr>
            <w:tcW w:w="8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$4.50 Series, callable at $120</w:t>
            </w:r>
          </w:p>
        </w:tc>
        <w:tc>
          <w:tcPr>
            <w:tcW w:w="2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6"/>
        </w:trPr>
        <w:tc>
          <w:tcPr>
            <w:tcW w:w="85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 Series, callable at $102</w:t>
            </w:r>
          </w:p>
        </w:tc>
        <w:tc>
          <w:tcPr>
            <w:tcW w:w="2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and after-tax balances of components comprising accumulated other comprehensive income (loss) are summarized below:</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4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Cumulative</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300" w:type="dxa"/>
            <w:vAlign w:val="bottom"/>
            <w:tcBorders>
              <w:top w:val="single" w:sz="8" w:color="auto"/>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Benefit</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Other Benefit</w:t>
            </w:r>
          </w:p>
        </w:tc>
        <w:tc>
          <w:tcPr>
            <w:tcW w:w="1320" w:type="dxa"/>
            <w:vAlign w:val="bottom"/>
            <w:tcBorders>
              <w:top w:val="single" w:sz="8" w:color="auto"/>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right w:val="single" w:sz="8" w:color="auto"/>
            </w:tcBorders>
          </w:tcPr>
          <w:p>
            <w:pPr>
              <w:jc w:val="center"/>
              <w:ind w:right="70"/>
              <w:spacing w:after="0" w:line="175"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jc w:val="center"/>
              <w:ind w:right="7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(Loss) on</w:t>
            </w:r>
          </w:p>
        </w:tc>
        <w:tc>
          <w:tcPr>
            <w:tcW w:w="26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2"/>
        </w:trPr>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ind w:right="70"/>
              <w:spacing w:after="0" w:line="242" w:lineRule="exact"/>
              <w:rPr>
                <w:sz w:val="20"/>
                <w:szCs w:val="20"/>
                <w:color w:val="auto"/>
              </w:rPr>
            </w:pPr>
            <w:r>
              <w:rPr>
                <w:rFonts w:ascii="Times New Roman" w:cs="Times New Roman" w:eastAsia="Times New Roman" w:hAnsi="Times New Roman"/>
                <w:sz w:val="18"/>
                <w:szCs w:val="18"/>
                <w:b w:val="1"/>
                <w:bCs w:val="1"/>
                <w:color w:val="auto"/>
                <w:w w:val="97"/>
              </w:rPr>
              <w:t>Adjustment</w:t>
            </w:r>
            <w:r>
              <w:rPr>
                <w:rFonts w:ascii="Times New Roman" w:cs="Times New Roman" w:eastAsia="Times New Roman" w:hAnsi="Times New Roman"/>
                <w:sz w:val="23"/>
                <w:szCs w:val="23"/>
                <w:b w:val="1"/>
                <w:bCs w:val="1"/>
                <w:color w:val="auto"/>
                <w:w w:val="97"/>
                <w:vertAlign w:val="superscript"/>
              </w:rPr>
              <w:t>1</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3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175"/>
        </w:trPr>
        <w:tc>
          <w:tcPr>
            <w:tcW w:w="3340" w:type="dxa"/>
            <w:vAlign w:val="bottom"/>
            <w:tcBorders>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4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75"/>
        </w:trPr>
        <w:tc>
          <w:tcPr>
            <w:tcW w:w="33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2"/>
        </w:trPr>
        <w:tc>
          <w:tcPr>
            <w:tcW w:w="33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2"/>
        </w:trPr>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22"/>
        </w:trPr>
        <w:tc>
          <w:tcPr>
            <w:tcW w:w="33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175"/>
        </w:trPr>
        <w:tc>
          <w:tcPr>
            <w:tcW w:w="3340" w:type="dxa"/>
            <w:vAlign w:val="bottom"/>
            <w:tcBorders>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4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75"/>
        </w:trPr>
        <w:tc>
          <w:tcPr>
            <w:tcW w:w="33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2"/>
        </w:trPr>
        <w:tc>
          <w:tcPr>
            <w:tcW w:w="33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160" w:right="20" w:hanging="152"/>
        <w:spacing w:after="0" w:line="269" w:lineRule="auto"/>
        <w:tabs>
          <w:tab w:leader="none" w:pos="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translation adjustment loss for the nine months ended September 30, 2024 was primarily driven by the strengthening of the USD against the Brazilian Real (“BRL”) and Mexican Peso ("MXN"). The cumulative translation adjustment loss for the nine months ended September 30, 2023 was primarily driven by the strengthening of the USD against the South African Rand ("ZAR") and Euro ("EUR"), partially offset by the weakening of the USD against the Brazilian Real (BRL).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(expense) benefit on the net activity related to each component of other comprehensive income (loss)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Pension benefit plans - net</w:t>
            </w:r>
          </w:p>
        </w:tc>
        <w:tc>
          <w:tcPr>
            <w:tcW w:w="780" w:type="dxa"/>
            <w:vAlign w:val="bottom"/>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benefit plans - net</w:t>
            </w:r>
          </w:p>
        </w:tc>
        <w:tc>
          <w:tcPr>
            <w:tcW w:w="78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spacing w:after="0"/>
              <w:rPr>
                <w:sz w:val="19"/>
                <w:szCs w:val="19"/>
                <w:color w:val="auto"/>
              </w:rPr>
            </w:pPr>
          </w:p>
        </w:tc>
        <w:tc>
          <w:tcPr>
            <w:tcW w:w="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Unrealized gains (losses) on investments</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 related to other comprehensive income (loss) items</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of accumulated other comprehensive income (loss) is provided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Borders>
              <w:top w:val="single" w:sz="8" w:color="auto"/>
            </w:tcBorders>
          </w:tcPr>
          <w:p>
            <w:pPr>
              <w:spacing w:after="0"/>
              <w:rPr>
                <w:sz w:val="16"/>
                <w:szCs w:val="16"/>
                <w:color w:val="auto"/>
              </w:rPr>
            </w:pPr>
          </w:p>
        </w:tc>
        <w:tc>
          <w:tcPr>
            <w:tcW w:w="246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434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43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Derivative instruments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6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34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right"/>
              <w:spacing w:after="0" w:line="229" w:lineRule="exact"/>
              <w:rPr>
                <w:sz w:val="20"/>
                <w:szCs w:val="20"/>
                <w:color w:val="auto"/>
              </w:rPr>
            </w:pPr>
            <w:r>
              <w:rPr>
                <w:rFonts w:ascii="Times New Roman" w:cs="Times New Roman" w:eastAsia="Times New Roman" w:hAnsi="Times New Roman"/>
                <w:sz w:val="18"/>
                <w:szCs w:val="18"/>
                <w:color w:val="auto"/>
              </w:rPr>
              <w:t>Tax (benefit) expense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22"/>
        </w:trPr>
        <w:tc>
          <w:tcPr>
            <w:tcW w:w="43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2"/>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of pension benefit plans:</w:t>
            </w:r>
          </w:p>
        </w:tc>
        <w:tc>
          <w:tcPr>
            <w:tcW w:w="24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434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Prior service (benefit) cost</w:t>
            </w:r>
            <w:r>
              <w:rPr>
                <w:rFonts w:ascii="Times New Roman" w:cs="Times New Roman" w:eastAsia="Times New Roman" w:hAnsi="Times New Roman"/>
                <w:sz w:val="23"/>
                <w:szCs w:val="23"/>
                <w:color w:val="auto"/>
                <w:vertAlign w:val="superscript"/>
              </w:rPr>
              <w:t>3,4</w:t>
            </w:r>
          </w:p>
        </w:tc>
        <w:tc>
          <w:tcPr>
            <w:tcW w:w="246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34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Settlement (gain) loss</w:t>
            </w:r>
            <w:r>
              <w:rPr>
                <w:rFonts w:ascii="Times New Roman" w:cs="Times New Roman" w:eastAsia="Times New Roman" w:hAnsi="Times New Roman"/>
                <w:sz w:val="23"/>
                <w:szCs w:val="23"/>
                <w:color w:val="auto"/>
                <w:vertAlign w:val="superscript"/>
              </w:rPr>
              <w:t>3,4</w:t>
            </w:r>
          </w:p>
        </w:tc>
        <w:tc>
          <w:tcPr>
            <w:tcW w:w="2460" w:type="dxa"/>
            <w:vAlign w:val="bottom"/>
            <w:tcBorders>
              <w:bottom w:val="single" w:sz="8" w:color="CCEEFF"/>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2"/>
        </w:trPr>
        <w:tc>
          <w:tcPr>
            <w:tcW w:w="4340" w:type="dxa"/>
            <w:vAlign w:val="bottom"/>
            <w:shd w:val="clear" w:color="auto" w:fill="CCEEFF"/>
          </w:tcPr>
          <w:p>
            <w:pPr>
              <w:spacing w:after="0"/>
              <w:rPr>
                <w:sz w:val="19"/>
                <w:szCs w:val="19"/>
                <w:color w:val="auto"/>
              </w:rPr>
            </w:pPr>
          </w:p>
        </w:tc>
        <w:tc>
          <w:tcPr>
            <w:tcW w:w="2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before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34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right"/>
              <w:spacing w:after="0" w:line="229" w:lineRule="exact"/>
              <w:rPr>
                <w:sz w:val="20"/>
                <w:szCs w:val="20"/>
                <w:color w:val="auto"/>
              </w:rPr>
            </w:pPr>
            <w:r>
              <w:rPr>
                <w:rFonts w:ascii="Times New Roman" w:cs="Times New Roman" w:eastAsia="Times New Roman" w:hAnsi="Times New Roman"/>
                <w:sz w:val="18"/>
                <w:szCs w:val="18"/>
                <w:color w:val="auto"/>
              </w:rPr>
              <w:t>Tax (benefit) expense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2"/>
        </w:trPr>
        <w:tc>
          <w:tcPr>
            <w:tcW w:w="43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of other benefit plans:</w:t>
            </w:r>
          </w:p>
        </w:tc>
        <w:tc>
          <w:tcPr>
            <w:tcW w:w="24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434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Prior service (benefit) cost</w:t>
            </w:r>
            <w:r>
              <w:rPr>
                <w:rFonts w:ascii="Times New Roman" w:cs="Times New Roman" w:eastAsia="Times New Roman" w:hAnsi="Times New Roman"/>
                <w:sz w:val="23"/>
                <w:szCs w:val="23"/>
                <w:color w:val="auto"/>
                <w:vertAlign w:val="superscript"/>
              </w:rPr>
              <w:t>3,4</w:t>
            </w:r>
          </w:p>
        </w:tc>
        <w:tc>
          <w:tcPr>
            <w:tcW w:w="246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3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Actuarial (gains) loss</w:t>
            </w:r>
            <w:r>
              <w:rPr>
                <w:rFonts w:ascii="Times New Roman" w:cs="Times New Roman" w:eastAsia="Times New Roman" w:hAnsi="Times New Roman"/>
                <w:sz w:val="23"/>
                <w:szCs w:val="23"/>
                <w:color w:val="auto"/>
                <w:vertAlign w:val="superscript"/>
              </w:rPr>
              <w:t>3,4</w:t>
            </w:r>
          </w:p>
        </w:tc>
        <w:tc>
          <w:tcPr>
            <w:tcW w:w="2460" w:type="dxa"/>
            <w:vAlign w:val="bottom"/>
            <w:tcBorders>
              <w:bottom w:val="single" w:sz="8" w:color="CCEEFF"/>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2"/>
        </w:trPr>
        <w:tc>
          <w:tcPr>
            <w:tcW w:w="4340" w:type="dxa"/>
            <w:vAlign w:val="bottom"/>
            <w:shd w:val="clear" w:color="auto" w:fill="CCEEFF"/>
          </w:tcPr>
          <w:p>
            <w:pPr>
              <w:spacing w:after="0"/>
              <w:rPr>
                <w:sz w:val="19"/>
                <w:szCs w:val="19"/>
                <w:color w:val="auto"/>
              </w:rPr>
            </w:pPr>
          </w:p>
        </w:tc>
        <w:tc>
          <w:tcPr>
            <w:tcW w:w="2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before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34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right"/>
              <w:spacing w:after="0" w:line="229" w:lineRule="exact"/>
              <w:rPr>
                <w:sz w:val="20"/>
                <w:szCs w:val="20"/>
                <w:color w:val="auto"/>
              </w:rPr>
            </w:pPr>
            <w:r>
              <w:rPr>
                <w:rFonts w:ascii="Times New Roman" w:cs="Times New Roman" w:eastAsia="Times New Roman" w:hAnsi="Times New Roman"/>
                <w:sz w:val="18"/>
                <w:szCs w:val="18"/>
                <w:color w:val="auto"/>
              </w:rPr>
              <w:t>Tax (benefit) expense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43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for the period, after-tax</w:t>
            </w:r>
          </w:p>
        </w:tc>
        <w:tc>
          <w:tcPr>
            <w:tcW w:w="24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71"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cost of goods sold in the interim Consolidated Statements of Operations.</w:t>
      </w:r>
    </w:p>
    <w:p>
      <w:pPr>
        <w:spacing w:after="0" w:line="16"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provision for (benefit from) income taxes from continuing operations in the interim Consolidated Statements of Operations.</w:t>
      </w:r>
    </w:p>
    <w:p>
      <w:pPr>
        <w:spacing w:after="0" w:line="8" w:lineRule="exact"/>
        <w:rPr>
          <w:rFonts w:ascii="Times New Roman" w:cs="Times New Roman" w:eastAsia="Times New Roman" w:hAnsi="Times New Roman"/>
          <w:sz w:val="14"/>
          <w:szCs w:val="14"/>
          <w:color w:val="auto"/>
        </w:rPr>
      </w:pPr>
    </w:p>
    <w:p>
      <w:pPr>
        <w:ind w:left="160" w:right="20" w:hanging="152"/>
        <w:spacing w:after="0" w:line="260" w:lineRule="auto"/>
        <w:tabs>
          <w:tab w:leader="none" w:pos="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accumulated other comprehensive income (loss) components are included in the computation of net periodic benefit (credit) cost of the company's pension and other benefit plans. See Note 15 - Pension Plans and Other Post Employment Benefits, to the interim Consolidated Financial Statements, for additional information.</w:t>
      </w:r>
    </w:p>
    <w:p>
      <w:pPr>
        <w:ind w:left="160" w:hanging="152"/>
        <w:spacing w:after="0"/>
        <w:tabs>
          <w:tab w:leader="none" w:pos="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(expense) - net in the interim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PENSION PLANS AND OTHER POST EMPLOYMENT BENEFITS</w:t>
      </w:r>
    </w:p>
    <w:p>
      <w:pPr>
        <w:spacing w:after="0" w:line="25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following sets forth the components of the company's net periodic benefit (credit) cost for defined benefit pension plans and other post employment benefits ("OPEB"):</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9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93"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2"/>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6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8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6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68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(benefit) cost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8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Settlement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2"/>
        </w:trPr>
        <w:tc>
          <w:tcPr>
            <w:tcW w:w="68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Other Post Employment Benefits:</w:t>
            </w: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68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8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8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(benefit) cost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8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FINANCIAL INSTRUMENTS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September 30, 2024, December 31, 2023 and September 30, 2023, the company had $1,543 million, $1,746 million and $1,619 million, respectively, of held-to-maturity securities (primarily time deposits and money market funds) classified as cash equivalents in the interim Consolidated Balance Sheets, as these securities had maturities of three months or less at the time of purchase; $56 million, $98 million and $108 million of held-to-maturity securities (primarily time deposits and foreign government bonds) classified as marketable securities in the interim Consolidated Balance Sheets at September 30, 2024, December 31, 2023 and September 30, 2023, respectively, as these securities had maturities of more than three months to less than one year at the time of purchase; and $55 million of held-to-maturity securities (primarily foreign government bonds) classified as marketable securities and included in other assets in the interim Consolidated Balance Sheets at December 31, 2023, as these securities had maturities of more than one year at the time of purchase. The company’s investments in held-to-maturity securities are held at amortized cost, which approximates fair value. Additionally, at September 30, 2024, the company had $16 million and $90 million of available-for-sale securities (primarily foreign government bonds) classified as marketable securities and other assets, respectively, in the interim Consolidated Balance Sheets, as these securities had maturities of more than three months to less than one year and more than one year, respectively, at the time of purchase. The company’s held-to-maturity and available-for-sale securities relating to investments in foreign government bonds at September 30, 2024 are discussed further in the “Debt Securities” section.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Objectives and Strategies for Holding Derivative Instruments</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(derivatives) to reduce its exposure to foreign currency and commodity price risks. The company has established a variety of derivative programs to be utilized for financial risk management. These programs reflect varying levels of exposure coverage and time horizons based on an assessment of risk.</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financial risk management procedures also address counterparty credit approval, limits and routine exposure monitoring and reporting. The counterparties to these contractual arrangements are major financial institutions and major commodity exchanges, and multinational grain exporters.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aggregate notional amounts for the company's derivative instruments (both designated and not designated) was a net buy (sell) position of $1,305 million, $(1,600) million and $2,199 million at September 30, 2024, December 31, 2023 and September 30,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objective in managing exposure to foreign currency fluctuations is to reduce earnings and cash flow volatility associated with foreign currency rate changes and to mitigate the exposure of certain investments in foreign subsidiaries against changes in the Euro/USD exchange rate. Accordingly, the company enters into various contracts that change in value as foreign exchange rates change to protect the value of its existing foreign currency-denominated assets, liabilities, commitments, investments and cash flows.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uses foreign currency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forecasted transactions as well as the translation of foreign currency-denominated earnings. The company also uses commodity contracts to offset risks associated with foreign currency devaluation in certain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3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Commodity price risk management programs serve to reduce exposure to price fluctuations on purchases of inventory such as corn and soybeans. The company enters into over-the-counter and exchange-traded derivative commodity instruments to hedge the commodity price risk associated with agricultural commodity exposures.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company enters into over-the-counter and exchange-traded derivative commodity instruments, including options, forwards, futures and swaps, to hedge the commodity price risk associated with agriculture commodity exposures.</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each risk management program has a different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after-tax effect of commodity contract cash flow hedges on accumulated other comprehensive income (loss):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74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3"/>
          </w:tcPr>
          <w:p>
            <w:pPr>
              <w:jc w:val="right"/>
              <w:ind w:right="23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0"/>
        </w:trPr>
        <w:tc>
          <w:tcPr>
            <w:tcW w:w="67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4"/>
        </w:trPr>
        <w:tc>
          <w:tcPr>
            <w:tcW w:w="6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55</w:t>
            </w:r>
          </w:p>
        </w:tc>
      </w:tr>
      <w:tr>
        <w:trPr>
          <w:trHeight w:val="229"/>
        </w:trPr>
        <w:tc>
          <w:tcPr>
            <w:tcW w:w="6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and revaluations of derivatives designated as cash flow hedges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(94)</w:t>
            </w:r>
          </w:p>
        </w:tc>
      </w:tr>
      <w:tr>
        <w:trPr>
          <w:trHeight w:val="229"/>
        </w:trPr>
        <w:tc>
          <w:tcPr>
            <w:tcW w:w="67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Clearance of hedge results to earnings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24</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6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right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right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(89)</w:t>
            </w:r>
          </w:p>
        </w:tc>
      </w:tr>
    </w:tbl>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September 30, 2024, an after-tax net loss of $70 million is expected to be reclassified from accumulated other comprehensive income (loss) into earnings over the next twelve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forward contracts to hedge the foreign currency risk associated with forecasted transactions within certain foreign subsidiaries.</w:t>
      </w:r>
    </w:p>
    <w:p>
      <w:pPr>
        <w:spacing w:after="0" w:line="2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after-tax effect of foreign currency cash flow hedges on accumulated other comprehensive income (loss):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4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80" w:type="dxa"/>
            <w:vAlign w:val="bottom"/>
            <w:tcBorders>
              <w:top w:val="single" w:sz="8" w:color="auto"/>
              <w:right w:val="single" w:sz="8" w:color="auto"/>
            </w:tcBorders>
            <w:gridSpan w:val="3"/>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3"/>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0"/>
        </w:trPr>
        <w:tc>
          <w:tcPr>
            <w:tcW w:w="66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4"/>
        </w:trPr>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6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Additions and revaluations of derivatives designated as cash flow hedges</w:t>
            </w:r>
          </w:p>
        </w:tc>
        <w:tc>
          <w:tcPr>
            <w:tcW w:w="20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90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29"/>
        </w:trPr>
        <w:tc>
          <w:tcPr>
            <w:tcW w:w="6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Clearance of hedge results to earnings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September 30, 2024, an after-tax net gain of $21 million is expected to be reclassified from accumulated other comprehensive income (loss) into earnings over the next twelve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Net Investment Hedges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May 2024, the company designated €500 million of forward contracts to exchange Euro as net investment hedges. An additional tranche of €500 million of forward contracts to exchange Euro were executed in July 2024 and also designated as net investment hedges. The purpose of these forward contracts is to mitigate foreign exchange exposure related to a portion of the company’s Euro net investments in certain foreign subsidiaries against changes in Euro/USD exchange rates. These hedges will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expire and be settled in December 2024. The company had previously designated €1.2 billion and €450 million of forward contracts to exchange Euro as net investment hedges, which expired and were settled in May 2024 and March 2023,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to apply the spot method in testing for effectiveness of the hedging relationship.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foreign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uses foreign currency exchange contracts to offset a portion of the company’s exposure to the translation of certain foreign currency-denominated earnings so that gains and losses on the contracts offset changes in the USD value of the related foreign currency-denominated earnings over the relevant aggregate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utilizes options, futures and swaps that are not designated as hedging instruments to reduce exposure to commodity price fluctuations on purchases of inventory such as corn and soybeans. The company uses commodity contracts to offset a portion of the company’s exposure to commodity price fluctuations so that gains and losses on the contracts offset changes in the commodity price over the relevant aggregate period. The company uses forward agreements, with durations less than one year, to buy and sell USD-priced commodities in order to reduce its exposure to currency devaluation for a portion of its local currency cash balances. Counterparties to the forward sales agreements are multinational grain exporters and subject to the company’s financial risk management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liability derivatives subject to an enforceable master netting arrangement with the same counterparty are presented on a net basis in the interim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The presentation of the company's derivative assets and liabilities is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64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6"/>
              </w:rPr>
              <w:t>September 30, 2024</w:t>
            </w: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3640" w:type="dxa"/>
            <w:vAlign w:val="bottom"/>
            <w:tcBorders>
              <w:right w:val="single" w:sz="8" w:color="auto"/>
            </w:tcBorders>
          </w:tcPr>
          <w:p>
            <w:pPr>
              <w:spacing w:after="0"/>
              <w:rPr>
                <w:sz w:val="11"/>
                <w:szCs w:val="11"/>
                <w:color w:val="auto"/>
              </w:rPr>
            </w:pPr>
          </w:p>
        </w:tc>
        <w:tc>
          <w:tcPr>
            <w:tcW w:w="3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right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1440" w:type="dxa"/>
            <w:vAlign w:val="bottom"/>
            <w:tcBorders>
              <w:right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Net Amounts Included</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right w:val="single" w:sz="8" w:color="auto"/>
            </w:tcBorders>
          </w:tcPr>
          <w:p>
            <w:pPr>
              <w:jc w:val="center"/>
              <w:ind w:right="114"/>
              <w:spacing w:after="0" w:line="148" w:lineRule="exact"/>
              <w:rPr>
                <w:sz w:val="20"/>
                <w:szCs w:val="20"/>
                <w:color w:val="auto"/>
              </w:rPr>
            </w:pPr>
            <w:r>
              <w:rPr>
                <w:rFonts w:ascii="Times New Roman" w:cs="Times New Roman" w:eastAsia="Times New Roman" w:hAnsi="Times New Roman"/>
                <w:sz w:val="14"/>
                <w:szCs w:val="14"/>
                <w:b w:val="1"/>
                <w:bCs w:val="1"/>
                <w:color w:val="auto"/>
              </w:rPr>
              <w:t>in the interim</w:t>
            </w:r>
          </w:p>
        </w:tc>
        <w:tc>
          <w:tcPr>
            <w:tcW w:w="0" w:type="dxa"/>
            <w:vAlign w:val="bottom"/>
          </w:tcPr>
          <w:p>
            <w:pPr>
              <w:spacing w:after="0"/>
              <w:rPr>
                <w:sz w:val="1"/>
                <w:szCs w:val="1"/>
                <w:color w:val="auto"/>
              </w:rPr>
            </w:pPr>
          </w:p>
        </w:tc>
      </w:tr>
      <w:tr>
        <w:trPr>
          <w:trHeight w:val="135"/>
        </w:trPr>
        <w:tc>
          <w:tcPr>
            <w:tcW w:w="3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right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44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0" w:type="dxa"/>
            <w:vAlign w:val="bottom"/>
          </w:tcPr>
          <w:p>
            <w:pPr>
              <w:spacing w:after="0"/>
              <w:rPr>
                <w:sz w:val="1"/>
                <w:szCs w:val="1"/>
                <w:color w:val="auto"/>
              </w:rPr>
            </w:pPr>
          </w:p>
        </w:tc>
      </w:tr>
      <w:tr>
        <w:trPr>
          <w:trHeight w:val="215"/>
        </w:trPr>
        <w:tc>
          <w:tcPr>
            <w:tcW w:w="3640" w:type="dxa"/>
            <w:vAlign w:val="bottom"/>
            <w:tcBorders>
              <w:bottom w:val="single" w:sz="8" w:color="auto"/>
              <w:right w:val="single" w:sz="8" w:color="auto"/>
            </w:tcBorders>
            <w:vMerge w:val="continue"/>
          </w:tcPr>
          <w:p>
            <w:pPr>
              <w:spacing w:after="0"/>
              <w:rPr>
                <w:sz w:val="18"/>
                <w:szCs w:val="18"/>
                <w:color w:val="auto"/>
              </w:rPr>
            </w:pPr>
          </w:p>
        </w:tc>
        <w:tc>
          <w:tcPr>
            <w:tcW w:w="32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Netting</w:t>
            </w:r>
            <w:r>
              <w:rPr>
                <w:rFonts w:ascii="Times New Roman" w:cs="Times New Roman" w:eastAsia="Times New Roman" w:hAnsi="Times New Roman"/>
                <w:sz w:val="18"/>
                <w:szCs w:val="18"/>
                <w:b w:val="1"/>
                <w:bCs w:val="1"/>
                <w:color w:val="auto"/>
                <w:w w:val="99"/>
                <w:vertAlign w:val="superscript"/>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222"/>
        </w:trPr>
        <w:tc>
          <w:tcPr>
            <w:tcW w:w="3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26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auto"/>
            </w:tcBorders>
            <w:shd w:val="clear" w:color="auto" w:fill="CCEEFF"/>
          </w:tcPr>
          <w:p>
            <w:pPr>
              <w:jc w:val="center"/>
              <w:ind w:left="87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3640" w:type="dxa"/>
            <w:vAlign w:val="bottom"/>
            <w:tcBorders>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32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2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4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20"/>
                <w:szCs w:val="20"/>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20"/>
                <w:szCs w:val="20"/>
                <w:color w:val="auto"/>
              </w:rPr>
            </w:pPr>
          </w:p>
        </w:tc>
        <w:tc>
          <w:tcPr>
            <w:tcW w:w="1300" w:type="dxa"/>
            <w:vAlign w:val="bottom"/>
            <w:tcBorders>
              <w:right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shd w:val="clear" w:color="auto" w:fill="CCEEFF"/>
          </w:tcPr>
          <w:p>
            <w:pPr>
              <w:spacing w:after="0"/>
              <w:rPr>
                <w:sz w:val="20"/>
                <w:szCs w:val="20"/>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ind w:left="87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 derivatives</w:t>
            </w:r>
          </w:p>
        </w:tc>
        <w:tc>
          <w:tcPr>
            <w:tcW w:w="326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right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6"/>
        </w:trPr>
        <w:tc>
          <w:tcPr>
            <w:tcW w:w="36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26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auto"/>
            </w:tcBorders>
            <w:shd w:val="clear" w:color="auto" w:fill="CCEEFF"/>
          </w:tcPr>
          <w:p>
            <w:pPr>
              <w:jc w:val="center"/>
              <w:ind w:left="87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300" w:type="dxa"/>
            <w:vAlign w:val="bottom"/>
            <w:tcBorders>
              <w:right w:val="single" w:sz="8" w:color="auto"/>
            </w:tcBorders>
          </w:tcPr>
          <w:p>
            <w:pPr>
              <w:jc w:val="center"/>
              <w:ind w:left="87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640" w:type="dxa"/>
            <w:vAlign w:val="bottom"/>
            <w:tcBorders>
              <w:right w:val="single" w:sz="8" w:color="auto"/>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326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64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260" w:type="dxa"/>
            <w:vAlign w:val="bottom"/>
            <w:tcBorders>
              <w:right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300" w:type="dxa"/>
            <w:vAlign w:val="bottom"/>
            <w:tcBorders>
              <w:right w:val="single" w:sz="8" w:color="auto"/>
            </w:tcBorders>
          </w:tcPr>
          <w:p>
            <w:pPr>
              <w:jc w:val="center"/>
              <w:ind w:left="835"/>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ind w:left="87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2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right w:val="single" w:sz="8" w:color="auto"/>
            </w:tcBorders>
          </w:tcPr>
          <w:p>
            <w:pPr>
              <w:jc w:val="center"/>
              <w:ind w:left="835"/>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2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3720" w:type="dxa"/>
            <w:vAlign w:val="bottom"/>
            <w:tcBorders>
              <w:right w:val="single" w:sz="8" w:color="auto"/>
            </w:tcBorders>
          </w:tcPr>
          <w:p>
            <w:pPr>
              <w:spacing w:after="0"/>
              <w:rPr>
                <w:sz w:val="11"/>
                <w:szCs w:val="11"/>
                <w:color w:val="auto"/>
              </w:rPr>
            </w:pPr>
          </w:p>
        </w:tc>
        <w:tc>
          <w:tcPr>
            <w:tcW w:w="3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180" w:type="dxa"/>
            <w:vAlign w:val="bottom"/>
          </w:tcPr>
          <w:p>
            <w:pPr>
              <w:spacing w:after="0"/>
              <w:rPr>
                <w:sz w:val="11"/>
                <w:szCs w:val="11"/>
                <w:color w:val="auto"/>
              </w:rPr>
            </w:pPr>
          </w:p>
        </w:tc>
        <w:tc>
          <w:tcPr>
            <w:tcW w:w="1240" w:type="dxa"/>
            <w:vAlign w:val="bottom"/>
            <w:tcBorders>
              <w:right w:val="single" w:sz="8" w:color="auto"/>
            </w:tcBorders>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46"/>
        </w:trPr>
        <w:tc>
          <w:tcPr>
            <w:tcW w:w="372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right w:val="single" w:sz="8" w:color="auto"/>
            </w:tcBorders>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8"/>
        </w:trPr>
        <w:tc>
          <w:tcPr>
            <w:tcW w:w="3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60" w:type="dxa"/>
            <w:vAlign w:val="bottom"/>
            <w:tcBorders>
              <w:right w:val="single" w:sz="8" w:color="auto"/>
            </w:tcBorders>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tcPr>
          <w:p>
            <w:pPr>
              <w:spacing w:after="0"/>
              <w:rPr>
                <w:sz w:val="12"/>
                <w:szCs w:val="12"/>
                <w:color w:val="auto"/>
              </w:rPr>
            </w:pPr>
          </w:p>
        </w:tc>
        <w:tc>
          <w:tcPr>
            <w:tcW w:w="1100" w:type="dxa"/>
            <w:vAlign w:val="bottom"/>
            <w:tcBorders>
              <w:right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center"/>
              <w:ind w:right="75"/>
              <w:spacing w:after="0" w:line="148"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420" w:type="dxa"/>
            <w:vAlign w:val="bottom"/>
            <w:tcBorders>
              <w:right w:val="single" w:sz="8" w:color="auto"/>
            </w:tcBorders>
            <w:gridSpan w:val="2"/>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0" w:type="dxa"/>
            <w:vAlign w:val="bottom"/>
          </w:tcPr>
          <w:p>
            <w:pPr>
              <w:spacing w:after="0"/>
              <w:rPr>
                <w:sz w:val="1"/>
                <w:szCs w:val="1"/>
                <w:color w:val="auto"/>
              </w:rPr>
            </w:pPr>
          </w:p>
        </w:tc>
      </w:tr>
      <w:tr>
        <w:trPr>
          <w:trHeight w:val="199"/>
        </w:trPr>
        <w:tc>
          <w:tcPr>
            <w:tcW w:w="3720" w:type="dxa"/>
            <w:vAlign w:val="bottom"/>
            <w:tcBorders>
              <w:bottom w:val="single" w:sz="8" w:color="auto"/>
              <w:right w:val="single" w:sz="8" w:color="auto"/>
            </w:tcBorders>
            <w:vMerge w:val="continue"/>
          </w:tcPr>
          <w:p>
            <w:pPr>
              <w:spacing w:after="0"/>
              <w:rPr>
                <w:sz w:val="17"/>
                <w:szCs w:val="17"/>
                <w:color w:val="auto"/>
              </w:rPr>
            </w:pPr>
          </w:p>
        </w:tc>
        <w:tc>
          <w:tcPr>
            <w:tcW w:w="3260" w:type="dxa"/>
            <w:vAlign w:val="bottom"/>
            <w:tcBorders>
              <w:bottom w:val="single" w:sz="8" w:color="auto"/>
              <w:right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9"/>
                <w:szCs w:val="9"/>
                <w:b w:val="1"/>
                <w:bCs w:val="1"/>
                <w:color w:val="auto"/>
              </w:rPr>
              <w:t>1</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25"/>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26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3720" w:type="dxa"/>
            <w:vAlign w:val="bottom"/>
            <w:tcBorders>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32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2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2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20"/>
                <w:szCs w:val="20"/>
                <w:color w:val="auto"/>
              </w:rPr>
            </w:pPr>
          </w:p>
        </w:tc>
        <w:tc>
          <w:tcPr>
            <w:tcW w:w="11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shd w:val="clear" w:color="auto" w:fill="CCEEFF"/>
          </w:tcPr>
          <w:p>
            <w:pPr>
              <w:spacing w:after="0"/>
              <w:rPr>
                <w:sz w:val="20"/>
                <w:szCs w:val="20"/>
                <w:color w:val="auto"/>
              </w:rPr>
            </w:pPr>
          </w:p>
        </w:tc>
        <w:tc>
          <w:tcPr>
            <w:tcW w:w="1240" w:type="dxa"/>
            <w:vAlign w:val="bottom"/>
            <w:tcBorders>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ind w:left="895"/>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 derivatives</w:t>
            </w:r>
          </w:p>
        </w:tc>
        <w:tc>
          <w:tcPr>
            <w:tcW w:w="326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6"/>
        </w:trPr>
        <w:tc>
          <w:tcPr>
            <w:tcW w:w="372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26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320" w:type="dxa"/>
            <w:vAlign w:val="bottom"/>
            <w:tcBorders>
              <w:right w:val="single" w:sz="8" w:color="auto"/>
            </w:tcBorders>
          </w:tcPr>
          <w:p>
            <w:pPr>
              <w:jc w:val="center"/>
              <w:ind w:left="895"/>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720" w:type="dxa"/>
            <w:vAlign w:val="bottom"/>
            <w:tcBorders>
              <w:right w:val="single" w:sz="8" w:color="auto"/>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326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72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260" w:type="dxa"/>
            <w:vAlign w:val="bottom"/>
            <w:tcBorders>
              <w:right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1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320" w:type="dxa"/>
            <w:vAlign w:val="bottom"/>
            <w:tcBorders>
              <w:right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Pr>
          <w:p>
            <w:pPr>
              <w:spacing w:after="0"/>
              <w:rPr>
                <w:sz w:val="19"/>
                <w:szCs w:val="19"/>
                <w:color w:val="auto"/>
              </w:rPr>
            </w:pP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2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580" w:type="dxa"/>
            <w:vAlign w:val="bottom"/>
            <w:tcBorders>
              <w:top w:val="single" w:sz="8" w:color="auto"/>
              <w:right w:val="single" w:sz="8" w:color="auto"/>
            </w:tcBorders>
          </w:tcPr>
          <w:p>
            <w:pPr>
              <w:spacing w:after="0"/>
              <w:rPr>
                <w:sz w:val="21"/>
                <w:szCs w:val="21"/>
                <w:color w:val="auto"/>
              </w:rPr>
            </w:pPr>
          </w:p>
        </w:tc>
        <w:tc>
          <w:tcPr>
            <w:tcW w:w="316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4"/>
              </w:rPr>
              <w:t>September 30, 2023</w:t>
            </w:r>
          </w:p>
        </w:tc>
        <w:tc>
          <w:tcPr>
            <w:tcW w:w="122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3580" w:type="dxa"/>
            <w:vAlign w:val="bottom"/>
            <w:tcBorders>
              <w:right w:val="single" w:sz="8" w:color="auto"/>
            </w:tcBorders>
          </w:tcPr>
          <w:p>
            <w:pPr>
              <w:spacing w:after="0"/>
              <w:rPr>
                <w:sz w:val="11"/>
                <w:szCs w:val="11"/>
                <w:color w:val="auto"/>
              </w:rPr>
            </w:pPr>
          </w:p>
        </w:tc>
        <w:tc>
          <w:tcPr>
            <w:tcW w:w="31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right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160" w:type="dxa"/>
            <w:vAlign w:val="bottom"/>
          </w:tcPr>
          <w:p>
            <w:pPr>
              <w:spacing w:after="0"/>
              <w:rPr>
                <w:sz w:val="11"/>
                <w:szCs w:val="11"/>
                <w:color w:val="auto"/>
              </w:rPr>
            </w:pPr>
          </w:p>
        </w:tc>
        <w:tc>
          <w:tcPr>
            <w:tcW w:w="1220" w:type="dxa"/>
            <w:vAlign w:val="bottom"/>
            <w:tcBorders>
              <w:right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48"/>
        </w:trPr>
        <w:tc>
          <w:tcPr>
            <w:tcW w:w="3580" w:type="dxa"/>
            <w:vAlign w:val="bottom"/>
            <w:tcBorders>
              <w:right w:val="single" w:sz="8" w:color="auto"/>
            </w:tcBorders>
          </w:tcPr>
          <w:p>
            <w:pPr>
              <w:spacing w:after="0"/>
              <w:rPr>
                <w:sz w:val="12"/>
                <w:szCs w:val="12"/>
                <w:color w:val="auto"/>
              </w:rPr>
            </w:pPr>
          </w:p>
        </w:tc>
        <w:tc>
          <w:tcPr>
            <w:tcW w:w="31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right w:val="single" w:sz="8" w:color="auto"/>
            </w:tcBorders>
          </w:tcPr>
          <w:p>
            <w:pPr>
              <w:jc w:val="center"/>
              <w:ind w:right="95"/>
              <w:spacing w:after="0" w:line="148"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35"/>
        </w:trPr>
        <w:tc>
          <w:tcPr>
            <w:tcW w:w="3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right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380" w:type="dxa"/>
            <w:vAlign w:val="bottom"/>
            <w:tcBorders>
              <w:right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interim Consolidated</w:t>
            </w:r>
          </w:p>
        </w:tc>
        <w:tc>
          <w:tcPr>
            <w:tcW w:w="0" w:type="dxa"/>
            <w:vAlign w:val="bottom"/>
          </w:tcPr>
          <w:p>
            <w:pPr>
              <w:spacing w:after="0"/>
              <w:rPr>
                <w:sz w:val="1"/>
                <w:szCs w:val="1"/>
                <w:color w:val="auto"/>
              </w:rPr>
            </w:pPr>
          </w:p>
        </w:tc>
      </w:tr>
      <w:tr>
        <w:trPr>
          <w:trHeight w:val="215"/>
        </w:trPr>
        <w:tc>
          <w:tcPr>
            <w:tcW w:w="3580" w:type="dxa"/>
            <w:vAlign w:val="bottom"/>
            <w:tcBorders>
              <w:bottom w:val="single" w:sz="8" w:color="auto"/>
              <w:right w:val="single" w:sz="8" w:color="auto"/>
            </w:tcBorders>
            <w:vMerge w:val="continue"/>
          </w:tcPr>
          <w:p>
            <w:pPr>
              <w:spacing w:after="0"/>
              <w:rPr>
                <w:sz w:val="18"/>
                <w:szCs w:val="18"/>
                <w:color w:val="auto"/>
              </w:rPr>
            </w:pPr>
          </w:p>
        </w:tc>
        <w:tc>
          <w:tcPr>
            <w:tcW w:w="316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Netting</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22"/>
        </w:trPr>
        <w:tc>
          <w:tcPr>
            <w:tcW w:w="3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16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tcBorders>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31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1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80" w:type="dxa"/>
            <w:vAlign w:val="bottom"/>
            <w:tcBorders>
              <w:right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580" w:type="dxa"/>
            <w:vAlign w:val="bottom"/>
            <w:tcBorders>
              <w:right w:val="single" w:sz="8" w:color="auto"/>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316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8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160" w:type="dxa"/>
            <w:vAlign w:val="bottom"/>
            <w:tcBorders>
              <w:righ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2"/>
        </w:trPr>
        <w:tc>
          <w:tcPr>
            <w:tcW w:w="35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 derivatives</w:t>
            </w:r>
          </w:p>
        </w:tc>
        <w:tc>
          <w:tcPr>
            <w:tcW w:w="3160" w:type="dxa"/>
            <w:vAlign w:val="bottom"/>
            <w:tcBorders>
              <w:bottom w:val="single" w:sz="8" w:color="auto"/>
              <w:right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35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16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tcBorders>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31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9"/>
                <w:szCs w:val="19"/>
                <w:color w:val="auto"/>
              </w:rPr>
            </w:pPr>
          </w:p>
        </w:tc>
        <w:tc>
          <w:tcPr>
            <w:tcW w:w="11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80" w:type="dxa"/>
            <w:vAlign w:val="bottom"/>
            <w:tcBorders>
              <w:right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3580" w:type="dxa"/>
            <w:vAlign w:val="bottom"/>
            <w:tcBorders>
              <w:right w:val="single" w:sz="8" w:color="auto"/>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316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8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3160" w:type="dxa"/>
            <w:vAlign w:val="bottom"/>
            <w:tcBorders>
              <w:righ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9"/>
                <w:szCs w:val="19"/>
                <w:color w:val="auto"/>
              </w:rPr>
            </w:pPr>
          </w:p>
        </w:tc>
        <w:tc>
          <w:tcPr>
            <w:tcW w:w="11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280" w:type="dxa"/>
            <w:vAlign w:val="bottom"/>
            <w:tcBorders>
              <w:right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right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0" w:right="40" w:hanging="152"/>
        <w:spacing w:after="0" w:line="297" w:lineRule="auto"/>
        <w:tabs>
          <w:tab w:leader="none" w:pos="32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Derivative Instruments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576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5160" w:type="dxa"/>
            <w:vAlign w:val="bottom"/>
            <w:tcBorders>
              <w:top w:val="single" w:sz="8" w:color="auto"/>
              <w:bottom w:val="single" w:sz="8" w:color="auto"/>
              <w:right w:val="single" w:sz="8" w:color="auto"/>
            </w:tcBorders>
            <w:gridSpan w:val="7"/>
          </w:tcPr>
          <w:p>
            <w:pPr>
              <w:jc w:val="right"/>
              <w:ind w:right="610"/>
              <w:spacing w:after="0" w:line="242" w:lineRule="exact"/>
              <w:rPr>
                <w:sz w:val="20"/>
                <w:szCs w:val="20"/>
                <w:color w:val="auto"/>
              </w:rPr>
            </w:pPr>
            <w:r>
              <w:rPr>
                <w:rFonts w:ascii="Times New Roman" w:cs="Times New Roman" w:eastAsia="Times New Roman" w:hAnsi="Times New Roman"/>
                <w:sz w:val="18"/>
                <w:szCs w:val="18"/>
                <w:b w:val="1"/>
                <w:bCs w:val="1"/>
                <w:color w:val="auto"/>
              </w:rPr>
              <w:t>Amount of Gain (Loss) Recognized in OCI - Pre-Tax</w:t>
            </w:r>
            <w:r>
              <w:rPr>
                <w:rFonts w:ascii="Times New Roman" w:cs="Times New Roman" w:eastAsia="Times New Roman" w:hAnsi="Times New Roman"/>
                <w:sz w:val="23"/>
                <w:szCs w:val="23"/>
                <w:b w:val="1"/>
                <w:bCs w:val="1"/>
                <w:color w:val="auto"/>
                <w:vertAlign w:val="superscript"/>
              </w:rPr>
              <w:t>1</w:t>
            </w:r>
          </w:p>
        </w:tc>
      </w:tr>
      <w:tr>
        <w:trPr>
          <w:trHeight w:val="168"/>
        </w:trPr>
        <w:tc>
          <w:tcPr>
            <w:tcW w:w="57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tcBorders>
              <w:right w:val="single" w:sz="8" w:color="auto"/>
            </w:tcBorders>
            <w:gridSpan w:val="3"/>
          </w:tcPr>
          <w:p>
            <w:pPr>
              <w:jc w:val="center"/>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4"/>
                <w:szCs w:val="14"/>
                <w:color w:val="auto"/>
              </w:rPr>
            </w:pPr>
          </w:p>
        </w:tc>
        <w:tc>
          <w:tcPr>
            <w:tcW w:w="2440" w:type="dxa"/>
            <w:vAlign w:val="bottom"/>
            <w:tcBorders>
              <w:right w:val="single" w:sz="8" w:color="auto"/>
            </w:tcBorders>
            <w:gridSpan w:val="3"/>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7"/>
        </w:trPr>
        <w:tc>
          <w:tcPr>
            <w:tcW w:w="5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5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r>
      <w:tr>
        <w:trPr>
          <w:trHeight w:val="229"/>
        </w:trPr>
        <w:tc>
          <w:tcPr>
            <w:tcW w:w="5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investment hedges:</w:t>
            </w: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r>
      <w:tr>
        <w:trPr>
          <w:trHeight w:val="229"/>
        </w:trPr>
        <w:tc>
          <w:tcPr>
            <w:tcW w:w="5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r>
      <w:tr>
        <w:trPr>
          <w:trHeight w:val="229"/>
        </w:trPr>
        <w:tc>
          <w:tcPr>
            <w:tcW w:w="5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11</w:t>
            </w: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7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Commodity contracts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(26)</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OCI is defined as other comprehensive income (loss).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740" w:type="dxa"/>
            <w:vAlign w:val="bottom"/>
            <w:tcBorders>
              <w:top w:val="single" w:sz="8" w:color="auto"/>
              <w:right w:val="single" w:sz="8" w:color="auto"/>
            </w:tcBorders>
          </w:tcPr>
          <w:p>
            <w:pPr>
              <w:spacing w:after="0"/>
              <w:rPr>
                <w:sz w:val="21"/>
                <w:szCs w:val="21"/>
                <w:color w:val="auto"/>
              </w:rPr>
            </w:pPr>
          </w:p>
        </w:tc>
        <w:tc>
          <w:tcPr>
            <w:tcW w:w="5520" w:type="dxa"/>
            <w:vAlign w:val="bottom"/>
            <w:tcBorders>
              <w:top w:val="single" w:sz="8" w:color="auto"/>
              <w:bottom w:val="single" w:sz="8" w:color="auto"/>
              <w:right w:val="single" w:sz="8" w:color="auto"/>
            </w:tcBorders>
            <w:gridSpan w:val="8"/>
          </w:tcPr>
          <w:p>
            <w:pPr>
              <w:jc w:val="right"/>
              <w:ind w:right="530"/>
              <w:spacing w:after="0" w:line="242" w:lineRule="exact"/>
              <w:rPr>
                <w:sz w:val="20"/>
                <w:szCs w:val="20"/>
                <w:color w:val="auto"/>
              </w:rPr>
            </w:pPr>
            <w:r>
              <w:rPr>
                <w:rFonts w:ascii="Times New Roman" w:cs="Times New Roman" w:eastAsia="Times New Roman" w:hAnsi="Times New Roman"/>
                <w:sz w:val="18"/>
                <w:szCs w:val="18"/>
                <w:b w:val="1"/>
                <w:bCs w:val="1"/>
                <w:color w:val="auto"/>
              </w:rPr>
              <w:t>Amount of Gain (Loss) Recognized in Income - Pre-Tax</w:t>
            </w:r>
            <w:r>
              <w:rPr>
                <w:rFonts w:ascii="Times New Roman" w:cs="Times New Roman" w:eastAsia="Times New Roman" w:hAnsi="Times New Roman"/>
                <w:sz w:val="23"/>
                <w:szCs w:val="23"/>
                <w:b w:val="1"/>
                <w:bCs w:val="1"/>
                <w:color w:val="auto"/>
                <w:vertAlign w:val="superscript"/>
              </w:rPr>
              <w:t>1</w:t>
            </w:r>
          </w:p>
        </w:tc>
      </w:tr>
      <w:tr>
        <w:trPr>
          <w:trHeight w:val="173"/>
        </w:trPr>
        <w:tc>
          <w:tcPr>
            <w:tcW w:w="5740" w:type="dxa"/>
            <w:vAlign w:val="bottom"/>
            <w:tcBorders>
              <w:right w:val="single" w:sz="8" w:color="auto"/>
            </w:tcBorders>
          </w:tcPr>
          <w:p>
            <w:pPr>
              <w:spacing w:after="0"/>
              <w:rPr>
                <w:sz w:val="15"/>
                <w:szCs w:val="15"/>
                <w:color w:val="auto"/>
              </w:rPr>
            </w:pPr>
          </w:p>
        </w:tc>
        <w:tc>
          <w:tcPr>
            <w:tcW w:w="2320" w:type="dxa"/>
            <w:vAlign w:val="bottom"/>
            <w:gridSpan w:val="3"/>
          </w:tcPr>
          <w:p>
            <w:pPr>
              <w:jc w:val="right"/>
              <w:ind w:right="70"/>
              <w:spacing w:after="0" w:line="17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tcBorders>
              <w:right w:val="single" w:sz="8" w:color="auto"/>
            </w:tcBorders>
            <w:gridSpan w:val="3"/>
          </w:tcPr>
          <w:p>
            <w:pPr>
              <w:jc w:val="right"/>
              <w:ind w:right="570"/>
              <w:spacing w:after="0" w:line="173"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40" w:type="dxa"/>
            <w:vAlign w:val="bottom"/>
            <w:tcBorders>
              <w:right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2"/>
        </w:trPr>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57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940" w:type="dxa"/>
            <w:vAlign w:val="bottom"/>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r>
      <w:tr>
        <w:trPr>
          <w:trHeight w:val="229"/>
        </w:trPr>
        <w:tc>
          <w:tcPr>
            <w:tcW w:w="5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9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r>
      <w:tr>
        <w:trPr>
          <w:trHeight w:val="229"/>
        </w:trPr>
        <w:tc>
          <w:tcPr>
            <w:tcW w:w="5740" w:type="dxa"/>
            <w:vAlign w:val="bottom"/>
            <w:tcBorders>
              <w:right w:val="single" w:sz="8" w:color="auto"/>
            </w:tcBorders>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740" w:type="dxa"/>
            <w:vAlign w:val="bottom"/>
            <w:tcBorders>
              <w:bottom w:val="single" w:sz="8" w:color="auto"/>
              <w:right w:val="single" w:sz="8" w:color="auto"/>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22"/>
        </w:trPr>
        <w:tc>
          <w:tcPr>
            <w:tcW w:w="57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22"/>
        </w:trPr>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9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r>
      <w:tr>
        <w:trPr>
          <w:trHeight w:val="229"/>
        </w:trPr>
        <w:tc>
          <w:tcPr>
            <w:tcW w:w="5740" w:type="dxa"/>
            <w:vAlign w:val="bottom"/>
            <w:tcBorders>
              <w:right w:val="single" w:sz="8" w:color="auto"/>
            </w:tcBorders>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3"/>
                <w:szCs w:val="23"/>
                <w:color w:val="auto"/>
                <w:vertAlign w:val="superscript"/>
              </w:rPr>
              <w:t>3</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740" w:type="dxa"/>
            <w:vAlign w:val="bottom"/>
            <w:tcBorders>
              <w:right w:val="single" w:sz="8" w:color="auto"/>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19"/>
                <w:szCs w:val="19"/>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spacing w:after="0"/>
              <w:rPr>
                <w:sz w:val="19"/>
                <w:szCs w:val="19"/>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1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740" w:type="dxa"/>
            <w:vAlign w:val="bottom"/>
            <w:tcBorders>
              <w:right w:val="single" w:sz="8" w:color="auto"/>
            </w:tcBorders>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3"/>
                <w:szCs w:val="23"/>
                <w:color w:val="auto"/>
                <w:vertAlign w:val="superscript"/>
              </w:rPr>
              <w:t>2,4</w:t>
            </w:r>
          </w:p>
        </w:tc>
        <w:tc>
          <w:tcPr>
            <w:tcW w:w="940" w:type="dxa"/>
            <w:vAlign w:val="bottom"/>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740" w:type="dxa"/>
            <w:vAlign w:val="bottom"/>
            <w:tcBorders>
              <w:bottom w:val="single" w:sz="8" w:color="auto"/>
              <w:right w:val="single" w:sz="8" w:color="auto"/>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22"/>
        </w:trPr>
        <w:tc>
          <w:tcPr>
            <w:tcW w:w="57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71"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cash flow hedges, this represents the portion of the gain (loss) reclassified from accumulated OCI into income during the period.</w:t>
      </w:r>
    </w:p>
    <w:p>
      <w:pPr>
        <w:spacing w:after="0" w:line="2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in cost of goods sold in the interim Consolidated Statements of Operations.</w:t>
      </w:r>
    </w:p>
    <w:p>
      <w:pPr>
        <w:spacing w:after="0" w:line="13" w:lineRule="exact"/>
        <w:rPr>
          <w:rFonts w:ascii="Times New Roman" w:cs="Times New Roman" w:eastAsia="Times New Roman" w:hAnsi="Times New Roman"/>
          <w:sz w:val="14"/>
          <w:szCs w:val="14"/>
          <w:color w:val="auto"/>
        </w:rPr>
      </w:pPr>
    </w:p>
    <w:p>
      <w:pPr>
        <w:ind w:left="160" w:right="20" w:hanging="152"/>
        <w:spacing w:after="0" w:line="254" w:lineRule="auto"/>
        <w:tabs>
          <w:tab w:leader="none" w:pos="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other income (expense). Note that net loss from foreign currency contracts was partially offset by the related gain on the foreign currency-denominated monetary assets and liabilities of the company's operations. See Note 6 - Supplementary Information, to the interim Consolidated Financial Statements, for additional information.</w:t>
      </w:r>
    </w:p>
    <w:p>
      <w:pPr>
        <w:ind w:left="160" w:right="20" w:hanging="152"/>
        <w:spacing w:after="0" w:line="273" w:lineRule="auto"/>
        <w:tabs>
          <w:tab w:leader="none" w:pos="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gain (loss) relating to commodity contracts that are not designated as hedging instruments that were recorded in cost of goods sold, in the interim Consolidated Statements of Operations, are mostly offset by the related net gain (loss) on third-party grower contracts denominated as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company’s debt securities include foreign government bonds classified as held-to-maturity securities at September 30, 2024, December 31, 2023 and September 30, 2023, and available-for-sale securities at September 30, 2024. The company’s investments in held-to-maturity securities are held at amortized cost, which approximates fair value, and are held by certain foreign subsidiaries in which the USD is the functional currency. The debt securities classified as held-to-maturity at September 30, 2024 with a contractual maturity within one year was $55 million.</w:t>
      </w:r>
    </w:p>
    <w:p>
      <w:pPr>
        <w:spacing w:after="0" w:line="21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company’s investments in debt securities classified as available-for-sale are recorded at fair value with unrealized gains and losses recorded in accumulated other comprehensive income (loss), within the interim Consolidated Statements of Equity, or current period earnings if an allowance for credit losses has been established, within the interim Consolidated Statements of Operations. The debt securities classified as available-for-sale at September 30, 2024 with a contractual maturity within one year had an amortized cost of $17 million, gross unrealized gains (losses) of $(1) million and a fair value of $16 million. The debt securities classified as available-for-sale at September 30, 2024 with a contractual maturity of one to five years had an amortized cost of $103 million, gross unrealized gains (losses) of $(13) million and a fair value of $90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available-for-sale securities as of September 30, 2024 was determined using Level 2 inputs within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measurements were based on the closing price at the end of the period quoted market prices in active markets for identical assets and liabilities.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basis used to measure certain assets and liabilities at fair value on a recurring basis: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tcBorders>
              <w:top w:val="single" w:sz="8" w:color="auto"/>
              <w:right w:val="single" w:sz="8" w:color="auto"/>
            </w:tcBorders>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80" w:type="dxa"/>
            <w:vAlign w:val="bottom"/>
            <w:tcBorders>
              <w:top w:val="single" w:sz="8" w:color="auto"/>
              <w:bottom w:val="single" w:sz="8" w:color="auto"/>
              <w:right w:val="single" w:sz="8" w:color="auto"/>
            </w:tcBorders>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top w:val="single" w:sz="8" w:color="auto"/>
              <w:bottom w:val="single" w:sz="8" w:color="auto"/>
              <w:right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00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38"/>
        </w:trPr>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40" w:type="dxa"/>
            <w:vAlign w:val="bottom"/>
            <w:tcBorders>
              <w:bottom w:val="single" w:sz="8" w:color="auto"/>
            </w:tcBorders>
          </w:tcPr>
          <w:p>
            <w:pPr>
              <w:jc w:val="right"/>
              <w:ind w:right="350"/>
              <w:spacing w:after="0" w:line="237" w:lineRule="exact"/>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23"/>
                <w:szCs w:val="23"/>
                <w:b w:val="1"/>
                <w:bCs w:val="1"/>
                <w:color w:val="auto"/>
                <w:vertAlign w:val="superscript"/>
              </w:rPr>
              <w:t>1</w:t>
            </w:r>
          </w:p>
        </w:tc>
        <w:tc>
          <w:tcPr>
            <w:tcW w:w="38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jc w:val="right"/>
              <w:ind w:right="350"/>
              <w:spacing w:after="0" w:line="237" w:lineRule="exact"/>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23"/>
                <w:szCs w:val="23"/>
                <w:b w:val="1"/>
                <w:bCs w:val="1"/>
                <w:color w:val="auto"/>
                <w:vertAlign w:val="superscript"/>
              </w:rPr>
              <w:t>1</w:t>
            </w:r>
          </w:p>
        </w:tc>
        <w:tc>
          <w:tcPr>
            <w:tcW w:w="3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right"/>
              <w:ind w:right="730"/>
              <w:spacing w:after="0" w:line="237" w:lineRule="exact"/>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23"/>
                <w:szCs w:val="23"/>
                <w:b w:val="1"/>
                <w:bCs w:val="1"/>
                <w:color w:val="auto"/>
                <w:vertAlign w:val="superscript"/>
              </w:rPr>
              <w:t>1</w:t>
            </w:r>
          </w:p>
        </w:tc>
      </w:tr>
      <w:tr>
        <w:trPr>
          <w:trHeight w:val="222"/>
        </w:trPr>
        <w:tc>
          <w:tcPr>
            <w:tcW w:w="4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184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r>
      <w:tr>
        <w:trPr>
          <w:trHeight w:val="309"/>
        </w:trPr>
        <w:tc>
          <w:tcPr>
            <w:tcW w:w="45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5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184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r>
      <w:tr>
        <w:trPr>
          <w:trHeight w:val="229"/>
        </w:trPr>
        <w:tc>
          <w:tcPr>
            <w:tcW w:w="4580" w:type="dxa"/>
            <w:vAlign w:val="bottom"/>
            <w:tcBorders>
              <w:right w:val="single" w:sz="8" w:color="auto"/>
            </w:tcBorders>
          </w:tcPr>
          <w:p>
            <w:pPr>
              <w:ind w:left="300"/>
              <w:spacing w:after="0" w:line="229" w:lineRule="exact"/>
              <w:rPr>
                <w:sz w:val="20"/>
                <w:szCs w:val="20"/>
                <w:color w:val="auto"/>
              </w:rPr>
            </w:pPr>
            <w:r>
              <w:rPr>
                <w:rFonts w:ascii="Times New Roman" w:cs="Times New Roman" w:eastAsia="Times New Roman" w:hAnsi="Times New Roman"/>
                <w:sz w:val="18"/>
                <w:szCs w:val="18"/>
                <w:color w:val="auto"/>
              </w:rPr>
              <w:t>Foreign government bonds</w:t>
            </w:r>
            <w:r>
              <w:rPr>
                <w:rFonts w:ascii="Times New Roman" w:cs="Times New Roman" w:eastAsia="Times New Roman" w:hAnsi="Times New Roman"/>
                <w:sz w:val="23"/>
                <w:szCs w:val="23"/>
                <w:color w:val="auto"/>
                <w:vertAlign w:val="superscript"/>
              </w:rPr>
              <w:t>2</w:t>
            </w:r>
          </w:p>
        </w:tc>
        <w:tc>
          <w:tcPr>
            <w:tcW w:w="1840" w:type="dxa"/>
            <w:vAlign w:val="bottom"/>
          </w:tcPr>
          <w:p>
            <w:pPr>
              <w:spacing w:after="0"/>
              <w:rPr>
                <w:sz w:val="19"/>
                <w:szCs w:val="19"/>
                <w:color w:val="auto"/>
              </w:rPr>
            </w:pPr>
          </w:p>
        </w:tc>
        <w:tc>
          <w:tcPr>
            <w:tcW w:w="3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106</w:t>
            </w:r>
          </w:p>
        </w:tc>
        <w:tc>
          <w:tcPr>
            <w:tcW w:w="184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09"/>
        </w:trPr>
        <w:tc>
          <w:tcPr>
            <w:tcW w:w="45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relating to:</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spacing w:after="0"/>
              <w:rPr>
                <w:sz w:val="24"/>
                <w:szCs w:val="24"/>
                <w:color w:val="auto"/>
              </w:rPr>
            </w:pPr>
          </w:p>
        </w:tc>
        <w:tc>
          <w:tcPr>
            <w:tcW w:w="380" w:type="dxa"/>
            <w:vAlign w:val="bottom"/>
            <w:tcBorders>
              <w:right w:val="single" w:sz="8" w:color="auto"/>
            </w:tcBorders>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380" w:type="dxa"/>
            <w:vAlign w:val="bottom"/>
            <w:tcBorders>
              <w:right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tcBorders>
              <w:right w:val="single" w:sz="8" w:color="auto"/>
            </w:tcBorders>
            <w:shd w:val="clear" w:color="auto" w:fill="CCEEFF"/>
          </w:tcPr>
          <w:p>
            <w:pPr>
              <w:spacing w:after="0"/>
              <w:rPr>
                <w:sz w:val="24"/>
                <w:szCs w:val="24"/>
                <w:color w:val="auto"/>
              </w:rPr>
            </w:pPr>
          </w:p>
        </w:tc>
      </w:tr>
      <w:tr>
        <w:trPr>
          <w:trHeight w:val="229"/>
        </w:trPr>
        <w:tc>
          <w:tcPr>
            <w:tcW w:w="4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w:t>
            </w:r>
          </w:p>
        </w:tc>
        <w:tc>
          <w:tcPr>
            <w:tcW w:w="1840" w:type="dxa"/>
            <w:vAlign w:val="bottom"/>
          </w:tcPr>
          <w:p>
            <w:pPr>
              <w:spacing w:after="0"/>
              <w:rPr>
                <w:sz w:val="19"/>
                <w:szCs w:val="19"/>
                <w:color w:val="auto"/>
              </w:rPr>
            </w:pPr>
          </w:p>
        </w:tc>
        <w:tc>
          <w:tcPr>
            <w:tcW w:w="3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105</w:t>
            </w:r>
          </w:p>
        </w:tc>
        <w:tc>
          <w:tcPr>
            <w:tcW w:w="184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58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1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2"/>
        </w:trPr>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4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272</w:t>
            </w:r>
          </w:p>
        </w:tc>
        <w:tc>
          <w:tcPr>
            <w:tcW w:w="184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22"/>
        </w:trPr>
        <w:tc>
          <w:tcPr>
            <w:tcW w:w="4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184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r>
      <w:tr>
        <w:trPr>
          <w:trHeight w:val="309"/>
        </w:trPr>
        <w:tc>
          <w:tcPr>
            <w:tcW w:w="45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Derivatives relating to:</w:t>
            </w:r>
            <w:r>
              <w:rPr>
                <w:rFonts w:ascii="Times New Roman" w:cs="Times New Roman" w:eastAsia="Times New Roman" w:hAnsi="Times New Roman"/>
                <w:sz w:val="23"/>
                <w:szCs w:val="23"/>
                <w:color w:val="auto"/>
                <w:vertAlign w:val="superscript"/>
              </w:rPr>
              <w:t>3</w:t>
            </w:r>
          </w:p>
        </w:tc>
        <w:tc>
          <w:tcPr>
            <w:tcW w:w="18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229"/>
        </w:trPr>
        <w:tc>
          <w:tcPr>
            <w:tcW w:w="458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w:t>
            </w: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45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18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8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840" w:type="dxa"/>
            <w:vAlign w:val="bottom"/>
            <w:tcBorders>
              <w:bottom w:val="single" w:sz="8" w:color="auto"/>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840" w:type="dxa"/>
            <w:vAlign w:val="bottom"/>
            <w:tcBorders>
              <w:bottom w:val="single" w:sz="8" w:color="auto"/>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1"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significant other observable inputs.</w:t>
      </w:r>
    </w:p>
    <w:p>
      <w:pPr>
        <w:spacing w:after="0" w:line="16" w:lineRule="exact"/>
        <w:rPr>
          <w:rFonts w:ascii="Times New Roman" w:cs="Times New Roman" w:eastAsia="Times New Roman" w:hAnsi="Times New Roman"/>
          <w:sz w:val="14"/>
          <w:szCs w:val="14"/>
          <w:color w:val="auto"/>
        </w:rPr>
      </w:pPr>
    </w:p>
    <w:p>
      <w:pPr>
        <w:ind w:left="160" w:right="20" w:hanging="152"/>
        <w:spacing w:after="0" w:line="256" w:lineRule="auto"/>
        <w:tabs>
          <w:tab w:leader="none" w:pos="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investments in debt securities that are classified as available-for-sale, which are included in marketable securities and other assets in the interim Consolidated Balance Sheets.</w:t>
      </w:r>
    </w:p>
    <w:p>
      <w:pPr>
        <w:spacing w:after="0" w:line="1"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 Financial Instruments for the classification of derivatives in the interim Consolidated Balance Sheets.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5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Corteva’s reportable segments reflects the manner in which its chief operating decision maker ("CODM") allocates resources and assesses performance, which is at the operating segment level (Seed and Crop Protection). For purposes of allocating resources to the segments and assessing segment performance, segment operating EBITDA is the primary measure used by Corteva’s CODM. 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Non-operating benefits (costs) consists of non-operating pension and other post-employment benefit (OPEB) credits (costs), tax indemnification adjustments and environmental remediation and legal costs associated with legacy EIDP businesses and sites. Tax indemnification adjustments relate to changes in indemnification balances, as a result of the application of the terms of the Tax Matters Agreement, between Corteva and Dow and/or DuPont that are recorded by the company as pre-tax income or expense.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respective segment results to reflect the economic effects of the foreign currency derivative contracts without the resulting unrealized mark to fair value volatility.</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of and for the Three Months Ended September 30,</w:t>
            </w:r>
          </w:p>
        </w:tc>
        <w:tc>
          <w:tcPr>
            <w:tcW w:w="460" w:type="dxa"/>
            <w:vAlign w:val="bottom"/>
            <w:tcBorders>
              <w:top w:val="single" w:sz="8" w:color="auto"/>
            </w:tcBorders>
          </w:tcPr>
          <w:p>
            <w:pPr>
              <w:spacing w:after="0"/>
              <w:rPr>
                <w:sz w:val="16"/>
                <w:szCs w:val="16"/>
                <w:color w:val="auto"/>
              </w:rPr>
            </w:pPr>
          </w:p>
        </w:tc>
        <w:tc>
          <w:tcPr>
            <w:tcW w:w="1580" w:type="dxa"/>
            <w:vAlign w:val="bottom"/>
            <w:tcBorders>
              <w:top w:val="single" w:sz="8" w:color="auto"/>
              <w:right w:val="single" w:sz="8" w:color="auto"/>
            </w:tcBorders>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4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460" w:type="dxa"/>
            <w:vAlign w:val="bottom"/>
            <w:tcBorders>
              <w:top w:val="single" w:sz="8" w:color="auto"/>
            </w:tcBorders>
          </w:tcPr>
          <w:p>
            <w:pPr>
              <w:spacing w:after="0"/>
              <w:rPr>
                <w:sz w:val="16"/>
                <w:szCs w:val="16"/>
                <w:color w:val="auto"/>
              </w:rPr>
            </w:pPr>
          </w:p>
        </w:tc>
        <w:tc>
          <w:tcPr>
            <w:tcW w:w="1580" w:type="dxa"/>
            <w:vAlign w:val="bottom"/>
            <w:tcBorders>
              <w:top w:val="single" w:sz="8" w:color="auto"/>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29"/>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EBITDA</w:t>
            </w:r>
          </w:p>
        </w:tc>
        <w:tc>
          <w:tcPr>
            <w:tcW w:w="4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CEEFF"/>
          </w:tcPr>
          <w:p>
            <w:pPr>
              <w:spacing w:after="0"/>
              <w:rPr>
                <w:sz w:val="19"/>
                <w:szCs w:val="19"/>
                <w:color w:val="auto"/>
              </w:rPr>
            </w:pPr>
          </w:p>
        </w:tc>
        <w:tc>
          <w:tcPr>
            <w:tcW w:w="1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6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516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Segment assets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22,192</w:t>
            </w:r>
          </w:p>
        </w:tc>
        <w:tc>
          <w:tcPr>
            <w:tcW w:w="240" w:type="dxa"/>
            <w:vAlign w:val="bottom"/>
          </w:tcPr>
          <w:p>
            <w:pPr>
              <w:spacing w:after="0"/>
              <w:rPr>
                <w:sz w:val="19"/>
                <w:szCs w:val="19"/>
                <w:color w:val="auto"/>
              </w:rPr>
            </w:pP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460" w:type="dxa"/>
            <w:vAlign w:val="bottom"/>
          </w:tcPr>
          <w:p>
            <w:pPr>
              <w:spacing w:after="0"/>
              <w:rPr>
                <w:sz w:val="19"/>
                <w:szCs w:val="19"/>
                <w:color w:val="auto"/>
              </w:rPr>
            </w:pPr>
          </w:p>
        </w:tc>
        <w:tc>
          <w:tcPr>
            <w:tcW w:w="1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37,087</w:t>
            </w:r>
          </w:p>
        </w:tc>
        <w:tc>
          <w:tcPr>
            <w:tcW w:w="0" w:type="dxa"/>
            <w:vAlign w:val="bottom"/>
          </w:tcPr>
          <w:p>
            <w:pPr>
              <w:spacing w:after="0"/>
              <w:rPr>
                <w:sz w:val="1"/>
                <w:szCs w:val="1"/>
                <w:color w:val="auto"/>
              </w:rPr>
            </w:pPr>
          </w:p>
        </w:tc>
      </w:tr>
      <w:tr>
        <w:trPr>
          <w:trHeight w:val="215"/>
        </w:trPr>
        <w:tc>
          <w:tcPr>
            <w:tcW w:w="51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29"/>
        </w:trPr>
        <w:tc>
          <w:tcPr>
            <w:tcW w:w="5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EBITDA</w:t>
            </w:r>
          </w:p>
        </w:tc>
        <w:tc>
          <w:tcPr>
            <w:tcW w:w="460" w:type="dxa"/>
            <w:vAlign w:val="bottom"/>
          </w:tcPr>
          <w:p>
            <w:pPr>
              <w:spacing w:after="0"/>
              <w:rPr>
                <w:sz w:val="19"/>
                <w:szCs w:val="19"/>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9"/>
                <w:szCs w:val="19"/>
                <w:color w:val="auto"/>
              </w:rPr>
            </w:pP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60" w:type="dxa"/>
            <w:vAlign w:val="bottom"/>
          </w:tcPr>
          <w:p>
            <w:pPr>
              <w:spacing w:after="0"/>
              <w:rPr>
                <w:sz w:val="19"/>
                <w:szCs w:val="19"/>
                <w:color w:val="auto"/>
              </w:rPr>
            </w:pPr>
          </w:p>
        </w:tc>
        <w:tc>
          <w:tcPr>
            <w:tcW w:w="1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Segment assets</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22,829</w:t>
            </w: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4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38,275</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1.</w:t>
        <w:tab/>
        <w:t>Segment assets at December 31, 2023 were $22,732 million and $15,004 million for Seed and Crop Protection, respectively.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060" w:type="dxa"/>
            <w:vAlign w:val="bottom"/>
            <w:tcBorders>
              <w:top w:val="single" w:sz="8" w:color="auto"/>
              <w:right w:val="single" w:sz="8" w:color="auto"/>
            </w:tcBorders>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As of and for the Nine Months Ended September 30,</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Seed</w:t>
            </w: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80" w:type="dxa"/>
            <w:vAlign w:val="bottom"/>
            <w:tcBorders>
              <w:top w:val="single" w:sz="8" w:color="auto"/>
              <w:left w:val="single" w:sz="8" w:color="auto"/>
            </w:tcBorders>
          </w:tcPr>
          <w:p>
            <w:pPr>
              <w:spacing w:after="0"/>
              <w:rPr>
                <w:sz w:val="17"/>
                <w:szCs w:val="17"/>
                <w:color w:val="auto"/>
              </w:rPr>
            </w:pPr>
          </w:p>
        </w:tc>
        <w:tc>
          <w:tcPr>
            <w:tcW w:w="104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280" w:type="dxa"/>
            <w:vAlign w:val="bottom"/>
            <w:tcBorders>
              <w:left w:val="single" w:sz="8" w:color="auto"/>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auto"/>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spacing w:after="0"/>
              <w:rPr>
                <w:sz w:val="19"/>
                <w:szCs w:val="19"/>
                <w:color w:val="auto"/>
              </w:rPr>
            </w:pPr>
          </w:p>
        </w:tc>
        <w:tc>
          <w:tcPr>
            <w:tcW w:w="62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80" w:type="dxa"/>
            <w:vAlign w:val="bottom"/>
            <w:tcBorders>
              <w:left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EBITDA</w:t>
            </w:r>
          </w:p>
        </w:tc>
        <w:tc>
          <w:tcPr>
            <w:tcW w:w="22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tcBorders>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tcBorders>
              <w:left w:val="single" w:sz="8" w:color="auto"/>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auto"/>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spacing w:after="0"/>
              <w:rPr>
                <w:sz w:val="19"/>
                <w:szCs w:val="19"/>
                <w:color w:val="auto"/>
              </w:rPr>
            </w:pPr>
          </w:p>
        </w:tc>
        <w:tc>
          <w:tcPr>
            <w:tcW w:w="62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80" w:type="dxa"/>
            <w:vAlign w:val="bottom"/>
            <w:tcBorders>
              <w:left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EBITDA</w:t>
            </w:r>
          </w:p>
        </w:tc>
        <w:tc>
          <w:tcPr>
            <w:tcW w:w="220" w:type="dxa"/>
            <w:vAlign w:val="bottom"/>
            <w:tcBorders>
              <w:bottom w:val="single" w:sz="8" w:color="auto"/>
              <w:right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tcBorders>
              <w:bottom w:val="single" w:sz="8" w:color="auto"/>
              <w:right w:val="single" w:sz="8" w:color="CCEEFF"/>
            </w:tcBorders>
            <w:shd w:val="clear" w:color="auto" w:fill="CCEEFF"/>
          </w:tcPr>
          <w:p>
            <w:pPr>
              <w:spacing w:after="0"/>
              <w:rPr>
                <w:sz w:val="20"/>
                <w:szCs w:val="20"/>
                <w:color w:val="auto"/>
              </w:rPr>
            </w:pPr>
          </w:p>
        </w:tc>
        <w:tc>
          <w:tcPr>
            <w:tcW w:w="580" w:type="dxa"/>
            <w:vAlign w:val="bottom"/>
            <w:tcBorders>
              <w:bottom w:val="single" w:sz="8" w:color="auto"/>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tcBorders>
              <w:left w:val="single" w:sz="8" w:color="auto"/>
              <w:bottom w:val="single" w:sz="8" w:color="auto"/>
              <w:right w:val="single" w:sz="8" w:color="CCEEFF"/>
            </w:tcBorders>
            <w:shd w:val="clear" w:color="auto" w:fill="CCEEFF"/>
          </w:tcPr>
          <w:p>
            <w:pPr>
              <w:spacing w:after="0"/>
              <w:rPr>
                <w:sz w:val="20"/>
                <w:szCs w:val="20"/>
                <w:color w:val="auto"/>
              </w:rPr>
            </w:pPr>
          </w:p>
        </w:tc>
        <w:tc>
          <w:tcPr>
            <w:tcW w:w="780" w:type="dxa"/>
            <w:vAlign w:val="bottom"/>
            <w:tcBorders>
              <w:bottom w:val="single" w:sz="8" w:color="auto"/>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to interim Consolidated Financial Statements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140" w:type="dxa"/>
            <w:vAlign w:val="bottom"/>
            <w:gridSpan w:val="2"/>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gridSpan w:val="3"/>
          </w:tcPr>
          <w:p>
            <w:pPr>
              <w:spacing w:after="0"/>
              <w:rPr>
                <w:sz w:val="7"/>
                <w:szCs w:val="7"/>
                <w:color w:val="auto"/>
              </w:rPr>
            </w:pPr>
          </w:p>
        </w:tc>
        <w:tc>
          <w:tcPr>
            <w:tcW w:w="280" w:type="dxa"/>
            <w:vAlign w:val="bottom"/>
          </w:tcPr>
          <w:p>
            <w:pPr>
              <w:spacing w:after="0"/>
              <w:rPr>
                <w:sz w:val="7"/>
                <w:szCs w:val="7"/>
                <w:color w:val="auto"/>
              </w:rPr>
            </w:pPr>
          </w:p>
        </w:tc>
        <w:tc>
          <w:tcPr>
            <w:tcW w:w="1980" w:type="dxa"/>
            <w:vAlign w:val="bottom"/>
            <w:gridSpan w:val="5"/>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6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Income (loss) from continuing operations after income taxes to segment operating</w:t>
            </w:r>
          </w:p>
        </w:tc>
        <w:tc>
          <w:tcPr>
            <w:tcW w:w="320" w:type="dxa"/>
            <w:vAlign w:val="bottom"/>
            <w:tcBorders>
              <w:top w:val="single" w:sz="8" w:color="auto"/>
              <w:right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980" w:type="dxa"/>
            <w:vAlign w:val="bottom"/>
            <w:tcBorders>
              <w:top w:val="single" w:sz="8" w:color="auto"/>
              <w:right w:val="single" w:sz="8" w:color="auto"/>
            </w:tcBorders>
            <w:gridSpan w:val="4"/>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80" w:type="dxa"/>
            <w:vAlign w:val="bottom"/>
            <w:tcBorders>
              <w:top w:val="single" w:sz="8" w:color="auto"/>
            </w:tcBorders>
          </w:tcPr>
          <w:p>
            <w:pPr>
              <w:spacing w:after="0"/>
              <w:rPr>
                <w:sz w:val="14"/>
                <w:szCs w:val="14"/>
                <w:color w:val="auto"/>
              </w:rPr>
            </w:pPr>
          </w:p>
        </w:tc>
        <w:tc>
          <w:tcPr>
            <w:tcW w:w="1900" w:type="dxa"/>
            <w:vAlign w:val="bottom"/>
            <w:tcBorders>
              <w:top w:val="single" w:sz="8" w:color="auto"/>
              <w:right w:val="single" w:sz="8" w:color="auto"/>
            </w:tcBorders>
            <w:gridSpan w:val="4"/>
          </w:tcPr>
          <w:p>
            <w:pPr>
              <w:jc w:val="right"/>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22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Borders>
              <w:left w:val="single" w:sz="8" w:color="CCEEFF"/>
              <w:right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20" w:type="dxa"/>
            <w:vAlign w:val="bottom"/>
            <w:tcBorders>
              <w:bottom w:val="single" w:sz="8" w:color="auto"/>
              <w:right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right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right w:val="single" w:sz="8" w:color="CCEEFF"/>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Borders>
              <w:left w:val="single" w:sz="8" w:color="CCEEFF"/>
              <w:bottom w:val="single" w:sz="8" w:color="auto"/>
              <w:right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Exchange (gains) losses</w:t>
            </w:r>
          </w:p>
        </w:tc>
        <w:tc>
          <w:tcPr>
            <w:tcW w:w="22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Non-operating (benefits) costs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320" w:type="dxa"/>
            <w:vAlign w:val="bottom"/>
            <w:gridSpan w:val="3"/>
            <w:shd w:val="clear" w:color="auto" w:fill="CCEEFF"/>
          </w:tcPr>
          <w:p>
            <w:pPr>
              <w:ind w:left="60"/>
              <w:spacing w:after="0" w:line="175" w:lineRule="exact"/>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w:t>
            </w:r>
          </w:p>
        </w:tc>
        <w:tc>
          <w:tcPr>
            <w:tcW w:w="320" w:type="dxa"/>
            <w:vAlign w:val="bottom"/>
            <w:tcBorders>
              <w:right w:val="single" w:sz="8" w:color="auto"/>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hedges</w:t>
            </w:r>
          </w:p>
        </w:tc>
        <w:tc>
          <w:tcPr>
            <w:tcW w:w="220" w:type="dxa"/>
            <w:vAlign w:val="bottom"/>
            <w:tcBorders>
              <w:right w:val="single" w:sz="8" w:color="CCEEFF"/>
            </w:tcBorders>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tcBorders>
              <w:right w:val="single" w:sz="8" w:color="auto"/>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1"/>
                <w:szCs w:val="21"/>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21"/>
                <w:szCs w:val="21"/>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Significant items (benefit) charge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920" w:type="dxa"/>
            <w:vAlign w:val="bottom"/>
            <w:tcBorders>
              <w:bottom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auto"/>
              <w:right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right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CCEEFF"/>
            </w:tcBorders>
            <w:shd w:val="clear" w:color="auto" w:fill="CCEEFF"/>
          </w:tcPr>
          <w:p>
            <w:pPr>
              <w:spacing w:after="0"/>
              <w:rPr>
                <w:sz w:val="19"/>
                <w:szCs w:val="19"/>
                <w:color w:val="auto"/>
              </w:rPr>
            </w:pPr>
          </w:p>
        </w:tc>
        <w:tc>
          <w:tcPr>
            <w:tcW w:w="240" w:type="dxa"/>
            <w:vAlign w:val="bottom"/>
            <w:tcBorders>
              <w:bottom w:val="single" w:sz="8" w:color="auto"/>
              <w:right w:val="single" w:sz="8" w:color="CCEEFF"/>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left w:val="single" w:sz="8" w:color="CCEEFF"/>
              <w:bottom w:val="single" w:sz="8" w:color="auto"/>
              <w:right w:val="single" w:sz="8" w:color="CCEEFF"/>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Segment operating EBITDA</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spacing w:after="0"/>
              <w:rPr>
                <w:sz w:val="24"/>
                <w:szCs w:val="24"/>
                <w:color w:val="auto"/>
              </w:rPr>
            </w:pPr>
          </w:p>
        </w:tc>
        <w:tc>
          <w:tcPr>
            <w:tcW w:w="198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Segment assets to total assets </w:t>
            </w: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9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220" w:type="dxa"/>
            <w:vAlign w:val="bottom"/>
            <w:tcBorders>
              <w:right w:val="single" w:sz="8" w:color="auto"/>
            </w:tcBorders>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37,087</w:t>
            </w:r>
          </w:p>
        </w:tc>
        <w:tc>
          <w:tcPr>
            <w:tcW w:w="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37,736</w:t>
            </w:r>
          </w:p>
        </w:tc>
        <w:tc>
          <w:tcPr>
            <w:tcW w:w="780" w:type="dxa"/>
            <w:vAlign w:val="bottom"/>
            <w:tcBorders>
              <w:right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assets</w:t>
            </w:r>
          </w:p>
        </w:tc>
        <w:tc>
          <w:tcPr>
            <w:tcW w:w="22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4,821</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5,260</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41,908</w:t>
            </w:r>
          </w:p>
        </w:tc>
        <w:tc>
          <w:tcPr>
            <w:tcW w:w="58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42,996</w:t>
            </w:r>
          </w:p>
        </w:tc>
        <w:tc>
          <w:tcPr>
            <w:tcW w:w="780" w:type="dxa"/>
            <w:vAlign w:val="bottom"/>
            <w:tcBorders>
              <w:bottom w:val="single" w:sz="8" w:color="auto"/>
              <w:right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Pre-tax (Charges) Benefits Not Included in Segment Operating EBITDA</w:t>
      </w:r>
    </w:p>
    <w:p>
      <w:pPr>
        <w:spacing w:after="0" w:line="3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three and nine months ended September 30, 2024 and 2023, respectively, included the following significant pre-tax (charges) benefits which are excluded from segment operating EBITDA: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49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Restructuring and asset related charges - net</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92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(19)</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49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2023</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Restructuring and asset related charges - net</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92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Estimated settlement expense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Gain (loss) on sale of business, assets and equity investments</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920" w:type="dxa"/>
            <w:vAlign w:val="bottom"/>
            <w:tcBorders>
              <w:bottom w:val="single" w:sz="8" w:color="auto"/>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49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Restructuring and asset related charges - net</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492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Estimated settlement expense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Inventory write-offs</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2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92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Gain (loss) on sale of assets</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920" w:type="dxa"/>
            <w:vAlign w:val="bottom"/>
            <w:tcBorders>
              <w:bottom w:val="single" w:sz="8" w:color="auto"/>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49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Restructuring and asset related charges - net</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92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Estimated settlement expense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Inventory write-offs</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92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Gain (loss) on sale of business, assets and equity investments</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92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Seed sale associated with Russia Exit</w:t>
            </w:r>
            <w:r>
              <w:rPr>
                <w:rFonts w:ascii="Times New Roman" w:cs="Times New Roman" w:eastAsia="Times New Roman" w:hAnsi="Times New Roman"/>
                <w:sz w:val="23"/>
                <w:szCs w:val="23"/>
                <w:color w:val="auto"/>
                <w:vertAlign w:val="superscript"/>
              </w:rPr>
              <w:t>3,5</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2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920" w:type="dxa"/>
            <w:vAlign w:val="bottom"/>
            <w:tcBorders>
              <w:right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bl>
    <w:p>
      <w:pPr>
        <w:spacing w:after="0" w:line="71" w:lineRule="exact"/>
        <w:rPr>
          <w:sz w:val="20"/>
          <w:szCs w:val="20"/>
          <w:color w:val="auto"/>
        </w:rPr>
      </w:pPr>
    </w:p>
    <w:p>
      <w:pPr>
        <w:ind w:left="160" w:right="40" w:hanging="152"/>
        <w:spacing w:after="0" w:line="258" w:lineRule="auto"/>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restructuring plans and asset related charges as well as accelerated prepaid amortization expense. See Note 5 - Restructuring and Asset Related Charges - Net, to the interim Consolidated Financial Statements, for additional information.</w:t>
      </w:r>
    </w:p>
    <w:p>
      <w:pPr>
        <w:spacing w:after="0" w:line="1"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estimated Lorsban® related charges.</w:t>
      </w:r>
    </w:p>
    <w:p>
      <w:pPr>
        <w:spacing w:after="0" w:line="13" w:lineRule="exact"/>
        <w:rPr>
          <w:rFonts w:ascii="Times New Roman" w:cs="Times New Roman" w:eastAsia="Times New Roman" w:hAnsi="Times New Roman"/>
          <w:sz w:val="14"/>
          <w:szCs w:val="14"/>
          <w:color w:val="auto"/>
        </w:rPr>
      </w:pPr>
    </w:p>
    <w:p>
      <w:pPr>
        <w:ind w:left="160" w:right="40" w:hanging="152"/>
        <w:spacing w:after="0" w:line="260" w:lineRule="auto"/>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2022 Restructuring Actions. The nine months ended September 30, 2024 includes a $2 million benefit associated with sales of inventory previously reserved for in association with the 2022 Restructuring Actions.</w:t>
      </w:r>
    </w:p>
    <w:p>
      <w:pPr>
        <w:ind w:left="160" w:right="40" w:hanging="152"/>
        <w:spacing w:after="0" w:line="250" w:lineRule="auto"/>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acquisition-related costs, including transaction and third-party integration costs associated with the completed acquisitions of Stoller and Symborg as well as the recognition of the inventory fair value step-up. See Note 3 - Business Combinations, to the interim Consolidated Financial Statements, for additional information.</w:t>
      </w:r>
    </w:p>
    <w:p>
      <w:pPr>
        <w:jc w:val="both"/>
        <w:ind w:left="160" w:right="20" w:hanging="152"/>
        <w:spacing w:after="0" w:line="281" w:lineRule="auto"/>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(charge) of $18 million for the nine months ended September 30, 2023, relating to the sale of seeds already under production in Russia when the decision to exit the country was made and that the company was contractually required to purchase. It consists of $71 million of net sales and $53 million of cost of goods sold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1320"/>
        <w:spacing w:after="0" w:line="28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Statements About Forward-Looking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certain estimates and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“outlook,” or other words of similar meaning. All statements that address expectations or projections about the future, including statements about Corteva’s financial results or outlook; strategy for growth; product development; regulatory approvals; market position; capital allocation strategy; liquidity; sustainability targets and initiatives; the anticipated benefits of acquisitions, restructuring actions, or cost savings initiatives; and the outcome of contingencies, such as litigation and environmental matters, are forward-looking statements.</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Forward-looking statements and other estimates are based on certain assumptions and expectations of future events which may not be accurate or realized. Forward-looking statements and other estimates also involve risks and uncertainties, many of which are beyond Corteva’s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Corteva’s business, results of operations and financial condition. Some of the important factors that could cause Corteva’s actual results to differ materially from those projected in any such forward-looking statements include: (i) failure to obtain or maintain the necessary regulatory approvals for some of Corteva’s products; (ii) failure to successfully develop and commercialize Corteva’s pipeline; (iii) effect of the degree of public understanding and acceptance or perceived public acceptance of Corteva’s biotechnology and other agricultural products; (iv) effect of changes in agricultural and related policies of governments and international organizations; (v) costs of complying with evolving regulatory requirements and the effect of actual or alleged violations of environmental laws or permit requirements; (vi) effect of climate change and unpredictable seasonal and weather factors; (vii) failure to comply with competition and antitrust laws; (viii) effect of competition in Corteva's industry; (ix) competitor’s establishment of an intermediary platform for distribution of Corteva's products; (x) impact of Corteva's dependence on third parties with respect to certain of its raw materials or licenses and commercialization; (xi) effect of volatility in Corteva's input costs;</w:t>
      </w:r>
    </w:p>
    <w:p>
      <w:pPr>
        <w:spacing w:after="0" w:line="10" w:lineRule="exact"/>
        <w:rPr>
          <w:sz w:val="20"/>
          <w:szCs w:val="20"/>
          <w:color w:val="auto"/>
        </w:rPr>
      </w:pPr>
    </w:p>
    <w:p>
      <w:pPr>
        <w:jc w:val="both"/>
        <w:ind w:firstLine="8"/>
        <w:spacing w:after="0" w:line="250" w:lineRule="auto"/>
        <w:tabs>
          <w:tab w:leader="none" w:pos="3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geopolitical and military conflict; (xiii) risks related to environmental litigation and the indemnification obligations of legacy EIDP liabilities in connection with the separation of Corteva; (xiv) risks related to Corteva's global operations; (xv) failure to effectively manage acquisitions, divestitures, alliances, restructurings, cost savings initiatives, and other portfolio actions; (xvi) effect of industrial espionage and other disruptions to Corteva’s supply chain, information technology or network systems; (xvii) failure of Corteva’s customers to pay their debts to Corteva, including customer financing programs; (xviii) failure to raise capital through the capital markets or short-term borrowings on terms acceptable to Corteva; (xix) increases in pension and other post-employment benefit plan funding obligations; (xx) capital markets sentiment towards sustainability matters; (xxi) risks related to pandemics or epidemics; (xxii) Corteva’s intellectual property rights or defense against intellectual property claims asserted by others; (xxiii) effect of counterfeit products; (xxiv) Corteva’s dependence on intellectual property cross-license agreements; and (xxv) other risks related to the Separation from DowDuPont.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there may be other risks and uncertainties that Corteva is unable to currently identify or that Corteva does not currently expect to have a material impact on its business. Where, in any forward-looking statement or other estimate,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forward-looking statements is included in the “Risk Factors” section of Corteva’s 2023 Annual Report, as modified by subsequent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 Protection Operations Strategy Restructuring Program</w:t>
      </w:r>
    </w:p>
    <w:p>
      <w:pPr>
        <w:spacing w:after="0" w:line="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November 5, 2023, management of the company approved a plan to further optimize its Crop Protection network of manufacturing and external partners (the "Crop Protection Operations Strategy Restructuring Program"). In October 2024, management of the company amended the Crop Protection Operations Strategy Restructuring Program to include revisions to its previous estimates and decommissioning and demolition costs associated with the ceasing of operations, primarily at the Pittsburg, California site.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expects to record aggregate pre-tax restructuring and asset related charges of $650 million to $700 million, comprised of $85 million to $105 million of severance and related benefit costs, $320 million to $340 million of asset-related and impairment charges and $245 million to $255 million of costs related to exiting the company’s production activities and ceasing operations (which includes related contract terminations and decommissioning and demolition costs). Decommissioning and demolition costs will be expensed on an as-incurred basis. Reductions in workforce are subject to local regulatory requirements. Through the third quarter of 2024, the company recorded net pre-tax restructuring and asset related charges of $372 million, comprised of $60 million of severance and related benefit costs, $309 million of asset-related and impairment charges and $3 million of costs related to contract terminations.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Cash payments related to these charges are anticipated to be $330 million to $360 million, which primarily relate to the payment of severance and related benefits, contract terminations and decommissioning and demolition. Through the third quarter of 2024, the company paid $10 million associated with these charges. The restructuring actions associated with these charges are expected to be substantially complete by the end of 2026.</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Crop Protection Operations Strategy Restructuring Program is expected to contribute to the company’s ongoing cost and productivity improvement efforts through achieving an estimated $180 million of savings on a run rate basis by 2027. Future actions by the company or changes in circumstances from current assumptions, including any site disposition gains or losses, may cause actual results and future cash payments to differ. See Note 5 - Restructuring and Asset Related Charges - Net, to the Consolidated Financial Statements,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Restructuring Actions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company’s shift to a global business unit model during 2022, the company assessed its business priorities and operational structure to maximize the customer experience and deliver on growth and earnings potential. As a result of this assessment, the company committed to restructuring actions during the second quarter of 2022, which included the company’s Russia Exit (collectively the “2022 Restructuring Actions”). The company does not anticipate any additional material charges from the 2022 Restructuring Actions as actions associated with this charge are substantially complete.</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remaining cash payments related to these charges is $36 million, and primarily relate to the payment of severance and related benefits and contract terminations.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2022 Restructuring Actions are expected to contribute to the company’s ongoing cost and productivity improvement efforts through achieving an estimated $210 million to $220 million of savings on a run rate basis by 2025. See Note 5 - Restructuring and Asset Related Charges - Net, to the Consolidated Financial Statements for additional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Buyback Plan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13, 2022, Corteva, Inc. announced that its Board of Directors authorized a $2 billion share repurchase program to purchase Corteva, Inc.'s common stock, par value $0.01 per share, without an expiration date ("2022 Share Buyback Plan"). The timing, price and volume of purchases will be based on market conditions, relevant securities laws and other factors. In connection with the 2022 Share Buyback Plan, the company repurchased and retired 4,722,000 shares and 4,913,000 shares in the open market for a total cost (excluding excise taxes) of $250 million for both the three months ended September 30, 2024 and 2023, respectively, and 13,838,000 shares and 6,330,000 shares in the open market for a total cost (excluding excise taxes) of $750 million and $330 million during the nine months ended September 30,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results from continuing operations for the three months ended September 30, 2024:</w:t>
      </w:r>
    </w:p>
    <w:p>
      <w:pPr>
        <w:spacing w:after="0" w:line="116" w:lineRule="exact"/>
        <w:rPr>
          <w:sz w:val="20"/>
          <w:szCs w:val="20"/>
          <w:color w:val="auto"/>
        </w:rPr>
      </w:pPr>
    </w:p>
    <w:p>
      <w:pPr>
        <w:ind w:left="66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reported net sales of $2,326 million, down 10 percent versus the same quarter last year, reflecting an 8 percent decrease in price and a 5 percent decrease in currency, partially offset by a 3 percent increase in volume.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hanging="330"/>
        <w:spacing w:after="0" w:line="26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totaled $1,565 million in the third quarter of 2024, down from $1,646 million in the third quarter of 2023, primarily driven by favorable currency effects, ongoing cost and productivity actions and Crop Protection raw material deflation, partially offset by higher Seed commodity and other cost of sales and higher volumes.</w:t>
      </w:r>
    </w:p>
    <w:p>
      <w:pPr>
        <w:spacing w:after="0" w:line="67" w:lineRule="exact"/>
        <w:rPr>
          <w:rFonts w:ascii="Times New Roman" w:cs="Times New Roman" w:eastAsia="Times New Roman" w:hAnsi="Times New Roman"/>
          <w:sz w:val="18"/>
          <w:szCs w:val="18"/>
          <w:color w:val="auto"/>
        </w:rPr>
      </w:pPr>
    </w:p>
    <w:p>
      <w:pPr>
        <w:jc w:val="both"/>
        <w:ind w:left="660" w:hanging="330"/>
        <w:spacing w:after="0" w:line="26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asset related charges - net were $32 million in the third quarter of 2024, an increase from $2 million in the third quarter of 2023. The charges for the three months ended September 30, 2024 primarily relate to severance and asset related charges associated with the Crop Protection Operations Strategy Restructuring Program.</w:t>
      </w:r>
    </w:p>
    <w:p>
      <w:pPr>
        <w:spacing w:after="0" w:line="67"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continuing operations after income taxes was $(519) million, as compared to $(315) million in the same quarter last year.</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was $(100) million for the three months ended September 30, 2024, down from $18 million for the three months ended September 30, 2023, primarily driven by price declines, higher Seed commodity and other cost of sales, and continued investment in Seed research and development, partially offset by Crop Protection raw material deflation along with ongoing cost and productivity actions. Refer to page 51 for further discussion of the company's Non-GAAP financial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results from continuing operations for the nine months ended September 30, 2024:</w:t>
      </w:r>
    </w:p>
    <w:p>
      <w:pPr>
        <w:spacing w:after="0" w:line="116" w:lineRule="exact"/>
        <w:rPr>
          <w:sz w:val="20"/>
          <w:szCs w:val="20"/>
          <w:color w:val="auto"/>
        </w:rPr>
      </w:pPr>
    </w:p>
    <w:p>
      <w:pPr>
        <w:ind w:left="660" w:hanging="330"/>
        <w:spacing w:after="0" w:line="28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reported net sales of $12,930 million, down 4 percent versus the same period last year, reflecting a 2 percent decrease in volume and a 2 percent unfavorable impact from currency.</w:t>
      </w:r>
    </w:p>
    <w:p>
      <w:pPr>
        <w:spacing w:after="0" w:line="55" w:lineRule="exact"/>
        <w:rPr>
          <w:rFonts w:ascii="Times New Roman" w:cs="Times New Roman" w:eastAsia="Times New Roman" w:hAnsi="Times New Roman"/>
          <w:sz w:val="18"/>
          <w:szCs w:val="18"/>
          <w:color w:val="auto"/>
        </w:rPr>
      </w:pPr>
    </w:p>
    <w:p>
      <w:pPr>
        <w:jc w:val="both"/>
        <w:ind w:left="660" w:hanging="330"/>
        <w:spacing w:after="0" w:line="26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totaled $7,033 million in the nine months ended September 30, 2024, down from $7,554 million in the nine months ended September 30, 2023, primarily driven by volume declines, reduction of royalty expense and ongoing cost and productivity actions, partially offset by higher Seed commodity costs.</w:t>
      </w:r>
    </w:p>
    <w:p>
      <w:pPr>
        <w:spacing w:after="0" w:line="67"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asset related charges - net were $199 million for the nine months ended September 30, 2024, an increase from $95 million during the nine months ended September 30, 2024. The charges for the nine months ended September 30, 2024 primarily relate to severance and asset related charges associated with the Crop Protection Operations Strategy Restructuring Program and non-cash accelerated prepaid royalty amortization expense related to Roundup Ready 2 Yield® and Roundup Ready 2 Xtend® herbicide tolerance traits.</w:t>
      </w:r>
    </w:p>
    <w:p>
      <w:pPr>
        <w:spacing w:after="0" w:line="7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continuing operations after income taxes was $913 million, as compared to $1,172 million in the same quarter last year.</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was $2,851 million for the nine months ended September 30, 2024, down from $2,995 million for the nine months ended September 30, 2024, primarily driven by lower volumes along with competitive Crop Protection pricing and continued investment in Seed research and development, partially offset by Seed pricing gains, the reduction of royalty expense and ongoing cost and productivity actions. Refer to page 51 for further discussion of the company's Non-GAAP financial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financial highlights above, the following events occurred during the nine months ended September 30, 2024:</w:t>
      </w:r>
    </w:p>
    <w:p>
      <w:pPr>
        <w:spacing w:after="0" w:line="116" w:lineRule="exact"/>
        <w:rPr>
          <w:sz w:val="20"/>
          <w:szCs w:val="20"/>
          <w:color w:val="auto"/>
        </w:rPr>
      </w:pPr>
    </w:p>
    <w:p>
      <w:pPr>
        <w:ind w:left="660" w:right="20" w:hanging="330"/>
        <w:spacing w:after="0" w:line="28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returned approximately $1.1 billion to shareholders during the nine months ended September 30, 2024 under its previously announced share repurchase programs and through common stock dividends.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 sales were $2,326 million and $2,590 million for the three months ended September 30, 2024 and 2023, respectively. The decrease was primarily driven by an 8 percent decrease in price and a 5 percent unfavorable currency impact, partially offset by a 3 percent increase in volume. Pricing losses reflect the continued competitive price environment in Crop Protection, particularly in Latin America. Crop Protection volume increased versus the prior year driven primarily by Latin America and North America demand for new products and spinosyns, partially offset by residual destocking and unfavorable weather in EMEA. The Crop Protection volume increase was partially offset by a decline in Seed volumes due to reduced corn planted area in Argentina. Unfavorable currency impacts were driven by the Turkish Lira and the Brazilian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40" w:type="dxa"/>
            <w:vAlign w:val="bottom"/>
            <w:tcBorders>
              <w:top w:val="single" w:sz="8" w:color="auto"/>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480" w:type="dxa"/>
            <w:vAlign w:val="bottom"/>
            <w:tcBorders>
              <w:top w:val="single" w:sz="8" w:color="auto"/>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0" w:type="dxa"/>
            <w:vAlign w:val="bottom"/>
            <w:tcBorders>
              <w:top w:val="single" w:sz="8" w:color="auto"/>
              <w:bottom w:val="single" w:sz="8" w:color="auto"/>
              <w:right w:val="single" w:sz="8" w:color="auto"/>
            </w:tcBorders>
          </w:tcPr>
          <w:p>
            <w:pPr>
              <w:spacing w:after="0"/>
              <w:rPr>
                <w:sz w:val="21"/>
                <w:szCs w:val="21"/>
                <w:color w:val="auto"/>
              </w:rPr>
            </w:pPr>
          </w:p>
        </w:tc>
      </w:tr>
      <w:tr>
        <w:trPr>
          <w:trHeight w:val="222"/>
        </w:trPr>
        <w:tc>
          <w:tcPr>
            <w:tcW w:w="47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right w:val="single" w:sz="8" w:color="auto"/>
            </w:tcBorders>
          </w:tcPr>
          <w:p>
            <w:pPr>
              <w:spacing w:after="0"/>
              <w:rPr>
                <w:sz w:val="19"/>
                <w:szCs w:val="19"/>
                <w:color w:val="auto"/>
              </w:rPr>
            </w:pPr>
          </w:p>
        </w:tc>
      </w:tr>
      <w:tr>
        <w:trPr>
          <w:trHeight w:val="168"/>
        </w:trPr>
        <w:tc>
          <w:tcPr>
            <w:tcW w:w="47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50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r>
      <w:tr>
        <w:trPr>
          <w:trHeight w:val="242"/>
        </w:trPr>
        <w:tc>
          <w:tcPr>
            <w:tcW w:w="47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Millions)</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Millions)</w:t>
            </w: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7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80" w:type="dxa"/>
            <w:vAlign w:val="bottom"/>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740" w:type="dxa"/>
            <w:vAlign w:val="bottom"/>
            <w:tcBorders>
              <w:right w:val="single" w:sz="8" w:color="auto"/>
            </w:tcBorders>
          </w:tcPr>
          <w:p>
            <w:pPr>
              <w:ind w:left="180"/>
              <w:spacing w:after="0" w:line="229"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80" w:type="dxa"/>
            <w:vAlign w:val="bottom"/>
          </w:tcPr>
          <w:p>
            <w:pPr>
              <w:spacing w:after="0"/>
              <w:rPr>
                <w:sz w:val="19"/>
                <w:szCs w:val="19"/>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2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50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4740" w:type="dxa"/>
            <w:vAlign w:val="bottom"/>
            <w:tcBorders>
              <w:right w:val="single" w:sz="8" w:color="auto"/>
            </w:tcBorders>
            <w:shd w:val="clear" w:color="auto" w:fill="CCEEFF"/>
          </w:tcPr>
          <w:p>
            <w:pPr>
              <w:ind w:left="180"/>
              <w:spacing w:after="0" w:line="229"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47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19"/>
                <w:szCs w:val="19"/>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2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50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6"/>
        </w:trPr>
        <w:tc>
          <w:tcPr>
            <w:tcW w:w="474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186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 2024 vs. Q3 2023</w:t>
            </w:r>
          </w:p>
        </w:tc>
        <w:tc>
          <w:tcPr>
            <w:tcW w:w="1080" w:type="dxa"/>
            <w:vAlign w:val="bottom"/>
            <w:tcBorders>
              <w:top w:val="single" w:sz="8" w:color="auto"/>
              <w:bottom w:val="single" w:sz="8" w:color="auto"/>
              <w:right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18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10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In millions)</w:t>
            </w:r>
          </w:p>
        </w:tc>
        <w:tc>
          <w:tcPr>
            <w:tcW w:w="4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40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42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22"/>
        </w:trPr>
        <w:tc>
          <w:tcPr>
            <w:tcW w:w="1860" w:type="dxa"/>
            <w:vAlign w:val="bottom"/>
            <w:tcBorders>
              <w:right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86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19"/>
                <w:szCs w:val="19"/>
                <w:color w:val="auto"/>
              </w:rPr>
            </w:pPr>
          </w:p>
        </w:tc>
        <w:tc>
          <w:tcPr>
            <w:tcW w:w="21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(54)</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8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(235)</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Borders>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4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(264)</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bl>
    <w:p>
      <w:pPr>
        <w:spacing w:after="0" w:line="58"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&amp; Canada.</w:t>
      </w:r>
    </w:p>
    <w:p>
      <w:pPr>
        <w:spacing w:after="0" w:line="2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Middle East and Africa ("EMEA")</w:t>
      </w:r>
      <w:r>
        <w:rPr>
          <w:rFonts w:ascii="Times New Roman" w:cs="Times New Roman" w:eastAsia="Times New Roman" w:hAnsi="Times New Roman"/>
          <w:sz w:val="16"/>
          <w:szCs w:val="16"/>
          <w:color w:val="auto"/>
        </w:rPr>
        <w:t>.</w:t>
      </w:r>
    </w:p>
    <w:p>
      <w:pPr>
        <w:spacing w:after="0" w:line="2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Net sales were $12,930 million and $13,519 million for the nine months ended September 30, 2024 and 2023, respectively. The decrease was primarily driven by a 2 percent decrease in volume and a 2 percent unfavorable impact from currency. Volume declines were driven by reduced corn planted area in Latin America, unfavorable weather, reduced planted area and destocking impacts in EMEA and just-in-time Crop Protection purchasing behavior in North America, partially offset by growth in Latin America on demand for new products and spinosyns. While Seed pricing increased due to the continued execution on the company's price for value strategy as led by North America, this increase was completely offset by a decline in Crop Protection pricing driven by the competitive environment in Latin America.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60" w:type="dxa"/>
            <w:vAlign w:val="bottom"/>
            <w:tcBorders>
              <w:top w:val="single" w:sz="8" w:color="auto"/>
              <w:right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7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right w:val="single" w:sz="8" w:color="auto"/>
            </w:tcBorders>
          </w:tcPr>
          <w:p>
            <w:pPr>
              <w:jc w:val="right"/>
              <w:ind w:right="351"/>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4"/>
                <w:szCs w:val="14"/>
                <w:color w:val="auto"/>
              </w:rPr>
            </w:pPr>
          </w:p>
        </w:tc>
        <w:tc>
          <w:tcPr>
            <w:tcW w:w="14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320" w:type="dxa"/>
            <w:vAlign w:val="bottom"/>
            <w:tcBorders>
              <w:right w:val="single" w:sz="8" w:color="auto"/>
            </w:tcBorders>
          </w:tcPr>
          <w:p>
            <w:pPr>
              <w:jc w:val="right"/>
              <w:ind w:right="351"/>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500" w:type="dxa"/>
            <w:vAlign w:val="bottom"/>
          </w:tcPr>
          <w:p>
            <w:pPr>
              <w:spacing w:after="0"/>
              <w:rPr>
                <w:sz w:val="14"/>
                <w:szCs w:val="14"/>
                <w:color w:val="auto"/>
              </w:rPr>
            </w:pPr>
          </w:p>
        </w:tc>
        <w:tc>
          <w:tcPr>
            <w:tcW w:w="12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i w:val="1"/>
                <w:iCs w:val="1"/>
                <w:color w:val="auto"/>
              </w:rPr>
              <w:t>($ Millions)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i w:val="1"/>
                <w:iCs w:val="1"/>
                <w:color w:val="auto"/>
              </w:rPr>
              <w:t>($ Millions)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8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right w:val="single" w:sz="8" w:color="auto"/>
            </w:tcBorders>
          </w:tcPr>
          <w:p>
            <w:pPr>
              <w:ind w:left="180"/>
              <w:spacing w:after="0" w:line="229"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80" w:type="dxa"/>
            <w:vAlign w:val="bottom"/>
          </w:tcPr>
          <w:p>
            <w:pPr>
              <w:spacing w:after="0"/>
              <w:rPr>
                <w:sz w:val="19"/>
                <w:szCs w:val="19"/>
                <w:color w:val="auto"/>
              </w:rPr>
            </w:pP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50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4760" w:type="dxa"/>
            <w:vAlign w:val="bottom"/>
            <w:tcBorders>
              <w:right w:val="single" w:sz="8" w:color="auto"/>
            </w:tcBorders>
            <w:shd w:val="clear" w:color="auto" w:fill="CCEEFF"/>
          </w:tcPr>
          <w:p>
            <w:pPr>
              <w:ind w:left="180"/>
              <w:spacing w:after="0" w:line="229"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8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80" w:type="dxa"/>
            <w:vAlign w:val="bottom"/>
          </w:tcPr>
          <w:p>
            <w:pPr>
              <w:spacing w:after="0"/>
              <w:rPr>
                <w:sz w:val="19"/>
                <w:szCs w:val="19"/>
                <w:color w:val="auto"/>
              </w:rPr>
            </w:pP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50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5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540" w:type="dxa"/>
            <w:vAlign w:val="bottom"/>
            <w:tcBorders>
              <w:top w:val="single" w:sz="8" w:color="auto"/>
              <w:bottom w:val="single" w:sz="8" w:color="auto"/>
              <w:right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2024 vs. Nine Months 2023</w:t>
            </w:r>
          </w:p>
        </w:tc>
        <w:tc>
          <w:tcPr>
            <w:tcW w:w="14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42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1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1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1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40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40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22"/>
        </w:trPr>
        <w:tc>
          <w:tcPr>
            <w:tcW w:w="1900" w:type="dxa"/>
            <w:vAlign w:val="bottom"/>
            <w:tcBorders>
              <w:right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0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19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(230)</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(589)</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("COGS")</w:t>
      </w:r>
    </w:p>
    <w:p>
      <w:pPr>
        <w:spacing w:after="0" w:line="3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COGS was $1,565 million (67 percent of net sales) and $1,646 million (64 percent of net sales) for the three months ended September 30, 2024 and 2023, respectively, and $7,033 million (54 percent of net sales) and $7,554 million (56 percent of net</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sales) for the nine months ended September 30, 2024 and 2023, respectively. The decrease was primarily driven by lower volumes, ongoing cost and productivity actions, reduction of royalty expense and currency, partially offset by higher Seed commodity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("R&amp;D")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R&amp;D expense was $348 million (15 percent of net sales) and $335 million (13 percent of net sales) for the three months ended September 30, 2024 and 2023, respectively, and $1,037 million (8 percent of net sales) and $980 million (7 percent of net sales) for the nine months ended September 30, 2024 and 2023, respectively. The increase in R&amp;D expense is in support of the company’s long-term investment plans and was primarily driven by an increase in salaries due to higher headcount, as well as additional spending on field, lab and facilities, and third-party research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expenses were $671 million (29 percent of net sales) and $670 million (26 percent of net sales) for the three months ended September 30, 2024 and 2023, respectively. The change was primarily driven by an increase in certain benefits costs, offset by favorable currency impacts.</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SG&amp;A expenses were $2,461 million (19 percent of net sales) and $2,441 million (18 percent of net sales) for the nine months ended September 30, 2024 and 2023, respectively. The increase was primarily driven by an increase in commissions, bad debt expense, litigation and the effects of the Stoller and Symborg acquisitions, partially offset by favorable currency impacts.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Intangible asset amortization was $170 million and $174 million for the three months ended September 30, 2024 and 2023, respectively. As certain intangible assets became fully amortized since the end of the prior year period, amortization expense decreased in the current year period.</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Intangible asset amortization was $521 million and $508 million for the nine months ended September 30, 2024 and 2023, respectively. The increase was primarily driven by the impact of amortization relating to the intangible assets recognized in connection with the Stoller and Symborg acquisitions, which were completed on March 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Asset Related Charges - Net</w:t>
      </w:r>
    </w:p>
    <w:p>
      <w:pPr>
        <w:spacing w:after="0" w:line="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Restructuring and asset related charges - net were $32 million and $2 million for the three months ended September 30, 2024 and 2023, respectively, and $199 million and $95 million for the nine months ended September 30, 2024 and 2023, respectively. The charges in the third quarter and nine months ended September 30, 2024 were primarily related to charges associated with the Crop Protection Operations Strategy Restructuring Program consisting of severance and related benefit costs and asset related charges. The charges in the third quarter and nine months ended September 30, 2023 were primarily related to costs associated with the 2022 Restructuring Actions. The charges in the third quarter ended September 30, 2023 and the nine months ended September 30, 2024 and 2023 also include non-cash accelerated prepaid royalty amortization expense related to Roundup Ready 2 Yield® and Roundup Ready 2 Xtend® herbicide tolerance traits.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Restructuring and Asset Related Charges - Net, to the interim Consolidated Financial Statements, for additional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 Net</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(expense) - net was $(107) million and $(149) million for the three months ended September 30, 2024 and 2023, respectively. Lower other expense was primarily driven by the absence of charges related to estimated settlement reserves, partially offset by a decrease in both interest income and the gain on sale of businesses and other assets.</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Other income (expense) - net was $(319) million and $(354) million for the nine months ended September 30, 2024 and 2023, respectively. Lower other expense was primarily driven by a decrease in charges related to estimated settlement reserves and the receipt of an indemnification payment negotiated with the former Stoller owners, partially offset by a decrease in interest income and higher non-operating pension and other post employment benefit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Supplementary Information, to the interim Consolidated Financial Statements, for 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expense was $66 million and $58 million for the three months ended September 30, 2024 and 2023, respectively, and $173 million and $171 million for the nine months ended September 30, 2024 and 2023, respectively. The change was primarily driven by lower short-term borrowings offset by higher interest related to the senior notes issued in 2023 and for foreign currency loans and subsidiary debt effects.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 on Continuing Operations</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company’s benefit from income taxes on continuing operations was $(114) million for the three months ended September 30, 2024 on pre-tax loss from continuing operations of $(633) million, resulting in an effective tax rate of 18.0 percent. The effective tax rate was unfavorably impacted by tax impacts of certain net exchange losses recognized on the re-measurement of the net monetary asset positions which were not tax-deductible in their local jurisdictions.</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benefit from income taxes on continuing operations was $(129) million for the three months ended September 30, 2023 on pre-tax loss from continuing operations of $(444) million, resulting in an effective tax rate of 29.1 percent. The effective tax rate was favorably impacted by $11 million of net tax benefits associated with changes in deferred taxes, accruals for certain prior year tax positions in various jurisdictions, as well as favorable geographic mix of earnings.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provision for income taxes on continuing operations was $274 million for the nine months ended September 30, 2024 on pre-tax income from continuing operations of $1,187 million, resulting in an effective tax rate of 23.1 percent. The effective tax rate was unfavorably impacted by geographic mix of earnings, as well as withholding taxes on repatriation of cash held outside of the U.S. primarily from current year earnings. Those unfavorable impacts were partially offset by net tax benefits associated with changes in accruals for certain prior year tax positions.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provision for income taxes on continuing operations was $244 million for the nine months ended September 30, 2023 on pre-tax income from continuing operations of $1,416 million, resulting in an effective tax rate of 17.2 percent. The effective tax rate was favorably impacted by $79 million of net tax benefits associated with changes in deferred taxes, accruals for certain prior year tax positions in various jurisdictions, stock-based compensation, as well as the impact of changes to deferred taxes associated with a tax currency change for a legal entity. Those favorable impacts were partially offset by the unfavorable tax impacts of certain net exchange losses recognized on the re-measurement of the net monetary asset positions which were not tax-deductible in their local jurisdictions, as well as the tax impact of repatriation.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After Tax</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Income (loss) from discontinued operations after tax was $(2) million and $45 million for the three and nine months ended September 30, 2024, respectively. The result for the three months ended September 30, 2024 was primarily driven by litigation-related activity. The after-tax benefit recognized during the nine months ended September 30, 2024 was driven by charges recognized relating to the MOU with Chemours and DuPont relating to PFAS environmental remediation activities primarily at Chemours' Fayetteville Works facility and litigation-related activity, more than offset by a favorable adjustment of certain prior year tax positions for previously divested businesses and the derecognition of an indemnification liability associated with the Water District Settlement Fund contribution.</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Income (loss) from discontinued operations after tax was $(3) million and $(174) million for the three and nine months ended September 30, 2023, respectively. The nine months ended September 30, 2023 primarily includes charges associated with the settlement of certain legal matters relating to PFAS that are subject to the MOU, including the Nationwide Water District Settlement.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 Commitments and Contingent Liabilities, to the interim Consolidated Financial Statements, for 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Analysis of Operations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1 - Basis of Presentation, to the EIDP interim Consolidated Financial Statements, EIDP is a subsidiary of Corteva, Inc. and continues to be a reporting company, subject to the requirements of the Exchange Act. The below relates to EIDP only and is presented to provide an Analysis of Operations, only for the differences between EIDP and Corteva,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EIDP’s interest expense was $66 million and $60 million for the three months ended September 30, 2024 and 2023, respectively, and $173 million and $193 million for the nine months ended September 30, 2024 and 2023, respectively. The change was primarily driven by the items noted above, under the header "Interest Expense," partially offset by the absence of interest on the related party loan between EIDP and Corteva, Inc. during the nine months ended September 30, 2024 as it was fully repaid in the fourth quarter of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Related Party Transactions, to the EIDP interim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 on Continuing Operations</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EIDP’s benefit from income taxes on continuing operations was $(110) million for the three months ended September 30, 2024 on pre-tax loss from continuing operations of $(615) million, resulting in an effective tax rate of 17.9 percent. EIDP’s benefit from income taxes on continuing operations was $(129) million for the three months ended September 30, 2023 on pre-tax loss from continuing operations of $(446) million, resulting in an effective tax rate of 28.9 percent.</w:t>
      </w:r>
    </w:p>
    <w:p>
      <w:pPr>
        <w:spacing w:after="0" w:line="21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EIDP’s provision for income taxes on continuing operations was $283 million for the nine months ended September 30, 2024 on pre-tax income from continuing operations of $1,225 million, resulting in an effective tax rate of 23.1 percent. EIDP’s provision for income taxes on continuing operations was $239 million for the nine months ended September 30, 2023 on pre-tax income from continuing operations of $1,394 million, resulting in an effective tax rate of 17.1 percent.</w:t>
      </w:r>
    </w:p>
    <w:p>
      <w:pPr>
        <w:spacing w:after="0" w:line="21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EIDP’s effective tax rates for the three and nine months ended September 30, 2024 and 2023 were driven by the items noted on page 46, under the header “Provision for (Benefit from) Income Taxes on Continuing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Related Party Transactions, to the EIDP Consolidated Financial Statements for further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Outlook</w:t>
      </w:r>
    </w:p>
    <w:p>
      <w:pPr>
        <w:spacing w:after="0" w:line="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Commodity prices are relatively steady, despite an anticipated record U.S. corn crop, and farmers continue to prioritize top-tier seed technology, while managing tighter margins. Against this backdrop, our Seed business has continued to outperform the market, likely gaining market share while improving operational efficiency. Meanwhile, the Latin America market conditions represent a headwind, including a significant reduction in corn planted area in Argentina.</w:t>
      </w:r>
    </w:p>
    <w:p>
      <w:pPr>
        <w:spacing w:after="0" w:line="21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While the global Crop Protection industry volumes have continued to stabilize, the pricing environment remains competitive. Third quarter gains in Operating EBITDA, including significant benefits from productivity and raw material deflation, reflect the resilience of our Crop Protection business.</w:t>
      </w:r>
    </w:p>
    <w:p>
      <w:pPr>
        <w:spacing w:after="0" w:line="19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As a result, for full-year 2024, the company expects net sales in the range of $17.0 billion to $17.2 billion, a decline of 1 percent at the mid-point. Operating EBITDA is expected to be in the range of $3.35 billion to $3.45 billion, growth of 1 percent at the mid-point. Operating Earnings Per Share is expected to be in the range of $2.50 to $2.60 per share, down 5 percent at the mid-point. Cash provided by operating activities - continuing operations is expected to be in the range of $2.1 billion to $2.6 billion. Free Cash Flow is expected to be in the range of $1.5 billion to $2.0 billion. Refer to further discussion of Non-GAAP metrics on page 51.</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above outlook does not contemplate any extreme weather events, operational disruptions, significant changes in customers' demand or ability to pay, or further acceleration of currency and inflation impacts resulting from macro-economic driven trends. Corteva is not able to reconcile its forward-looking non-GAAP financial measures, except for Free Cash Flow, to its most comparable U.S. GAAP financial measures, as it is unable to predict with reasonable certainty items outside of the company’s control, such as significant items, without unreasonable effort (refer to page 52 for significant items recorded in the three and nine months ended September 30, 2024 and 2023). However, during 2023 and 2024, the company committed to restructuring activities to optimize the Crop Protection network of manufacturing and external partners, which are expected to be substantially complete in 2026. The company expects to record approximately $345 million to $395 million net pre-tax restructuring charges during 2024 and 2025 for these activities. See Note 5 - Restructuring and Asset Related Charges - Net, to the interim Consolidated Financial Statements,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Forward-Looking Cash Provided by (Used for) Operating Activities – Continuing Operations to Free Cash Flow</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Borders>
              <w:top w:val="single" w:sz="8" w:color="auto"/>
              <w:right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140" w:type="dxa"/>
            <w:vAlign w:val="bottom"/>
            <w:tcBorders>
              <w:top w:val="single" w:sz="8" w:color="auto"/>
              <w:bottom w:val="single" w:sz="8" w:color="auto"/>
              <w:right w:val="single" w:sz="8" w:color="auto"/>
            </w:tcBorders>
            <w:gridSpan w:val="3"/>
          </w:tcPr>
          <w:p>
            <w:pPr>
              <w:jc w:val="right"/>
              <w:ind w:right="530"/>
              <w:spacing w:after="0" w:line="222" w:lineRule="exact"/>
              <w:rPr>
                <w:sz w:val="20"/>
                <w:szCs w:val="20"/>
                <w:color w:val="auto"/>
              </w:rPr>
            </w:pPr>
            <w:r>
              <w:rPr>
                <w:rFonts w:ascii="Times New Roman" w:cs="Times New Roman" w:eastAsia="Times New Roman" w:hAnsi="Times New Roman"/>
                <w:sz w:val="18"/>
                <w:szCs w:val="18"/>
                <w:b w:val="1"/>
                <w:bCs w:val="1"/>
                <w:color w:val="auto"/>
              </w:rPr>
              <w:t>Twelve Months Ended December 31, 2024</w:t>
            </w:r>
            <w:r>
              <w:rPr>
                <w:rFonts w:ascii="Times New Roman" w:cs="Times New Roman" w:eastAsia="Times New Roman" w:hAnsi="Times New Roman"/>
                <w:sz w:val="23"/>
                <w:szCs w:val="23"/>
                <w:b w:val="1"/>
                <w:bCs w:val="1"/>
                <w:color w:val="auto"/>
                <w:vertAlign w:val="superscript"/>
              </w:rPr>
              <w:t>1</w:t>
            </w:r>
          </w:p>
        </w:tc>
      </w:tr>
      <w:tr>
        <w:trPr>
          <w:trHeight w:val="222"/>
        </w:trPr>
        <w:tc>
          <w:tcPr>
            <w:tcW w:w="6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Low End</w:t>
            </w: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High End</w:t>
            </w:r>
          </w:p>
        </w:tc>
      </w:tr>
      <w:tr>
        <w:trPr>
          <w:trHeight w:val="222"/>
        </w:trPr>
        <w:tc>
          <w:tcPr>
            <w:tcW w:w="6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operating activities - continuing operations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r>
      <w:tr>
        <w:trPr>
          <w:trHeight w:val="229"/>
        </w:trPr>
        <w:tc>
          <w:tcPr>
            <w:tcW w:w="6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bl>
    <w:p>
      <w:pPr>
        <w:spacing w:after="0" w:line="71" w:lineRule="exact"/>
        <w:rPr>
          <w:sz w:val="20"/>
          <w:szCs w:val="20"/>
          <w:color w:val="auto"/>
        </w:rPr>
      </w:pPr>
    </w:p>
    <w:p>
      <w:pPr>
        <w:ind w:left="160" w:right="140" w:hanging="152"/>
        <w:spacing w:after="0" w:line="277" w:lineRule="auto"/>
        <w:tabs>
          <w:tab w:leader="none" w:pos="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reconciliation of the company’s range provided for its forward-looking non-GAAP financial measure relating to Free Cash Flow. Refer to further discussion of Non-GAAP metrics on page 51.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Recent Accounting Guidance, to the interim Consolidated Financial Statements, for a description of recent accounting pronouncements.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two reportable segments: Seed and Crop Protection.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Seed segment is a global leader in developing and supplying advanced germplasm and traits that produce optimum yield for farms around the world. The segment is a leader in many of the company’s key seed markets, including North America corn and soybeans, Europe corn and sunflower, as well as Brazil, India, South Africa and Argentina corn. The segment offers trait technologies that improve resistance to weather, disease, insects, herbicides used to control weeds and enhance food and nutritional characteristics, and digital solutions that assist farmer decision-making to help maximize yield and profitability.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Crop Protection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offers crop protection solutions and digital solutions that provide farmers the tools they need to improve productivity and profitability, and help keep fields free of weeds, insects and diseases. The segment is a leader in global herbicides, insecticides, nitrogen stabilizers, pasture and range management herbicides and biologicals.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Summarized below are comments on individual segment net sales and segment operating EBITDA for the three and nine months ended September 30, 2024 compared with the same period in 2023. 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Non-operating benefits (costs) consists of non-operating pension and OPEB credits (costs), tax indemnification adjustments and environmental remediation and legal costs associated with legacy EIDP businesses and sites. Tax indemnification adjustments relate to changes in indemnification balances, as a result of the application of the terms of the Tax Matters Agreement, between Corteva and Dow and/or DuPont that are recorded by the company as pre-tax income or expense. See Note 18 - Segment Information, to the interim Consolidated Financial Statements, for details related to significant pre-tax benefits (charges) excluded from segment operating EBITDA. All references to prices are based on local price unless otherwise specified.</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reconciliation of segment operating EBITDA to income (loss) from continuing operations after income taxes for the three and nine months ended September 30, 2024 and 2023 is included in Note 18 - Segment Information, to the interim Consolidated Financial Statements.</w:t>
      </w:r>
    </w:p>
    <w:tbl>
      <w:tblPr>
        <w:tblLayout w:type="fixed"/>
        <w:tblInd w:w="40" w:type="dxa"/>
        <w:tblCellMar>
          <w:top w:w="0" w:type="dxa"/>
          <w:left w:w="0" w:type="dxa"/>
          <w:bottom w:w="0" w:type="dxa"/>
          <w:right w:w="0" w:type="dxa"/>
        </w:tblCellMar>
      </w:tblPr>
      <w:tr>
        <w:trPr>
          <w:trHeight w:val="224"/>
        </w:trPr>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Seed</w:t>
            </w:r>
          </w:p>
        </w:tc>
        <w:tc>
          <w:tcPr>
            <w:tcW w:w="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3800" w:type="dxa"/>
            <w:vAlign w:val="bottom"/>
            <w:tcBorders>
              <w:top w:val="single" w:sz="8" w:color="auto"/>
              <w:bottom w:val="single" w:sz="8" w:color="auto"/>
              <w:right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0" w:type="dxa"/>
            <w:vAlign w:val="bottom"/>
            <w:tcBorders>
              <w:top w:val="single" w:sz="8" w:color="auto"/>
              <w:bottom w:val="single" w:sz="8" w:color="auto"/>
              <w:right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19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c>
          <w:tcPr>
            <w:tcW w:w="980" w:type="dxa"/>
            <w:vAlign w:val="bottom"/>
            <w:tcBorders>
              <w:right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7,773</w:t>
            </w:r>
          </w:p>
        </w:tc>
        <w:tc>
          <w:tcPr>
            <w:tcW w:w="500" w:type="dxa"/>
            <w:vAlign w:val="bottom"/>
            <w:tcBorders>
              <w:right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right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7,837</w:t>
            </w:r>
          </w:p>
        </w:tc>
      </w:tr>
      <w:tr>
        <w:trPr>
          <w:trHeight w:val="236"/>
        </w:trPr>
        <w:tc>
          <w:tcPr>
            <w:tcW w:w="2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EBITDA</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1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2"/>
        </w:trPr>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Seed</w:t>
            </w: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Q3 2024 vs. Q3 2023</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400" w:type="dxa"/>
            <w:vAlign w:val="bottom"/>
            <w:tcBorders>
              <w:bottom w:val="single" w:sz="8" w:color="auto"/>
              <w:right w:val="single" w:sz="8" w:color="auto"/>
            </w:tcBorders>
          </w:tcPr>
          <w:p>
            <w:pPr>
              <w:spacing w:after="0"/>
              <w:rPr>
                <w:sz w:val="19"/>
                <w:szCs w:val="19"/>
                <w:color w:val="auto"/>
              </w:rPr>
            </w:pPr>
          </w:p>
        </w:tc>
      </w:tr>
      <w:tr>
        <w:trPr>
          <w:trHeight w:val="213"/>
        </w:trPr>
        <w:tc>
          <w:tcPr>
            <w:tcW w:w="19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5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Volume</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22"/>
        </w:trPr>
        <w:tc>
          <w:tcPr>
            <w:tcW w:w="1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9"/>
                <w:szCs w:val="19"/>
                <w:color w:val="auto"/>
              </w:rPr>
            </w:pPr>
          </w:p>
        </w:tc>
        <w:tc>
          <w:tcPr>
            <w:tcW w:w="200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EMEA</w:t>
            </w: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Borders>
              <w:right w:val="single" w:sz="8" w:color="CCEEFF"/>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Latin America</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 Pacific</w:t>
            </w: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Borders>
              <w:bottom w:val="single" w:sz="8" w:color="auto"/>
              <w:right w:val="single" w:sz="8" w:color="CCEEFF"/>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spacing w:after="0"/>
              <w:rPr>
                <w:sz w:val="19"/>
                <w:szCs w:val="19"/>
                <w:color w:val="auto"/>
              </w:rPr>
            </w:pP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(187)</w:t>
            </w:r>
          </w:p>
        </w:tc>
        <w:tc>
          <w:tcPr>
            <w:tcW w:w="7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Seed</w:t>
            </w:r>
          </w:p>
        </w:tc>
        <w:tc>
          <w:tcPr>
            <w:tcW w:w="4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 2024 vs. Q3 2023</w:t>
            </w:r>
          </w:p>
        </w:tc>
        <w:tc>
          <w:tcPr>
            <w:tcW w:w="1100" w:type="dxa"/>
            <w:vAlign w:val="bottom"/>
            <w:tcBorders>
              <w:top w:val="single" w:sz="8" w:color="auto"/>
              <w:bottom w:val="single" w:sz="8" w:color="auto"/>
              <w:right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19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11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42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22"/>
        </w:trPr>
        <w:tc>
          <w:tcPr>
            <w:tcW w:w="1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Corn</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Soybeans</w:t>
            </w:r>
          </w:p>
        </w:tc>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tcBorders>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oilseeds</w:t>
            </w:r>
          </w:p>
        </w:tc>
        <w:tc>
          <w:tcPr>
            <w:tcW w:w="460" w:type="dxa"/>
            <w:vAlign w:val="bottom"/>
          </w:tcPr>
          <w:p>
            <w:pPr>
              <w:spacing w:after="0"/>
              <w:rPr>
                <w:sz w:val="19"/>
                <w:szCs w:val="19"/>
                <w:color w:val="auto"/>
              </w:rPr>
            </w:pPr>
          </w:p>
        </w:tc>
        <w:tc>
          <w:tcPr>
            <w:tcW w:w="2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(187)</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00" w:type="dxa"/>
            <w:vAlign w:val="bottom"/>
            <w:tcBorders>
              <w:top w:val="single" w:sz="8" w:color="auto"/>
              <w:bottom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2024 vs. Nine Months 2023</w:t>
            </w:r>
          </w:p>
        </w:tc>
        <w:tc>
          <w:tcPr>
            <w:tcW w:w="140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42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1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11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40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22"/>
        </w:trPr>
        <w:tc>
          <w:tcPr>
            <w:tcW w:w="19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202</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(76)</w:t>
            </w:r>
          </w:p>
        </w:tc>
        <w:tc>
          <w:tcPr>
            <w:tcW w:w="1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19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tcPr>
          <w:p>
            <w:pPr>
              <w:spacing w:after="0"/>
              <w:rPr>
                <w:sz w:val="19"/>
                <w:szCs w:val="19"/>
                <w:color w:val="auto"/>
              </w:rPr>
            </w:pP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(151)</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20" w:type="dxa"/>
            <w:vAlign w:val="bottom"/>
            <w:tcBorders>
              <w:top w:val="single" w:sz="8" w:color="auto"/>
              <w:bottom w:val="single" w:sz="8" w:color="auto"/>
            </w:tcBorders>
          </w:tcPr>
          <w:p>
            <w:pPr>
              <w:spacing w:after="0"/>
              <w:rPr>
                <w:sz w:val="21"/>
                <w:szCs w:val="21"/>
                <w:color w:val="auto"/>
              </w:rPr>
            </w:pPr>
          </w:p>
        </w:tc>
        <w:tc>
          <w:tcPr>
            <w:tcW w:w="354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2024 vs. Nine Months 2023</w:t>
            </w:r>
          </w:p>
        </w:tc>
        <w:tc>
          <w:tcPr>
            <w:tcW w:w="140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42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19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11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40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22"/>
        </w:trPr>
        <w:tc>
          <w:tcPr>
            <w:tcW w:w="19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Corn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9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Soybeans</w:t>
            </w:r>
          </w:p>
        </w:tc>
        <w:tc>
          <w:tcPr>
            <w:tcW w:w="220" w:type="dxa"/>
            <w:vAlign w:val="bottom"/>
            <w:shd w:val="clear" w:color="auto" w:fill="CCEEFF"/>
          </w:tcPr>
          <w:p>
            <w:pPr>
              <w:spacing w:after="0"/>
              <w:rPr>
                <w:sz w:val="19"/>
                <w:szCs w:val="19"/>
                <w:color w:val="auto"/>
              </w:rPr>
            </w:pPr>
          </w:p>
        </w:tc>
        <w:tc>
          <w:tcPr>
            <w:tcW w:w="2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oilseeds</w:t>
            </w:r>
          </w:p>
        </w:tc>
        <w:tc>
          <w:tcPr>
            <w:tcW w:w="220" w:type="dxa"/>
            <w:vAlign w:val="bottom"/>
          </w:tcPr>
          <w:p>
            <w:pPr>
              <w:spacing w:after="0"/>
              <w:rPr>
                <w:sz w:val="19"/>
                <w:szCs w:val="19"/>
                <w:color w:val="auto"/>
              </w:rPr>
            </w:pPr>
          </w:p>
        </w:tc>
        <w:tc>
          <w:tcPr>
            <w:tcW w:w="23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(71)</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19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Seed</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Seed net sales were $691 million in the third quarter of 2024, down 21 percent from $878 million in the third quarter of 2023. The sales decrease was driven by a 12 percent decrease in volume, a 5 percent decrease in price and a 4 percent unfavorable impact from currency.</w:t>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price decline was primarily related to end of season settlement in North America. Lower volumes were due primarily to reduced corn planted area in Argentina. Unfavorable currency impacts were led by the Brazilian Real.</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Segment operating EBITDA was a loss of $320 million in the third quarter of 2024, down 132 percent from a loss of $138 million in the third quarter of 2023. Higher commodity and other cost of sales, lower volumes, price declines, and continued investment in R&amp;D more than offset ongoing cost and productivity actions.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Seed net sales were $7,773 million in the first nine months of 2024, down 1 percent from $7,837 million in the first nine months of 2023. The sales decrease was driven by a 3 percent decline in volume, a 1 percent unfavorable portfolio impact and a 1 percent unfavorable currency impact, partially offset by a 4 percent increase in price.</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increase in price was driven by strong demand for top technology offerings and operational execution globally. Pricing actions more than offset currency impacts in EMEA. The decline in volume was driven primarily by reduced corn planted area in Argentina, as well as unfavorable weather and reduced planted area in EMEA. Unfavorable currency impacts were led by the Turkish Lira and the Brazilian Real.</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Segment operating EBITDA was $2,126 million in the first nine months of 2024, up 8 percent from $1,972 million in the first nine months of 2023. Price execution and market share gains in North America, reduction of net royalty expense, and ongoing cost and productivity actions more than offset lower volumes, the unfavorable impact of currency, investment in R&amp;D and higher commodity costs. Segment operating EBITDA margin improved by approximately 220 basis points versus the prior-year period.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 w:type="dxa"/>
            <w:vAlign w:val="bottom"/>
          </w:tcPr>
          <w:p>
            <w:pPr>
              <w:spacing w:after="0"/>
              <w:rPr>
                <w:sz w:val="21"/>
                <w:szCs w:val="21"/>
                <w:color w:val="auto"/>
              </w:rPr>
            </w:pPr>
          </w:p>
        </w:tc>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20" w:type="dxa"/>
            <w:vAlign w:val="bottom"/>
            <w:tcBorders>
              <w:top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80" w:type="dxa"/>
            <w:vAlign w:val="bottom"/>
            <w:tcBorders>
              <w:top w:val="single" w:sz="8" w:color="auto"/>
              <w:bottom w:val="single" w:sz="8" w:color="auto"/>
              <w:right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60" w:type="dxa"/>
            <w:vAlign w:val="bottom"/>
          </w:tcPr>
          <w:p>
            <w:pPr>
              <w:spacing w:after="0"/>
              <w:rPr>
                <w:sz w:val="19"/>
                <w:szCs w:val="19"/>
                <w:color w:val="auto"/>
              </w:rPr>
            </w:pPr>
          </w:p>
        </w:tc>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540" w:type="dxa"/>
            <w:vAlign w:val="bottom"/>
            <w:tcBorders>
              <w:right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60" w:type="dxa"/>
            <w:vAlign w:val="bottom"/>
          </w:tcPr>
          <w:p>
            <w:pPr>
              <w:spacing w:after="0"/>
              <w:rPr>
                <w:sz w:val="20"/>
                <w:szCs w:val="20"/>
                <w:color w:val="auto"/>
              </w:rPr>
            </w:pPr>
          </w:p>
        </w:tc>
        <w:tc>
          <w:tcPr>
            <w:tcW w:w="2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4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6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2"/>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Q3 2024 vs. Q3 2023</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8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Portfolio /</w:t>
            </w:r>
          </w:p>
        </w:tc>
        <w:tc>
          <w:tcPr>
            <w:tcW w:w="20" w:type="dxa"/>
            <w:vAlign w:val="bottom"/>
            <w:shd w:val="clear" w:color="auto" w:fill="000000"/>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 w:type="dxa"/>
            <w:vAlign w:val="bottom"/>
            <w:tcBorders>
              <w:bottom w:val="single" w:sz="8" w:color="auto"/>
            </w:tcBorders>
            <w:shd w:val="clear" w:color="auto" w:fill="000000"/>
          </w:tcPr>
          <w:p>
            <w:pPr>
              <w:spacing w:after="0"/>
              <w:rPr>
                <w:sz w:val="20"/>
                <w:szCs w:val="20"/>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19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19"/>
                <w:szCs w:val="19"/>
                <w:color w:val="auto"/>
              </w:rPr>
            </w:pPr>
          </w:p>
        </w:tc>
        <w:tc>
          <w:tcPr>
            <w:tcW w:w="24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auto"/>
            </w:tcBorders>
            <w:shd w:val="clear" w:color="auto" w:fill="000000"/>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auto"/>
            </w:tcBorders>
            <w:shd w:val="clear" w:color="auto" w:fill="000000"/>
          </w:tcPr>
          <w:p>
            <w:pPr>
              <w:spacing w:after="0"/>
              <w:rPr>
                <w:sz w:val="19"/>
                <w:szCs w:val="19"/>
                <w:color w:val="auto"/>
              </w:rPr>
            </w:pPr>
          </w:p>
        </w:tc>
      </w:tr>
      <w:tr>
        <w:trPr>
          <w:trHeight w:val="135"/>
        </w:trPr>
        <w:tc>
          <w:tcPr>
            <w:tcW w:w="6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Q3 2024 vs. Q3 2023</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8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Portfolio /</w:t>
            </w:r>
          </w:p>
        </w:tc>
        <w:tc>
          <w:tcPr>
            <w:tcW w:w="20" w:type="dxa"/>
            <w:vAlign w:val="bottom"/>
            <w:shd w:val="clear" w:color="auto" w:fill="000000"/>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 w:type="dxa"/>
            <w:vAlign w:val="bottom"/>
            <w:tcBorders>
              <w:bottom w:val="single" w:sz="8" w:color="auto"/>
            </w:tcBorders>
            <w:shd w:val="clear" w:color="auto" w:fill="000000"/>
          </w:tcPr>
          <w:p>
            <w:pPr>
              <w:spacing w:after="0"/>
              <w:rPr>
                <w:sz w:val="20"/>
                <w:szCs w:val="20"/>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Herbicides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19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Insecticides</w:t>
            </w:r>
          </w:p>
        </w:tc>
        <w:tc>
          <w:tcPr>
            <w:tcW w:w="2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Fungicides</w:t>
            </w:r>
          </w:p>
        </w:tc>
        <w:tc>
          <w:tcPr>
            <w:tcW w:w="220" w:type="dxa"/>
            <w:vAlign w:val="bottom"/>
          </w:tcPr>
          <w:p>
            <w:pPr>
              <w:spacing w:after="0"/>
              <w:rPr>
                <w:sz w:val="19"/>
                <w:szCs w:val="19"/>
                <w:color w:val="auto"/>
              </w:rPr>
            </w:pPr>
          </w:p>
        </w:tc>
        <w:tc>
          <w:tcPr>
            <w:tcW w:w="24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auto"/>
            </w:tcBorders>
            <w:shd w:val="clear" w:color="auto" w:fill="000000"/>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auto"/>
            </w:tcBorders>
            <w:shd w:val="clear" w:color="auto" w:fill="000000"/>
          </w:tcPr>
          <w:p>
            <w:pPr>
              <w:spacing w:after="0"/>
              <w:rPr>
                <w:sz w:val="19"/>
                <w:szCs w:val="19"/>
                <w:color w:val="auto"/>
              </w:rPr>
            </w:pPr>
          </w:p>
        </w:tc>
      </w:tr>
      <w:tr>
        <w:trPr>
          <w:trHeight w:val="161"/>
        </w:trPr>
        <w:tc>
          <w:tcPr>
            <w:tcW w:w="2000" w:type="dxa"/>
            <w:vAlign w:val="bottom"/>
            <w:tcBorders>
              <w:bottom w:val="single" w:sz="8" w:color="auto"/>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3"/>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2"/>
        </w:trPr>
        <w:tc>
          <w:tcPr>
            <w:tcW w:w="2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2024 vs. Nine Months 2023</w:t>
            </w:r>
          </w:p>
        </w:tc>
        <w:tc>
          <w:tcPr>
            <w:tcW w:w="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Sales Change</w:t>
            </w:r>
          </w:p>
        </w:tc>
        <w:tc>
          <w:tcPr>
            <w:tcW w:w="8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Portfolio /</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4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Borders>
              <w:right w:val="single" w:sz="8" w:color="CCEEFF"/>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(244)</w:t>
            </w:r>
          </w:p>
        </w:tc>
        <w:tc>
          <w:tcPr>
            <w:tcW w:w="11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19"/>
                <w:szCs w:val="19"/>
                <w:color w:val="auto"/>
              </w:rPr>
            </w:pPr>
          </w:p>
        </w:tc>
        <w:tc>
          <w:tcPr>
            <w:tcW w:w="24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4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(525)</w:t>
            </w: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200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3"/>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2"/>
        </w:trPr>
        <w:tc>
          <w:tcPr>
            <w:tcW w:w="2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2024 vs. Nine Months 2023</w:t>
            </w:r>
          </w:p>
        </w:tc>
        <w:tc>
          <w:tcPr>
            <w:tcW w:w="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8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Portfolio /</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60" w:type="dxa"/>
            <w:vAlign w:val="bottom"/>
          </w:tcPr>
          <w:p>
            <w:pPr>
              <w:spacing w:after="0"/>
              <w:rPr>
                <w:sz w:val="19"/>
                <w:szCs w:val="19"/>
                <w:color w:val="auto"/>
              </w:rPr>
            </w:pP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Herbicides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(475)</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0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Borders>
              <w:right w:val="single" w:sz="8" w:color="CCEEFF"/>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Insecticides</w:t>
            </w:r>
          </w:p>
        </w:tc>
        <w:tc>
          <w:tcPr>
            <w:tcW w:w="2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Fungicides</w:t>
            </w:r>
          </w:p>
        </w:tc>
        <w:tc>
          <w:tcPr>
            <w:tcW w:w="220" w:type="dxa"/>
            <w:vAlign w:val="bottom"/>
          </w:tcPr>
          <w:p>
            <w:pPr>
              <w:spacing w:after="0"/>
              <w:rPr>
                <w:sz w:val="19"/>
                <w:szCs w:val="19"/>
                <w:color w:val="auto"/>
              </w:rPr>
            </w:pPr>
          </w:p>
        </w:tc>
        <w:tc>
          <w:tcPr>
            <w:tcW w:w="24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(525)</w:t>
            </w: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Crop Protection</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Crop Protection net sales were $1,635 million in the third quarter of 2024, down 4 percent from $1,712 million in the third quarter of 2023. The sales decline over the prior period was driven by a 10 percent decline in price and a 5 percent unfavorable impact from currency, partially offset by an 11 percent increase in volume.</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increase in volume was driven primarily by Latin America and North America on demand for new products, spinosyns, and biologicals, partially offset by residual destocking in EMEA. The price decline was primarily due to the competitive pricing environment in Latin America. Unfavorable currency impacts were led by the Brazilian Real.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Segment Operating EBITDA was $246 million in the third quarter of 2024, up 34 percent from $184 million in the third quarter of 2023. Raw material deflation, productivity savings and volume growth were partially offset by competitive pricing. Segment operating EBITDA margin improved by 430 basis points versus the prior-year period.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Crop Protection net sales were $5,157 million in the first nine months of 2024, down 9 percent from $5,682 million in the first nine months of 2023. The sales decrease was driven by a 5 percent decline in price, a 3 percent unfavorable impact from currency and a 2 percent decrease in volume. These declines were partially offset by a 1 percent favorable portfolio and other impact.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decrease in volume was primarily due to residual destocking and unfavorable weather impacts in EMEA, as well as just-in-time purchasing behavior in North America, partially offset by volume growth in Latin America on demand for new products and spinosyns. The price decline was primarily due to market dynamics in Latin America. Unfavorable currency impacts were led by the Brazilian Real and the Turkish Lira. The portfolio impact was driven by the Stoller and Symborg acquisitions.</w:t>
      </w:r>
    </w:p>
    <w:p>
      <w:pPr>
        <w:spacing w:after="0" w:line="2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Segment Operating EBITDA was $811 million in the first nine months of 2024, down 27 percent from $1,107 million in the first nine months of 2023. Pricing pressure, lower volumes, and the unfavorable impact of currency more than offset productivity savings. Segment operating EBITDA margin declined by approximately 375 basis points versus the prior-year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 presents certain financial measures that do not conform to U.S. GAAP and are considered non-GAAP measures. These measures include Operating EBITDA and operating earnings (loss) per share.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 over year results. These non-GAAP measures supplement the company's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below.</w:t>
      </w:r>
    </w:p>
    <w:p>
      <w:pPr>
        <w:spacing w:after="0" w:line="198"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Operating EBITDA is defined as earnings (loss) (i.e., income (loss) from continuing operations before income taxes) before interest, depreciation, amortization, non-operating benefits (costs), foreign exchange gains (losses), and net unrealized gain or loss from mark-to-market activity for certain foreign currency derivative instruments that do not qualify for hedge accounting, excluding the impact of significant items.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Operating earnings (loss) per share is defined as "earnings (loss) per common share from continuing operations - diluted" excluding the after-tax impact of significant items, the after-tax impact of non-operating benefits (costs), the after-tax impact of amortization expense associated with intangible assets existing as of the Separation from DowDuPont, and the after-tax impact of net unrealized gain or loss from mark-to-market activity for certain foreign currency derivative instruments that do not qualify for hedge accounting.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relevant non-GAAP financial measures, allowing quarterly results to reflect the economic effects of the foreign currency derivative contracts without the resulting unrealized mark to fair value volatility.</w:t>
      </w:r>
    </w:p>
    <w:p>
      <w:pPr>
        <w:spacing w:after="0" w:line="20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company also uses Free Cash Flow as a non-GAAP measure to evaluate and discuss its liquidity position and ability to generate cash. Free Cash Flow is defined as cash provided by (used for) operating activities – continuing operations, less capital expenditures. Management believes that Free Cash Flow provides investors with meaningful information regarding the</w:t>
      </w:r>
    </w:p>
    <w:p>
      <w:pPr>
        <w:spacing w:after="0" w:line="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company’s ongoing ability to generate cash through core operations, and the company’s ability to service its indebtedness, pay dividends (when declared), make share repurchases, and meet its ongoing cash needs for its operations. During the fourth quarter of 2023, the company made the decision, which was retrospectively applied, to adjust the presentation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Consolidated Statement of Cash Flows to separately show the cash provided by (used for) operating activities – discontinued operations, which was previously presented within cash provided by (used for) operating activities. See Note 1 – Background and Basis of Presentation, to the interim Consolidated Financial Statements, for additional information. As a result, the definition for Free Cash Flow was revised to utilize cash provided by (used for) operating activities – continuing operations. The change in definition did not have a material impact to prior years’ Free Cash Flow. Management made this decision to better present the liquidity generated from the company’s ongoing business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Income (Loss) from Continuing Operations after Income Taxes to Operating EBITDA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right w:val="single" w:sz="8" w:color="auto"/>
            </w:tcBorders>
            <w:gridSpan w:val="4"/>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64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Income (loss) from continuing operations after income taxes </w:t>
            </w:r>
            <w:r>
              <w:rPr>
                <w:rFonts w:ascii="Times New Roman" w:cs="Times New Roman" w:eastAsia="Times New Roman" w:hAnsi="Times New Roman"/>
                <w:sz w:val="18"/>
                <w:szCs w:val="18"/>
                <w:b w:val="1"/>
                <w:bCs w:val="1"/>
                <w:color w:val="auto"/>
              </w:rPr>
              <w:t>(GAAP)</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left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29"/>
        </w:trPr>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22"/>
        </w:trPr>
        <w:tc>
          <w:tcPr>
            <w:tcW w:w="6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 (GAAP)</w:t>
            </w:r>
          </w:p>
        </w:tc>
        <w:tc>
          <w:tcPr>
            <w:tcW w:w="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left w:val="single" w:sz="8" w:color="CCEEFF"/>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r>
      <w:tr>
        <w:trPr>
          <w:trHeight w:val="222"/>
        </w:trPr>
        <w:tc>
          <w:tcPr>
            <w:tcW w:w="6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9"/>
                <w:szCs w:val="19"/>
                <w:color w:val="auto"/>
              </w:rPr>
            </w:pPr>
          </w:p>
        </w:tc>
        <w:tc>
          <w:tcPr>
            <w:tcW w:w="9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664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lef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9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664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(gains) losses</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left w:val="single" w:sz="8" w:color="CCEEFF"/>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Non-operating (benefits) costs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9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175"/>
        </w:trPr>
        <w:tc>
          <w:tcPr>
            <w:tcW w:w="6640" w:type="dxa"/>
            <w:vAlign w:val="bottom"/>
            <w:tcBorders>
              <w:right w:val="single" w:sz="8" w:color="auto"/>
            </w:tcBorders>
            <w:shd w:val="clear" w:color="auto" w:fill="CCEEFF"/>
          </w:tcPr>
          <w:p>
            <w:pPr>
              <w:ind w:left="220"/>
              <w:spacing w:after="0" w:line="175" w:lineRule="exact"/>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w:t>
            </w: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r>
      <w:tr>
        <w:trPr>
          <w:trHeight w:val="242"/>
        </w:trPr>
        <w:tc>
          <w:tcPr>
            <w:tcW w:w="664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left w:val="single" w:sz="8" w:color="CCEEFF"/>
            </w:tcBorders>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Significant items (benefit) charge</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6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EBITDA (Non-GAAP)</w:t>
            </w:r>
          </w:p>
        </w:tc>
        <w:tc>
          <w:tcPr>
            <w:tcW w:w="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left w:val="single" w:sz="8" w:color="CCEEFF"/>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2,995</w:t>
            </w:r>
          </w:p>
        </w:tc>
      </w:tr>
      <w:tr>
        <w:trPr>
          <w:trHeight w:val="55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Items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9"/>
        </w:trPr>
        <w:tc>
          <w:tcPr>
            <w:tcW w:w="6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3"/>
          </w:tcPr>
          <w:p>
            <w:pPr>
              <w:spacing w:after="0"/>
              <w:rPr>
                <w:sz w:val="23"/>
                <w:szCs w:val="23"/>
                <w:color w:val="auto"/>
              </w:rPr>
            </w:pPr>
          </w:p>
        </w:tc>
      </w:tr>
      <w:tr>
        <w:trPr>
          <w:trHeight w:val="168"/>
        </w:trPr>
        <w:tc>
          <w:tcPr>
            <w:tcW w:w="66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left w:val="single" w:sz="8" w:color="auto"/>
            </w:tcBorders>
          </w:tcPr>
          <w:p>
            <w:pPr>
              <w:spacing w:after="0"/>
              <w:rPr>
                <w:sz w:val="14"/>
                <w:szCs w:val="14"/>
                <w:color w:val="auto"/>
              </w:rPr>
            </w:pPr>
          </w:p>
        </w:tc>
        <w:tc>
          <w:tcPr>
            <w:tcW w:w="2040" w:type="dxa"/>
            <w:vAlign w:val="bottom"/>
            <w:tcBorders>
              <w:right w:val="single" w:sz="8" w:color="auto"/>
            </w:tcBorders>
            <w:gridSpan w:val="3"/>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6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left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Estimated settlement expense</w:t>
            </w:r>
            <w:r>
              <w:rPr>
                <w:rFonts w:ascii="Times New Roman" w:cs="Times New Roman" w:eastAsia="Times New Roman" w:hAnsi="Times New Roman"/>
                <w:sz w:val="23"/>
                <w:szCs w:val="23"/>
                <w:color w:val="auto"/>
                <w:vertAlign w:val="superscript"/>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3"/>
              </w:rPr>
              <w:t>(66)</w:t>
            </w:r>
          </w:p>
        </w:tc>
        <w:tc>
          <w:tcPr>
            <w:tcW w:w="220" w:type="dxa"/>
            <w:vAlign w:val="bottom"/>
            <w:tcBorders>
              <w:left w:val="single" w:sz="8" w:color="auto"/>
            </w:tcBorders>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6640" w:type="dxa"/>
            <w:vAlign w:val="bottom"/>
            <w:tcBorders>
              <w:right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Inventory write-offs</w:t>
            </w:r>
            <w:r>
              <w:rPr>
                <w:rFonts w:ascii="Times New Roman" w:cs="Times New Roman" w:eastAsia="Times New Roman" w:hAnsi="Times New Roman"/>
                <w:sz w:val="23"/>
                <w:szCs w:val="23"/>
                <w:color w:val="auto"/>
                <w:vertAlign w:val="superscript"/>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Gain (loss) on sale of business, assets and equity investments</w:t>
            </w:r>
            <w:r>
              <w:rPr>
                <w:rFonts w:ascii="Times New Roman" w:cs="Times New Roman" w:eastAsia="Times New Roman" w:hAnsi="Times New Roman"/>
                <w:sz w:val="23"/>
                <w:szCs w:val="23"/>
                <w:color w:val="auto"/>
                <w:vertAlign w:val="superscript"/>
              </w:rPr>
              <w:t>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left w:val="single" w:sz="8" w:color="auto"/>
            </w:tcBorders>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640" w:type="dxa"/>
            <w:vAlign w:val="bottom"/>
            <w:tcBorders>
              <w:right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Seed sale associated with Russia exit</w:t>
            </w:r>
            <w:r>
              <w:rPr>
                <w:rFonts w:ascii="Times New Roman" w:cs="Times New Roman" w:eastAsia="Times New Roman" w:hAnsi="Times New Roman"/>
                <w:sz w:val="23"/>
                <w:szCs w:val="23"/>
                <w:color w:val="auto"/>
                <w:vertAlign w:val="superscript"/>
              </w:rPr>
              <w:t>2,3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left w:val="single" w:sz="8" w:color="auto"/>
            </w:tcBorders>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64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2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pre-tax significant items benefit (charge)</w:t>
            </w:r>
          </w:p>
        </w:tc>
        <w:tc>
          <w:tcPr>
            <w:tcW w:w="160" w:type="dxa"/>
            <w:vAlign w:val="bottom"/>
            <w:tcBorders>
              <w:right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3"/>
              </w:rPr>
              <w:t>(71)</w:t>
            </w:r>
          </w:p>
        </w:tc>
        <w:tc>
          <w:tcPr>
            <w:tcW w:w="220" w:type="dxa"/>
            <w:vAlign w:val="bottom"/>
            <w:tcBorders>
              <w:lef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6640" w:type="dxa"/>
            <w:vAlign w:val="bottom"/>
            <w:tcBorders>
              <w:right w:val="single" w:sz="8" w:color="CCEEFF"/>
            </w:tcBorders>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Total tax (provision) benefit impact of significant items</w:t>
            </w:r>
            <w:r>
              <w:rPr>
                <w:rFonts w:ascii="Times New Roman" w:cs="Times New Roman" w:eastAsia="Times New Roman" w:hAnsi="Times New Roman"/>
                <w:sz w:val="23"/>
                <w:szCs w:val="23"/>
                <w:color w:val="auto"/>
                <w:vertAlign w:val="superscript"/>
              </w:rPr>
              <w:t>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left w:val="single" w:sz="8" w:color="auto"/>
            </w:tcBorders>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640" w:type="dxa"/>
            <w:vAlign w:val="bottom"/>
            <w:tcBorders>
              <w:bottom w:val="single" w:sz="8" w:color="auto"/>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Tax only significant item benefit (charge)</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64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significant items benefit (charge), after tax</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(57)</w:t>
            </w:r>
          </w:p>
        </w:tc>
        <w:tc>
          <w:tcPr>
            <w:tcW w:w="220" w:type="dxa"/>
            <w:vAlign w:val="bottom"/>
            <w:tcBorders>
              <w:left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166"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estimated Lorsban® related charges.</w:t>
      </w:r>
    </w:p>
    <w:p>
      <w:pPr>
        <w:spacing w:after="0" w:line="16" w:lineRule="exact"/>
        <w:rPr>
          <w:rFonts w:ascii="Times New Roman" w:cs="Times New Roman" w:eastAsia="Times New Roman" w:hAnsi="Times New Roman"/>
          <w:sz w:val="14"/>
          <w:szCs w:val="14"/>
          <w:color w:val="auto"/>
        </w:rPr>
      </w:pPr>
    </w:p>
    <w:p>
      <w:pPr>
        <w:ind w:left="160" w:right="40" w:hanging="152"/>
        <w:spacing w:after="0"/>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2022 Restructuring Actions. The nine months ended September 30, 2024 includes a $2 million benefit associated with sales of inventory previously reserved for in association with the 2022 Restructuring Actions.</w:t>
      </w:r>
    </w:p>
    <w:p>
      <w:pPr>
        <w:jc w:val="both"/>
        <w:ind w:left="160" w:right="20" w:hanging="152"/>
        <w:spacing w:after="0" w:line="241" w:lineRule="auto"/>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(charge) of $18 million for the nine months ended September 30, 2023, relating to the sale of seeds already under production in Russia when the decision to exit the country was made and that the company was contractually required to purchase. It consists of $71 million of net sales and $53 million of cost of goods sold for the nine months ended September 30, 2023.</w:t>
      </w:r>
    </w:p>
    <w:p>
      <w:pPr>
        <w:spacing w:after="0" w:line="160" w:lineRule="exact"/>
        <w:rPr>
          <w:rFonts w:ascii="Times New Roman" w:cs="Times New Roman" w:eastAsia="Times New Roman" w:hAnsi="Times New Roman"/>
          <w:sz w:val="14"/>
          <w:szCs w:val="14"/>
          <w:color w:val="auto"/>
        </w:rPr>
      </w:pPr>
    </w:p>
    <w:p>
      <w:pPr>
        <w:jc w:val="both"/>
        <w:ind w:left="160" w:right="20" w:hanging="152"/>
        <w:spacing w:after="0" w:line="241" w:lineRule="auto"/>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acquisition-related costs relating to third-party integration costs associated with the completed acquisitions of Stoller and Symborg. The nine months ended September 30, 2023 also includes transaction costs and the recognition of the inventory fair value step-up. See Note 3 - Business Combinations, to the interim Consolidated Financials Statements, for additional information.</w:t>
      </w:r>
    </w:p>
    <w:p>
      <w:pPr>
        <w:spacing w:after="0" w:line="160" w:lineRule="exact"/>
        <w:rPr>
          <w:rFonts w:ascii="Times New Roman" w:cs="Times New Roman" w:eastAsia="Times New Roman" w:hAnsi="Times New Roman"/>
          <w:sz w:val="14"/>
          <w:szCs w:val="14"/>
          <w:color w:val="auto"/>
        </w:rPr>
      </w:pPr>
    </w:p>
    <w:p>
      <w:pPr>
        <w:ind w:left="160" w:right="20" w:hanging="152"/>
        <w:spacing w:after="0" w:line="250" w:lineRule="auto"/>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specifically addressed above, the income tax effect on significant items was calculated based upon the enacted tax laws and statutory income tax rates applicable in the tax jurisdiction(s) of the underlying non-GAAP adjustment.</w:t>
      </w:r>
    </w:p>
    <w:p>
      <w:pPr>
        <w:jc w:val="both"/>
        <w:ind w:left="160" w:right="20" w:hanging="152"/>
        <w:spacing w:after="0" w:line="267" w:lineRule="auto"/>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only significant item benefit for the three and nine months ended September 30, 2024 reflects the impact of intellectual property realignment. The tax only significant item benefit for the nine months ended September 30, 2023 reflects the impact of changes to deferred taxes associated with a tax currency change for a legal entity and an adjustment due to a change in estimate related to a worthless stock deduction in the U.S.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b w:val="1"/>
          <w:bCs w:val="1"/>
          <w:color w:val="auto"/>
        </w:rPr>
        <w:t>Reconciliation of Income (Loss) from Continuing Operations Attributable to Corteva and Earnings (Loss) Per Share of Common Stock from Continuing Operations - Diluted to Operating Earnings (Loss) and Operating Earnings (Loss) Per Share</w:t>
      </w:r>
    </w:p>
    <w:tbl>
      <w:tblPr>
        <w:tblLayout w:type="fixed"/>
        <w:tblInd w:w="20" w:type="dxa"/>
        <w:tblCellMar>
          <w:top w:w="0" w:type="dxa"/>
          <w:left w:w="0" w:type="dxa"/>
          <w:bottom w:w="0" w:type="dxa"/>
          <w:right w:w="0" w:type="dxa"/>
        </w:tblCellMar>
      </w:tblPr>
      <w:tr>
        <w:trPr>
          <w:trHeight w:val="169"/>
        </w:trPr>
        <w:tc>
          <w:tcPr>
            <w:tcW w:w="6760" w:type="dxa"/>
            <w:vAlign w:val="bottom"/>
            <w:tcBorders>
              <w:top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40" w:type="dxa"/>
            <w:vAlign w:val="bottom"/>
            <w:tcBorders>
              <w:top w:val="single" w:sz="8" w:color="auto"/>
              <w:right w:val="single" w:sz="8" w:color="auto"/>
            </w:tcBorders>
            <w:gridSpan w:val="3"/>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4"/>
                <w:szCs w:val="14"/>
                <w:color w:val="auto"/>
              </w:rPr>
            </w:pPr>
          </w:p>
        </w:tc>
        <w:tc>
          <w:tcPr>
            <w:tcW w:w="2000" w:type="dxa"/>
            <w:vAlign w:val="bottom"/>
            <w:tcBorders>
              <w:top w:val="single" w:sz="8" w:color="auto"/>
              <w:right w:val="single" w:sz="8" w:color="auto"/>
            </w:tcBorders>
            <w:gridSpan w:val="3"/>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76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8"/>
        </w:trPr>
        <w:tc>
          <w:tcPr>
            <w:tcW w:w="67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Income (loss) from continuing operations attributable to Corteva common stockholders</w:t>
            </w:r>
          </w:p>
        </w:tc>
        <w:tc>
          <w:tcPr>
            <w:tcW w:w="20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r>
      <w:tr>
        <w:trPr>
          <w:trHeight w:val="242"/>
        </w:trPr>
        <w:tc>
          <w:tcPr>
            <w:tcW w:w="6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6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Non-operating benefits (costs), after tax</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6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Amortization of intangibles (existing as of Separation), after tax</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175"/>
        </w:trPr>
        <w:tc>
          <w:tcPr>
            <w:tcW w:w="676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Less: Mark-to-market gains (losses) on certain foreign currency contracts not designated as</w:t>
            </w:r>
          </w:p>
        </w:tc>
        <w:tc>
          <w:tcPr>
            <w:tcW w:w="20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42"/>
        </w:trPr>
        <w:tc>
          <w:tcPr>
            <w:tcW w:w="6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hedges, after tax</w:t>
            </w:r>
          </w:p>
        </w:tc>
        <w:tc>
          <w:tcPr>
            <w:tcW w:w="200" w:type="dxa"/>
            <w:vAlign w:val="bottom"/>
          </w:tcPr>
          <w:p>
            <w:pPr>
              <w:spacing w:after="0"/>
              <w:rPr>
                <w:sz w:val="21"/>
                <w:szCs w:val="21"/>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Significant items benefit (charge), after tax</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(Loss) (Non-GAAP)</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r>
    </w:tbl>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82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right w:val="single" w:sz="8" w:color="auto"/>
            </w:tcBorders>
            <w:gridSpan w:val="3"/>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2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8"/>
        </w:trPr>
        <w:tc>
          <w:tcPr>
            <w:tcW w:w="68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Earnings (loss) per share of common stock from continuing operations attributable to Corteva</w:t>
            </w:r>
          </w:p>
        </w:tc>
        <w:tc>
          <w:tcPr>
            <w:tcW w:w="18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r>
      <w:tr>
        <w:trPr>
          <w:trHeight w:val="242"/>
        </w:trPr>
        <w:tc>
          <w:tcPr>
            <w:tcW w:w="6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stockholders - diluted </w:t>
            </w:r>
            <w:r>
              <w:rPr>
                <w:rFonts w:ascii="Times New Roman" w:cs="Times New Roman" w:eastAsia="Times New Roman" w:hAnsi="Times New Roman"/>
                <w:sz w:val="18"/>
                <w:szCs w:val="18"/>
                <w:b w:val="1"/>
                <w:bCs w:val="1"/>
                <w:color w:val="auto"/>
              </w:rPr>
              <w:t>(GAAP)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Non-operating benefits (costs), after tax</w:t>
            </w:r>
          </w:p>
        </w:tc>
        <w:tc>
          <w:tcPr>
            <w:tcW w:w="180" w:type="dxa"/>
            <w:vAlign w:val="bottom"/>
          </w:tcPr>
          <w:p>
            <w:pPr>
              <w:spacing w:after="0"/>
              <w:rPr>
                <w:sz w:val="19"/>
                <w:szCs w:val="19"/>
                <w:color w:val="auto"/>
              </w:rPr>
            </w:pPr>
          </w:p>
        </w:tc>
        <w:tc>
          <w:tcPr>
            <w:tcW w:w="9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6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Amortization of intangibles (existing as of Separation), after tax</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175"/>
        </w:trPr>
        <w:tc>
          <w:tcPr>
            <w:tcW w:w="682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Less: Mark-to-market gains (losses) on certain foreign currency contracts not designated as</w:t>
            </w:r>
          </w:p>
        </w:tc>
        <w:tc>
          <w:tcPr>
            <w:tcW w:w="1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42"/>
        </w:trPr>
        <w:tc>
          <w:tcPr>
            <w:tcW w:w="6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hedges, after tax</w:t>
            </w:r>
          </w:p>
        </w:tc>
        <w:tc>
          <w:tcPr>
            <w:tcW w:w="180" w:type="dxa"/>
            <w:vAlign w:val="bottom"/>
          </w:tcPr>
          <w:p>
            <w:pPr>
              <w:spacing w:after="0"/>
              <w:rPr>
                <w:sz w:val="21"/>
                <w:szCs w:val="21"/>
                <w:color w:val="auto"/>
              </w:rPr>
            </w:pPr>
          </w:p>
        </w:tc>
        <w:tc>
          <w:tcPr>
            <w:tcW w:w="9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21"/>
                <w:szCs w:val="21"/>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21"/>
                <w:szCs w:val="21"/>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6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Significant items benefit (charge), after tax</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22"/>
        </w:trPr>
        <w:tc>
          <w:tcPr>
            <w:tcW w:w="6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(Loss) Per Share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6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Diluted Shares Outstanding </w:t>
            </w: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691.1</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708.4</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Information related to the company's liquidity and capital resources can be found in the company’s 2023 Annual Report, Part II, Item 7. Management’s Discussion and Analysis of Financial Condition and Results of Operations, Liquidity &amp; Capital Resources. The discussion below provides the updates to this information for the nine months ended September 30,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2"/>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2,362</w:t>
            </w:r>
          </w:p>
        </w:tc>
      </w:tr>
      <w:tr>
        <w:trPr>
          <w:trHeight w:val="236"/>
        </w:trPr>
        <w:tc>
          <w:tcPr>
            <w:tcW w:w="5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5,899</w:t>
            </w:r>
          </w:p>
        </w:tc>
      </w:tr>
    </w:tbl>
    <w:p>
      <w:pPr>
        <w:spacing w:after="0" w:line="13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increase in debt balances from December 31, 2023 was primarily due to higher short-term debt, which was used to fund the company's working capital needs, capital spending, dividend payments and share repurchases. See further information in Note 12 - Short-Term Borrowings, Long-Term Debt and Available Credit Facilities, to the interim Consolidated Financial Statements.</w:t>
      </w:r>
    </w:p>
    <w:p>
      <w:pPr>
        <w:spacing w:after="0" w:line="2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company believes its ability to generate cash from operations and access to capital markets and commercial paper markets will be adequate to meet anticipated cash requirements to fund its operations, including seasonal working capital, capital spending, dividend payments, share repurchases, pension obligations and litigation costs, net of recoveries. Corteva's strong financial position, liquidity and credit ratings will provide access as needed to capital markets and commercial paper markets to fund seasonal working capital needs. The company's liquidity needs can be met through a variety of sources, including cash provided by operating activities, commercial paper, syndicated credit lines, bilateral credit lines, long-term debt markets, bank financing and committed receivable repurchase facilities. Corteva considers the borrowing costs and lending terms when selecting the source to fund its operations and working capital needs.</w:t>
      </w:r>
    </w:p>
    <w:p>
      <w:pPr>
        <w:spacing w:after="0" w:line="21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had access to approximately $6.2 billion, $6.0 billion, $6.0 billion at September 30, 2024, December 31, 2023 and September 30, 2023, in committed and uncommitted unused credit lines, which includes the uncommitted revolving credit lines relating to the Foreign Currency Loans. These facilities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acquisitions and Corteva's costs and expenses, including the settlement of litigation. These facilities are provided to the company by highly rated and well capitalized global financial institutions.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 billion. Borrowings under the Revolving Credit Facilities will have an interest rate equal to Adjusted Term SOFR, which is Term SOFR plus 0.10 percent, plus the applicable margin.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September 30, 2024, the company was in compliance with these covenants.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2024, the company amended and restated its July 2023 (as amended in July 2023 and January 2024) 364-day revolving credit agreement (the “364-Day Revolving Credit Facility”) increasing the facility amount to $1 billion and extending the expiration date to February 2025. In February 2023, the company drew down $1 billion under the 364-Day Revolving Credit Facility, which was used for general corporate purposes, including funding seasonal working capital needs, capital spending, dividend payments, share repurchases and to partially fund the Stoller and Symborg acquisitions. See Note 3 - Business Combinations, to the interim Consolidated Financial Statements, for additional information on the Stoller and Symborg acquisitions. In May 2023, the company repaid the $1 billion loan using the proceeds from the May 2023 Debt Offering.</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May 2023, the company issued $600 million of 4.50 percent Senior Notes due in 2026 and $600 million of 4.80 percent Senior Notes due in 2033 (the “May 2023 Debt Offering”).</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has meaningful seasonal working capital needs based in part on providing financing to its customers. Working capital is funded through multiple methods including cash, commercial paper, the Revolving Credit Facilities, the 364-Day Revolving Credit Facility, and factoring.</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factoring agreements with third-party financial institutions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Refer to Note 9 - Accounts and Notes Receivable - Net, to the interim Consolidated Financial Statements, for more information.</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also organizes agreements with third-party financial institutions who directly provide financing for select customers of the company's Seed and Crop Protection products in each region. Terms of the third-party loans are less than a year and programs are renewed on an annual basis. In some cases, the company guarantees a portion of the extension of such credit to such customers. Refer to Note 13 - Commitments and Contingent Liabilities, to the interim Consolidated Financial Statements, for more information on the company’s guarantees.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cash, cash equivalents and marketable securities at September 30, 2024, December 31, 2023 and September 30, 2023 are $2.5 billion, $2.7 billion and $2.4 billion, respectively, of which $2.1 billion, $2.2 billion and $2.0 billion at September 30, 2024, December 31, 2023 and September 30, 2023, respectively, was held by subsidiaries in foreign countries, including United States territories. Cash, cash equivalents and marketable securities are concentrated subject to local restrictions with highly rated and well capitalized global financial institutions. The underlying credit worthiness and exposures to these counterparties are monitored on a regular basis in line with the company’s overall risk management procedures. Upon actual repatriation, such earnings could be subject to withholding taxes, foreign and/or U.S. state income taxes, and taxes resulting from the impact of foreign currency movements. The cash held by foreign subsidiaries is generally used to finance the subsidiaries' operational activities and future foreign investments. At September 30, 2024, management believed that sufficient liquidity is available in the U.S. with global operating cash flows, borrowing capacity from existing committed credit facilities, and access to capital markets and commercial paper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Cash provided by (used for) operating activities - continuing operations was $(1,871) million for the nine months ended September 30, 2024 compared to $(2,574) million for the nine months ended September 30, 2023. The change was primarily driven by favorable changes in working capital. Within accounts payable, lower payments to third-party growers resulted from lower commodity costs and production plans, supplemented by a change in inventory purchasing patterns. The favorable changes in inventories were driven by production reductions to match demand, and favorable changes in other assets and liabilities were primarily due to lower variable compensation payments compared to the prior year and favorable foreign currency derivative contract settlements. These movements were partially offset by unfavorable changes in receivables driven by slower collections, as well as in deferred revenue due to lower prepayments received combined with higher usage of prepayments.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Cash provided by (used for) operating activities - discontinued operations was $(157) million for the nine months ended September 30, 2024 compared to $(30) million for the nine months ended September 30, 2023. The cash outflows were primarily related to PFAS activities that are subject to the MOU with Chemours and DuPont associated with environmental remediation activities primarily at Chemours’ Fayetteville Works facility. In addition, the disbursement of the cash held in the Water District Settlement Fund is reflected in the nine months ended September 30, 2024.</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Cash provided by (used for) investing activities was $(466) million for the nine months ended September 30, 2024 compared to $(1,773) million for the nine months ended September 30, 2023. The change was primarily due to the acquisitions of Stoller and Symborg in 2023, partially offset by higher proceeds from the net investment hedge settlement in the first quarter of 2023 as compared to the second quarter of 2024, along with higher 2024 activity in investments.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Cash provided by (used for) financing activities was $2,137 million for the nine months ended September 30, 2024 compared to $3,603 million for the nine months ended September 30, 2023. The change was primarily due to higher borrowings in 2023 to fund working capital needs, capital spending, dividend payments, share repurchases and to partially fund the Stoller and Symborg acquisitions, as well as higher payments on debt and higher repurchases of common stock in 2024.</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the company's Board of Directors authorized a common stock dividend of $0.16 per share, payable on March 15, 2024, to the shareholders of record on March 1, 2024. In April 2024, the company's Board of Directors authorized a common stock dividend of $0.16 per share, payable on June 18, 2024, to the shareholders of record on June 4, 2024. In July 2024, the company's Board of Directors authorized a common stock dividend of $0.17 per share, which reflects an approved increase of 6.25 percent, payable on September 17, 2024, to the shareholders of record on September 3, 2024. In October 2024, the company's Board of Directors authorized a common stock dividend of $0.17 per share, payable on December 16, 2024, to the shareholders of recorded on December 2, 2024.</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13, 2022, Corteva, Inc. announced that its Board of Directors authorized a $2 billion share repurchase program to purchase Corteva, Inc.'s common stock, par value $0.01 per share, without an expiration date ("2022 Share Buyback Plan"). The timing, price and volume of purchases in connection with the 2022 Share Buyback Plan will be based on market conditions, relevant securities laws and other factors. In connection with the 2022 Share Buyback Plan, the company repurchased and retired 4,722,000 shares and 4,913,000 shares in the open market for a total cost (excluding excise taxes) of $250 million for both the three months ended September 30, 2024 and 2023, respectively, and 13,838,000 shares and 6,330,000 shares in the open market for a cost (excluding excise taxes) of $750 million and $330 million during the nine months ended September 30, 2024 and 2023 respectively. In addition, the company repurchased and retired 4,098,000 shares in the open market for a total cost of $250 million during the nine months ended September 30, 2023 under the $1.5 billion share repurchase program to purchase Corteva, Inc.'s common stock, par value $0.01 per share, without an expiration date ("2021 Share Buyback Plan"), which was authorized by the Corteva, Inc. Board of Directors on August 5, 2021 and completed during the first quarter of 2023.</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full year 2024, the company expects repurchases of approximately $1 billion under the 2022 Share Buyback Plan discussed above. The total amount, timing, manner, price and volume of purchases will be based on market conditions, relevant securities laws and other market and company specific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Stockholders' Equity, to the interim Consolidated Financial Statements, for additional information related to the share buyback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Liquidity Discussion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discussed in Note 1 - Basis of Presentation, to the EIDP interim Consolidated Financial Statements, EIDP is a subsidiary of Corteva, Inc. and continues to be a reporting company, subject to the requirements of the Exchange Act. The below relates to EIDP only and is presented to provide a Liquidity discussion for the differences between EIDP and Corteva, Inc. See Note 2 Related Party Transactions, to the EIDP interim Consolidated Financial Statements, for further information on the related party loan between EIDP and Corteva,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(used for) operating activities - continuing operations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EIDP’s cash provided by (used for) operating activities - continuing operations was $(2,977) million and $(2,585) million for the nine months ended September 30, 2024 and 2023, respectively. The change was primarily driven by higher receivables from Corteva in connection with the Master In-House Banking Agreement and the items noted on page 55, under the header "Summary of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(used for) operating activities - discontinued operations</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EIDP’s cash provided by (used for) operating activities - discontinued operations was $(157) million and $(30) million for the nine months ended September 30, 2024 and 2023, respectively. The change was primarily driven by the items noted on page 55, under the header "Summary of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(used for) investing activities</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EIDP’s cash provided by (used for) investing activities was $(466) million and $(1,773) million for the nine months ended September 30, 2024 and 2023. The change was primarily driven by the items noted on page 55, under the header "Summary of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(used for) financing activities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EIDP’s cash provided by (used for) financing activities was $3,243 million and $3,614 million for the nine months ended September 30, 2024 and 2023. The change was primarily due to higher borrowings in 2023 to fund working capital needs, capital spending, Corteva, Inc. dividend payments and share repurchases and to partially fund the Stoller and Symborg acquisitions, partially offset by higher payments on debt, including the payments on the related party loan between EIDP and Corteva, Inc. in the first quarter of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Off-Balance Sheet Arrangements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detailed information related to Guarantees, Indemnifications, and Obligations for Equity Affiliates and Others, see the company’s 2023 Annual Report, Part II, Item 7. Management’s Discussion and Analysis of Financial Condition and Results of Operations, Off-Balance Sheet Arrangements and Note 13 - Commitments and Contingent Liabilities, to the interim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Information related to the company's contractual obligations at December 31, 2023 can be found on page 56 of the company's 2023 Annual Report. There have been no material changes to the company’s contractual obligations outside the ordinary course of business from those reported in the company’s 2023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See Note 16 - Financial Instruments, to the interim Consolidated Financial Statements. See also Part II, Item 7A. Quantitative and Qualitative Disclosures About Market Risk, of the company's 2023 Annual Report, for information on the company's utilization of financial instruments and an analysis of the sensitivity of these instruments.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254"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3" w:lineRule="exact"/>
        <w:rPr>
          <w:rFonts w:ascii="Times New Roman" w:cs="Times New Roman" w:eastAsia="Times New Roman" w:hAnsi="Times New Roman"/>
          <w:sz w:val="18"/>
          <w:szCs w:val="18"/>
          <w:color w:val="auto"/>
        </w:rPr>
      </w:pPr>
    </w:p>
    <w:p>
      <w:pPr>
        <w:jc w:val="both"/>
        <w:ind w:left="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disclosure controls and procedures to give reasonable assurance that information required to be disclosed in the company's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210" w:lineRule="exact"/>
        <w:rPr>
          <w:rFonts w:ascii="Times New Roman" w:cs="Times New Roman" w:eastAsia="Times New Roman" w:hAnsi="Times New Roman"/>
          <w:sz w:val="18"/>
          <w:szCs w:val="18"/>
          <w:color w:val="auto"/>
        </w:rPr>
      </w:pPr>
    </w:p>
    <w:p>
      <w:pPr>
        <w:jc w:val="both"/>
        <w:ind w:left="5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company's Chief Executive Officer ("CEO") and Chief Financial Officer ("CFO"), together with management, conducted an evaluation of the effectiveness of the company's disclosure controls and procedures pursuant to Rules 13a-15(e) and 15d-15(e) of the Exchange Act. Based on that evaluation, the CEO and CFO concluded that these disclosure controls and procedures are effective.</w:t>
      </w:r>
    </w:p>
    <w:p>
      <w:pPr>
        <w:spacing w:after="0" w:line="1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quarter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254"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3" w:lineRule="exact"/>
        <w:rPr>
          <w:rFonts w:ascii="Times New Roman" w:cs="Times New Roman" w:eastAsia="Times New Roman" w:hAnsi="Times New Roman"/>
          <w:sz w:val="18"/>
          <w:szCs w:val="18"/>
          <w:color w:val="auto"/>
        </w:rPr>
      </w:pPr>
    </w:p>
    <w:p>
      <w:pPr>
        <w:jc w:val="both"/>
        <w:ind w:left="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EIDP maintains a system of disclosure controls and procedures to give reasonable assurance that information required to be disclosed in their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210" w:lineRule="exact"/>
        <w:rPr>
          <w:rFonts w:ascii="Times New Roman" w:cs="Times New Roman" w:eastAsia="Times New Roman" w:hAnsi="Times New Roman"/>
          <w:sz w:val="18"/>
          <w:szCs w:val="18"/>
          <w:color w:val="auto"/>
        </w:rPr>
      </w:pPr>
    </w:p>
    <w:p>
      <w:pPr>
        <w:jc w:val="both"/>
        <w:ind w:left="5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EIDP's CEO and CFO, together with management, conducted an evaluation of the effectiveness of EIDP's disclosure controls and procedures pursuant to Rules 13a-15(e) and 15d-15(e) of the Exchange Act. Based on that evaluation, the CEO and CFO concluded that these disclosure controls and procedures are effective.</w:t>
      </w:r>
    </w:p>
    <w:p>
      <w:pPr>
        <w:spacing w:after="0" w:line="1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8"/>
          <w:szCs w:val="18"/>
          <w:color w:val="auto"/>
        </w:rPr>
        <w:t>There have been no changes in EIDP's internal control over financial reporting that occurred during the quarter ended September 30, 2024 that have materially affected, or are reasonably likely to materially affect, EIDP's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the Separation of Corteva from DuPont.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Often these proceedings raise complex factual and legal issues, which are subject to risks and uncertainties and which could require significant amounts of senior leadership team’s time. Litigation and other claims, along with regulatory proceedings, against the company could also materially adversely affect its operations, reputation, and/or result in the incurrence of unexpected expenses and liability. Even when the company believes liabilities are not expected to be material or the probability of loss or of an adverse unappealable final judgment is remote, the company may consider settlement of these matters, and may enter into settlement agreements, if it believes settlement is in the best interest of the company, including avoidance of future distraction and litigation defense cost, and its shareholders. Information regarding certain of these matters is set forth below and in Note 13 - Commitments and Contingent Liabilities, to the interim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 to Corteva’s current businesses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Trade Commission Investigation</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29, 2022, the FTC, along with ten state attorneys general, filed a lawsuit against Corteva and another competitor alleging the parties engaged in unfair methods of competition, unlawful conditioning of payments, unreasonably restrained trade, and have an unlawful monopoly (the “FTC lawsuit”). In December 2022, two additional state attorneys general joined the FTC lawsuit, and another state attorney general filed a separate lawsuit against Corteva and another competitor based on the allegations set forth in the FTC lawsuit. Several proposed private class action lawsuits alleging anticompetitive conduct based on the allegations set forth in the FTC lawsuit were centralized into a multi-district litigation in the U.S. District Court for the Middle District of North Carolina in February 2023. Further information with respect to these proceedings is set forth under “Federal Trade Commission Investigation” in Note 13 - Commitments and Contingent Liabilities, to the interim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Lorsban® Lawsuits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2024, there were pending personal injury and remediation lawsuits filed against the former Dow Agrosciences LLC in California alleging injuries related to exposure to, or contamination by, chlorpyrifos, the active ingredient in Lorsban®, an insecticide used by commercial farms for field fruit, nut and vegetable crops. Corteva ended its production of Lorsban® in 2020. Further information with respect to these proceedings is set forth under “Lorsban® Lawsuits” in Note 13 – Commitments and Contingent Liabilities, to the interim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Inari Disputes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27, 2023, Corteva filed a lawsuit in Delaware federal court against Inari Agriculture, Inc. and Inari Agriculture N.V. (collectively “Inari”) asserting claims of Plant Variety Protection infringement, indirect patent infringement, breach of contract, and civil conversion. Corteva’s lawsuit alleges Inari illegally obtained various varieties of seed technologies from a seed depository and illegally transported them abroad for the purpose of performing gene editing on the technologies and then filing a patent for such technologies. Inari’s motion to dismiss the complaint was denied in August 2024 and discovery remains ongoing. Since the denial, Inari has asserted counterclaims alleging, among other things, that the patents underlying Corteva's infringement claims are invalid and unenforceable.</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Inari filed a Petition for Post Grant Review (PGR) of Corteva’s ’055 patent before the Patent Trial and Appeal Board (“PTAB”) at the U.S. Patent and Trademark Office. The patent subject to the PGR is related to Enlist E3® soybeans and directed to AAD-12 transformed plants that express AAD-12 enzymes with the dual ability to degrade two classes of herbicides, phenoxy auxins and pyridyloxy auxins. On October 10, 2024, the PTAB found all claims of Corteva’s ’055 patent unpatentable for lack of enablement. The PTAB decision is not expected to impact our ability to license and protect Enlist E3® traits. Nevertheless, Corteva is evaluating an appeal of the PTAB decision.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Disputes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2022, Corteva filed a lawsuit against Bayer CropScience LLP and Monsanto Company (collectively “Bayer”) in federal court in Delaware for alleged infringement of Corteva’s patented AAD-1 herbicide resistance technology used in Enlist® corn. The complaint for this lawsuit was amended to include additional patents that are closely related to this patented technology for soybeans. Corteva seeks to enjoin Bayer from continuing to infringe, as well as appropriate monetary damages.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Bayer has filed an answer to the complaint and has asserted various affirmative defenses including invalidity. In August 2023, the court issued a decision adopting Corteva’s claim construction for all five disputed patent terms subject to this litigation.</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December 2023, the PTAB authorized an Inter Partes Review (“IPR”) proceeding initiated by Bayer to review the patentability of three patents subject to the AAD-1 litigation. Inari is seeking to join the IPR proceeding. An oral hearing will occur before the PTAB in September 2024 with decisions expected by December 2024. Corteva holds numerous additional patents covering its Enlist® traits or Enlist® weed control system. Therefore, the IPR process is not expected to impact our ability to license and protect Enlist E3® traits. Corteva's AAD-1 lawsuit is stayed during pendency of the IPR.</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October 2023, the U.S. Patent and Trademark Office granted an ex parte reexamination of the patent for AAD-1 herbicide resistance technology used in Enlist® corn based upon Inari’s petition for review. Inari alleges the AAD-1 patent is not patentably distinct from another Corteva patent for maize technology, and therefore not valid unless Corteva files a terminal disclaimer giving up its patent term adjustment for the AAD-1 technology, which would result in the AAD-1 patent expiring in May 2025.</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August 2022, Bayer filed breach of contract/declaratory judgment lawsuit in Delaware state court against Corteva relating to an agrobacterium cross-license agreement and E3® soybeans. Bayer alleges that Corteva practiced two Bayer patents in developing E3® soybeans, and therefore, is entitled to royalties pursuant to the terms of the cross-license agreement. Further information with respect to these proceedings is set forth under “Bayer Dispute” in Note 13 - Commitments and Contingent Liabilities, to the interim Consolidated Financial Statements.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October 2022, Corteva filed a lawsuit against Bayer in Delaware state court seeking a declaration that, under the terms of Corteva’s licensing agreement and the law, Bayer is not entitled to collect patent royalties on the Roundup Ready® Corn 2 trait after Bayer’s U.S. patent protection expires. In September 2024, the court granted Bayer’s motion for summary judgement, while denying Corteva's summary judgment motion. Corteva filed notice of its appeal in October 2024 and expects a decision on its appeal around mid-2025.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 to legacy EIDP businesses unrelated to Corteva’s current businesses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discussed below and in Note 13 - Commitments and Contingent Liabilities, to the interim Consolidated Financial Statements, certain of the environmental proceedings and litigation allocated to Corteva as part of the Separation from DuPont relate to the legacy EIDP businesses, including their use of PFOA, which, for purposes of this report,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 This litigation includes multiple natural resource damage lawsuits across the United States filed by municipalities and alleging PFOA contamination, as well as, lawsuits by four municipalities in the Netherlands filed complaints alleging contamination of land and groundwater resulting from the emission of PFOA and GenX by Corteva, DuPont and Chemours.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matters set forth in Note 13 - Commitments and Contingent Liabilities, to the interim Consolidated Financial Statements, on March 25, 2019, the New Jersey Department of Environmental Protection (“NJDEP”) issued a Statewide PFAS Directive to several companies, including Chemours, DuPont, and EIDP. The Directive seeks information relating to the use and environmental release of PFAS and PFAS-replacement chemicals at and from two former EIDP sites in New Jersey, Chambers Works and Parlin, and a funding source for costs related to the NJDEP’s investigation of PFAS issues and PFAS testing and remediation.</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22, 2021, Chemours, DuPont, Corteva and EIDP entered into a binding memorandum of understanding containing a settlement to resolve legal disputes related to Chemours' responsibility for litigation and environmental liabilities allocated to it, and to establish a cost sharing arrangement and escrow account to be used to support and manage potential future legacy PFAS liabilities arising out of pre-July 1, 2015 conduct (the “MOU”). See Note 13 - Commitments and Contingent Liabilities, to the interim Consolidated Financial Statements, for further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Environmental Proceedings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it is remote that the following matters will have a material impact on its financial position, liquidity or results of operations. The matters below involve the potential for $1 million or more in monetary fines and are included per Item 103(3)(c)(iii) of Regulation S-K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to Corteva's current businesses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Nebraska Department of Environment and Energy, AltEn Facility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EPA and the Nebraska Department of Environment and Energy (“NDEE”) are pursuing investigations, response and removal actions, litigation and enforcement action related to an ethanol plant located near Mead, Nebraska and owned and operated by AltEn LLC (“AltEn”). Corteva is one of six seed companies, who were customers of AltEn (collectively, the "Facility Response Group"), participating in the NDEE’s Voluntary Cleanup Program to address certain interim remediation needs at the site. Further information with respect to these proceedings is set forth under “Nebraska Department of Environment and Energy, AltEn Facility” in Note 13 - Commitments and Contingent Liabilities, to the interim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Toxic Substances Control, Pittsburg Plant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California Department of Toxic Substances Control (“DTSC”) has filed a state court lawsuit over challenging whether the Pittsburg plant’s high purity water system (“HPWS”), as operated by Dow and now Corteva, required a permit pursuant to the Federal Resource Conservation and Recovery Act (“RCRA”). Further information with respect to these proceedings is set forth under “California Department of Toxic Substances Control, Pittsburg Plant” in Note 13 - Commitments and Contingent Liabilities, to the interim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to legacy EIDP businesses unrelated to Corteva’s current businesses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Divested Neoprene Facility, La Place, Louisiana - EPA Compliance Inspection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2016, the EPA conducted a focused compliance investigation at the Denka Performance Elastomer LLC (“Denka”) neoprene manufacturing facility in La Place, Louisiana. EIDP sold the neoprene business, including this manufacturing facility, to Denka in the fourth quarter of 2015. In the spring of 2017, the EPA, the DOJ, the Louisiana Department of Environmental Quality, EIDP and Denka began discussions relating to the inspection conclusions and allegations of noncompliance arising under the Clean Air Act, including leak detection and repair. These discussions, which include potential settlement options, continue. Under the Separation Agreement, DuPont is defending and indemnifying the company in this matter.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Directive Pompton Lakes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27, 2019, the NJDEP issued to Chemours and EIDP a Natural Resource Damages Directive relating to chemical contamination (non-PFAS) at and around EIDP’s former Pompton Lakes facility in New Jersey. The Directive alleges that this contamination has harmed the natural resources of New Jersey. It seeks $125,000 as reimbursement for the cost of preparing a natural resource damages assessment, which the State will use to determine the extent of such damage and the amount it expects to seek to restore the affected natural resources to their pre-damage state.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discussed in Part I, Item 1A, Risk Factors, in the company's most recently filed annual report on Form 10-K.</w:t>
      </w:r>
    </w:p>
    <w:p>
      <w:pPr>
        <w:spacing w:after="0" w:line="186" w:lineRule="exact"/>
        <w:rPr>
          <w:sz w:val="20"/>
          <w:szCs w:val="20"/>
          <w:color w:val="auto"/>
        </w:rPr>
      </w:pPr>
    </w:p>
    <w:p>
      <w:pPr>
        <w:ind w:right="4280"/>
        <w:spacing w:after="0" w:line="285"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the company's purchase of its common stock during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55245</wp:posOffset>
            </wp:positionV>
            <wp:extent cx="7115810" cy="1016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810" cy="10166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228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840" w:type="dxa"/>
            <w:vAlign w:val="bottom"/>
          </w:tcPr>
          <w:p>
            <w:pPr>
              <w:jc w:val="center"/>
              <w:ind w:left="79"/>
              <w:spacing w:after="0" w:line="161" w:lineRule="exact"/>
              <w:rPr>
                <w:sz w:val="20"/>
                <w:szCs w:val="20"/>
                <w:color w:val="auto"/>
              </w:rPr>
            </w:pPr>
            <w:r>
              <w:rPr>
                <w:rFonts w:ascii="Times New Roman" w:cs="Times New Roman" w:eastAsia="Times New Roman" w:hAnsi="Times New Roman"/>
                <w:sz w:val="16"/>
                <w:szCs w:val="16"/>
                <w:b w:val="1"/>
                <w:bCs w:val="1"/>
                <w:color w:val="auto"/>
              </w:rPr>
              <w:t>Shares Purchased as Part of the</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Month</w:t>
            </w:r>
          </w:p>
        </w:tc>
        <w:tc>
          <w:tcPr>
            <w:tcW w:w="22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840" w:type="dxa"/>
            <w:vAlign w:val="bottom"/>
          </w:tcPr>
          <w:p>
            <w:pPr>
              <w:jc w:val="center"/>
              <w:ind w:left="99"/>
              <w:spacing w:after="0" w:line="161" w:lineRule="exact"/>
              <w:rPr>
                <w:sz w:val="20"/>
                <w:szCs w:val="20"/>
                <w:color w:val="auto"/>
              </w:rPr>
            </w:pPr>
            <w:r>
              <w:rPr>
                <w:rFonts w:ascii="Times New Roman" w:cs="Times New Roman" w:eastAsia="Times New Roman" w:hAnsi="Times New Roman"/>
                <w:sz w:val="16"/>
                <w:szCs w:val="16"/>
                <w:b w:val="1"/>
                <w:bCs w:val="1"/>
                <w:color w:val="auto"/>
              </w:rPr>
              <w:t>Company's Publicly Announced Share</w:t>
            </w:r>
          </w:p>
        </w:tc>
        <w:tc>
          <w:tcPr>
            <w:tcW w:w="0" w:type="dxa"/>
            <w:vAlign w:val="bottom"/>
          </w:tcPr>
          <w:p>
            <w:pPr>
              <w:spacing w:after="0"/>
              <w:rPr>
                <w:sz w:val="1"/>
                <w:szCs w:val="1"/>
                <w:color w:val="auto"/>
              </w:rPr>
            </w:pPr>
          </w:p>
        </w:tc>
      </w:tr>
      <w:tr>
        <w:trPr>
          <w:trHeight w:val="213"/>
        </w:trPr>
        <w:tc>
          <w:tcPr>
            <w:tcW w:w="980" w:type="dxa"/>
            <w:vAlign w:val="bottom"/>
            <w:vMerge w:val="continue"/>
          </w:tcPr>
          <w:p>
            <w:pPr>
              <w:spacing w:after="0"/>
              <w:rPr>
                <w:sz w:val="18"/>
                <w:szCs w:val="18"/>
                <w:color w:val="auto"/>
              </w:rPr>
            </w:pPr>
          </w:p>
        </w:tc>
        <w:tc>
          <w:tcPr>
            <w:tcW w:w="22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840" w:type="dxa"/>
            <w:vAlign w:val="bottom"/>
          </w:tcPr>
          <w:p>
            <w:pPr>
              <w:jc w:val="center"/>
              <w:ind w:left="79"/>
              <w:spacing w:after="0" w:line="213" w:lineRule="exact"/>
              <w:rPr>
                <w:sz w:val="20"/>
                <w:szCs w:val="20"/>
                <w:color w:val="auto"/>
              </w:rPr>
            </w:pPr>
            <w:r>
              <w:rPr>
                <w:rFonts w:ascii="Times New Roman" w:cs="Times New Roman" w:eastAsia="Times New Roman" w:hAnsi="Times New Roman"/>
                <w:sz w:val="16"/>
                <w:szCs w:val="16"/>
                <w:b w:val="1"/>
                <w:bCs w:val="1"/>
                <w:color w:val="auto"/>
                <w:w w:val="99"/>
              </w:rPr>
              <w:t>Buyback Program</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300"/>
        <w:spacing w:after="0" w:line="201" w:lineRule="auto"/>
        <w:rPr>
          <w:sz w:val="20"/>
          <w:szCs w:val="20"/>
          <w:color w:val="auto"/>
        </w:rPr>
      </w:pPr>
      <w:r>
        <w:rPr>
          <w:rFonts w:ascii="Times New Roman" w:cs="Times New Roman" w:eastAsia="Times New Roman" w:hAnsi="Times New Roman"/>
          <w:sz w:val="16"/>
          <w:szCs w:val="16"/>
          <w:b w:val="1"/>
          <w:bCs w:val="1"/>
          <w:color w:val="auto"/>
        </w:rPr>
        <w:t>Approximate Value of Shares that May Yet Be Purchased Under the Program</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4"/>
          <w:szCs w:val="14"/>
          <w:b w:val="1"/>
          <w:bCs w:val="1"/>
          <w:i w:val="1"/>
          <w:iCs w:val="1"/>
          <w:color w:val="auto"/>
        </w:rPr>
        <w:t>(Dollars in</w:t>
      </w:r>
    </w:p>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millions)</w:t>
      </w:r>
    </w:p>
    <w:p>
      <w:pPr>
        <w:spacing w:after="0" w:line="52" w:lineRule="exact"/>
        <w:rPr>
          <w:sz w:val="20"/>
          <w:szCs w:val="20"/>
          <w:color w:val="auto"/>
        </w:rPr>
      </w:pPr>
    </w:p>
    <w:p>
      <w:pPr>
        <w:sectPr>
          <w:pgSz w:w="11900" w:h="16838" w:orient="portrait"/>
          <w:cols w:equalWidth="0" w:num="2">
            <w:col w:w="8380" w:space="420"/>
            <w:col w:w="244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1,929,167</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53.58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1,929,167</w:t>
            </w:r>
          </w:p>
        </w:tc>
        <w:tc>
          <w:tcPr>
            <w:tcW w:w="1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9"/>
                <w:szCs w:val="19"/>
                <w:color w:val="auto"/>
              </w:rPr>
            </w:pPr>
          </w:p>
        </w:tc>
      </w:tr>
      <w:tr>
        <w:trPr>
          <w:trHeight w:val="229"/>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2,792,563</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52.51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2,792,563</w:t>
            </w:r>
          </w:p>
        </w:tc>
        <w:tc>
          <w:tcPr>
            <w:tcW w:w="1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Borders>
              <w:bottom w:val="single" w:sz="8" w:color="auto"/>
            </w:tcBorders>
          </w:tcPr>
          <w:p>
            <w:pPr>
              <w:spacing w:after="0"/>
              <w:rPr>
                <w:sz w:val="19"/>
                <w:szCs w:val="19"/>
                <w:color w:val="auto"/>
              </w:rPr>
            </w:pPr>
          </w:p>
        </w:tc>
      </w:tr>
      <w:tr>
        <w:trPr>
          <w:trHeight w:val="23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4,721,730</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52.95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4,721,730</w:t>
            </w:r>
          </w:p>
        </w:tc>
        <w:tc>
          <w:tcPr>
            <w:tcW w:w="1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0"/>
                <w:szCs w:val="20"/>
                <w:color w:val="auto"/>
              </w:rPr>
            </w:pPr>
          </w:p>
        </w:tc>
      </w:tr>
    </w:tbl>
    <w:p>
      <w:pPr>
        <w:spacing w:after="0" w:line="71" w:lineRule="exact"/>
        <w:rPr>
          <w:sz w:val="20"/>
          <w:szCs w:val="20"/>
          <w:color w:val="auto"/>
        </w:rPr>
      </w:pPr>
    </w:p>
    <w:p>
      <w:pPr>
        <w:ind w:left="160" w:hanging="152"/>
        <w:spacing w:after="0" w:line="297" w:lineRule="auto"/>
        <w:tabs>
          <w:tab w:leader="none" w:pos="188"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September 13, 2022, Corteva, Inc. announced that its Board of Directors authorized a $2 billion share repurchase program to purchase Corteva, Inc.'s common stock, par value $0.01 per share, without an expiration date. The timing, price and volume of purchases will be based on market conditions, relevant securities laws and other factors.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720" w:type="dxa"/>
            <w:vAlign w:val="bottom"/>
            <w:vMerge w:val="restart"/>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1080" w:type="dxa"/>
            <w:vAlign w:val="bottom"/>
            <w:tcBorders>
              <w:top w:val="single" w:sz="8" w:color="auto"/>
            </w:tcBorders>
          </w:tcPr>
          <w:p>
            <w:pPr>
              <w:jc w:val="cente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2.1</w:t>
              </w:r>
            </w:hyperlink>
          </w:p>
        </w:tc>
        <w:tc>
          <w:tcPr>
            <w:tcW w:w="440" w:type="dxa"/>
            <w:vAlign w:val="bottom"/>
          </w:tcPr>
          <w:p>
            <w:pPr>
              <w:spacing w:after="0"/>
              <w:rPr>
                <w:sz w:val="24"/>
                <w:szCs w:val="24"/>
                <w:color w:val="auto"/>
              </w:rPr>
            </w:pPr>
          </w:p>
        </w:tc>
        <w:tc>
          <w:tcPr>
            <w:tcW w:w="9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Separation and Distribution Agreement by and among DowDuPont Inc., Dow Inc. and Corteva, Inc. (incorporated by reference to</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Exhibit No. 2.1 to Amendment 3 to Corteva’s Registration Statement on Form 10 (Commission file number 001-38710), filed on April</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 2019).</w:t>
            </w:r>
          </w:p>
        </w:tc>
        <w:tc>
          <w:tcPr>
            <w:tcW w:w="0" w:type="dxa"/>
            <w:vAlign w:val="bottom"/>
          </w:tcPr>
          <w:p>
            <w:pPr>
              <w:spacing w:after="0"/>
              <w:rPr>
                <w:sz w:val="1"/>
                <w:szCs w:val="1"/>
                <w:color w:val="auto"/>
              </w:rPr>
            </w:pPr>
          </w:p>
        </w:tc>
      </w:tr>
      <w:tr>
        <w:trPr>
          <w:trHeight w:val="403"/>
        </w:trPr>
        <w:tc>
          <w:tcPr>
            <w:tcW w:w="1080" w:type="dxa"/>
            <w:vAlign w:val="bottom"/>
          </w:tcPr>
          <w:p>
            <w:pPr>
              <w:jc w:val="cente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3.1</w:t>
              </w:r>
            </w:hyperlink>
          </w:p>
        </w:tc>
        <w:tc>
          <w:tcPr>
            <w:tcW w:w="44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Corteva, Inc. (incorporated by reference to Exhibit No. 3.1 to Corteva’s Current</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8-K (Commission file number 001-38710), filed on May 2, 2024).</w:t>
            </w:r>
          </w:p>
        </w:tc>
        <w:tc>
          <w:tcPr>
            <w:tcW w:w="0" w:type="dxa"/>
            <w:vAlign w:val="bottom"/>
          </w:tcPr>
          <w:p>
            <w:pPr>
              <w:spacing w:after="0"/>
              <w:rPr>
                <w:sz w:val="1"/>
                <w:szCs w:val="1"/>
                <w:color w:val="auto"/>
              </w:rPr>
            </w:pPr>
          </w:p>
        </w:tc>
      </w:tr>
      <w:tr>
        <w:trPr>
          <w:trHeight w:val="412"/>
        </w:trPr>
        <w:tc>
          <w:tcPr>
            <w:tcW w:w="1080" w:type="dxa"/>
            <w:vAlign w:val="bottom"/>
          </w:tcPr>
          <w:p>
            <w:pPr>
              <w:jc w:val="cente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3.2</w:t>
              </w:r>
            </w:hyperlink>
          </w:p>
        </w:tc>
        <w:tc>
          <w:tcPr>
            <w:tcW w:w="44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Corteva, Inc. (incorporated by reference to Exhibit No. 3.1 to Corteva’s Current Report on Form 8-</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(Commission file number 001-38710), filed on October 10, 2019).</w:t>
            </w:r>
          </w:p>
        </w:tc>
        <w:tc>
          <w:tcPr>
            <w:tcW w:w="0" w:type="dxa"/>
            <w:vAlign w:val="bottom"/>
          </w:tcPr>
          <w:p>
            <w:pPr>
              <w:spacing w:after="0"/>
              <w:rPr>
                <w:sz w:val="1"/>
                <w:szCs w:val="1"/>
                <w:color w:val="auto"/>
              </w:rPr>
            </w:pPr>
          </w:p>
        </w:tc>
      </w:tr>
      <w:tr>
        <w:trPr>
          <w:trHeight w:val="412"/>
        </w:trPr>
        <w:tc>
          <w:tcPr>
            <w:tcW w:w="1080" w:type="dxa"/>
            <w:vAlign w:val="bottom"/>
          </w:tcPr>
          <w:p>
            <w:pPr>
              <w:jc w:val="cente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3.3</w:t>
              </w:r>
            </w:hyperlink>
          </w:p>
        </w:tc>
        <w:tc>
          <w:tcPr>
            <w:tcW w:w="44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 EIDP, Inc. (incorporated by reference to Exhibit No. 3.3 to Corteva’s and</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EIDP’s Quarterly Report on Form 10-Q (Commission file numbers 001-38710 and 001-00815), filed on May 4, 2023).</w:t>
            </w:r>
          </w:p>
        </w:tc>
        <w:tc>
          <w:tcPr>
            <w:tcW w:w="0" w:type="dxa"/>
            <w:vAlign w:val="bottom"/>
          </w:tcPr>
          <w:p>
            <w:pPr>
              <w:spacing w:after="0"/>
              <w:rPr>
                <w:sz w:val="1"/>
                <w:szCs w:val="1"/>
                <w:color w:val="auto"/>
              </w:rPr>
            </w:pPr>
          </w:p>
        </w:tc>
      </w:tr>
      <w:tr>
        <w:trPr>
          <w:trHeight w:val="237"/>
        </w:trPr>
        <w:tc>
          <w:tcPr>
            <w:tcW w:w="1080" w:type="dxa"/>
            <w:vAlign w:val="bottom"/>
          </w:tcPr>
          <w:p>
            <w:pPr>
              <w:jc w:val="cente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3.4</w:t>
              </w:r>
            </w:hyperlink>
          </w:p>
        </w:tc>
        <w:tc>
          <w:tcPr>
            <w:tcW w:w="440" w:type="dxa"/>
            <w:vAlign w:val="bottom"/>
          </w:tcPr>
          <w:p>
            <w:pPr>
              <w:spacing w:after="0"/>
              <w:rPr>
                <w:sz w:val="20"/>
                <w:szCs w:val="20"/>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EIDP, Inc. (incorporated by reference to Exhibit 3.2 to EIDP's Current Report on Form 8-K</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file number 001-00815) dated September 1, 2017).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540" w:right="20" w:hanging="1046"/>
        <w:spacing w:after="0" w:line="236"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Corteva agrees to provide the Commission, on request, copies of instruments defining the rights of holders of long-term debt of Corteva and its subsidiaries.</w:t>
      </w:r>
    </w:p>
    <w:p>
      <w:pPr>
        <w:spacing w:after="0" w:line="6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0000FF"/>
              </w:rPr>
              <w:t>31.1</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Rule 13a-14(a)/15d-14(a) Certification of the company’s and EIDP’s Principal Executive Officer.</w:t>
            </w:r>
          </w:p>
        </w:tc>
      </w:tr>
      <w:tr>
        <w:trPr>
          <w:trHeight w:val="45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0000FF"/>
              </w:rPr>
              <w:t>31.2</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Rule 13a-14(a)/15d-14(a) Certification of the company’s and EIDP’s Principal Financial Officer.</w:t>
            </w:r>
          </w:p>
        </w:tc>
      </w:tr>
      <w:tr>
        <w:trPr>
          <w:trHeight w:val="40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0000FF"/>
              </w:rPr>
              <w:t>32.1</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1350 Certification of the company’s and EIDP’s Principal Executive Officer. The information contained in this Exhibit shall</w:t>
            </w:r>
          </w:p>
        </w:tc>
      </w:tr>
      <w:tr>
        <w:trPr>
          <w:trHeight w:val="183"/>
        </w:trPr>
        <w:tc>
          <w:tcPr>
            <w:tcW w:w="1020" w:type="dxa"/>
            <w:vAlign w:val="bottom"/>
          </w:tcPr>
          <w:p>
            <w:pPr>
              <w:spacing w:after="0"/>
              <w:rPr>
                <w:sz w:val="15"/>
                <w:szCs w:val="15"/>
                <w:color w:val="auto"/>
              </w:rPr>
            </w:pPr>
          </w:p>
        </w:tc>
        <w:tc>
          <w:tcPr>
            <w:tcW w:w="10000" w:type="dxa"/>
            <w:vAlign w:val="bottom"/>
          </w:tcPr>
          <w:p>
            <w:pPr>
              <w:ind w:left="320"/>
              <w:spacing w:after="0" w:line="183" w:lineRule="exact"/>
              <w:rPr>
                <w:sz w:val="20"/>
                <w:szCs w:val="20"/>
                <w:color w:val="auto"/>
              </w:rPr>
            </w:pPr>
            <w:r>
              <w:rPr>
                <w:rFonts w:ascii="Times New Roman" w:cs="Times New Roman" w:eastAsia="Times New Roman" w:hAnsi="Times New Roman"/>
                <w:sz w:val="18"/>
                <w:szCs w:val="18"/>
                <w:color w:val="auto"/>
                <w:w w:val="99"/>
              </w:rPr>
              <w:t>not be deemed filed with the Securities and Exchange Commission nor incorporated by reference in any registration statement filed by</w:t>
            </w:r>
          </w:p>
        </w:tc>
      </w:tr>
      <w:tr>
        <w:trPr>
          <w:trHeight w:val="234"/>
        </w:trPr>
        <w:tc>
          <w:tcPr>
            <w:tcW w:w="102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registrant under the Securities Act of 1933, as amended.</w:t>
            </w:r>
          </w:p>
        </w:tc>
      </w:tr>
      <w:tr>
        <w:trPr>
          <w:trHeight w:val="40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0000FF"/>
              </w:rPr>
              <w:t>32.2</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1350 Certification of the company’s and EIDP’s Principal Financial Officer. The information contained in this Exhibit shall</w:t>
            </w:r>
          </w:p>
        </w:tc>
      </w:tr>
      <w:tr>
        <w:trPr>
          <w:trHeight w:val="183"/>
        </w:trPr>
        <w:tc>
          <w:tcPr>
            <w:tcW w:w="1020" w:type="dxa"/>
            <w:vAlign w:val="bottom"/>
          </w:tcPr>
          <w:p>
            <w:pPr>
              <w:spacing w:after="0"/>
              <w:rPr>
                <w:sz w:val="15"/>
                <w:szCs w:val="15"/>
                <w:color w:val="auto"/>
              </w:rPr>
            </w:pPr>
          </w:p>
        </w:tc>
        <w:tc>
          <w:tcPr>
            <w:tcW w:w="10000" w:type="dxa"/>
            <w:vAlign w:val="bottom"/>
          </w:tcPr>
          <w:p>
            <w:pPr>
              <w:ind w:left="320"/>
              <w:spacing w:after="0" w:line="183" w:lineRule="exact"/>
              <w:rPr>
                <w:sz w:val="20"/>
                <w:szCs w:val="20"/>
                <w:color w:val="auto"/>
              </w:rPr>
            </w:pPr>
            <w:r>
              <w:rPr>
                <w:rFonts w:ascii="Times New Roman" w:cs="Times New Roman" w:eastAsia="Times New Roman" w:hAnsi="Times New Roman"/>
                <w:sz w:val="18"/>
                <w:szCs w:val="18"/>
                <w:color w:val="auto"/>
                <w:w w:val="99"/>
              </w:rPr>
              <w:t>not be deemed filed with the Securities and Exchange Commission nor incorporated by reference in any registration statement filed by</w:t>
            </w:r>
          </w:p>
        </w:tc>
      </w:tr>
      <w:tr>
        <w:trPr>
          <w:trHeight w:val="234"/>
        </w:trPr>
        <w:tc>
          <w:tcPr>
            <w:tcW w:w="102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registrant under the Securities Act of 1933, as amended.</w:t>
            </w:r>
          </w:p>
        </w:tc>
      </w:tr>
      <w:tr>
        <w:trPr>
          <w:trHeight w:val="229"/>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02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6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101.DEF</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101.PRE</w:t>
            </w:r>
          </w:p>
        </w:tc>
        <w:tc>
          <w:tcPr>
            <w:tcW w:w="10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540" w:right="40" w:hanging="1136"/>
        <w:spacing w:after="0" w:line="23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(included in Exhibit 101.INS)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2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52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Corteva, Inc.</w:t>
            </w:r>
          </w:p>
        </w:tc>
      </w:tr>
      <w:tr>
        <w:trPr>
          <w:trHeight w:val="234"/>
        </w:trPr>
        <w:tc>
          <w:tcPr>
            <w:tcW w:w="720" w:type="dxa"/>
            <w:vAlign w:val="bottom"/>
          </w:tcPr>
          <w:p>
            <w:pPr>
              <w:spacing w:after="0"/>
              <w:rPr>
                <w:sz w:val="20"/>
                <w:szCs w:val="20"/>
                <w:color w:val="auto"/>
              </w:rPr>
            </w:pPr>
          </w:p>
        </w:tc>
        <w:tc>
          <w:tcPr>
            <w:tcW w:w="52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6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Brian Titus</w:t>
            </w:r>
          </w:p>
        </w:tc>
      </w:tr>
      <w:tr>
        <w:trPr>
          <w:trHeight w:val="432"/>
        </w:trPr>
        <w:tc>
          <w:tcPr>
            <w:tcW w:w="7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Brian Titus</w:t>
            </w:r>
          </w:p>
        </w:tc>
      </w:tr>
      <w:tr>
        <w:trPr>
          <w:trHeight w:val="229"/>
        </w:trPr>
        <w:tc>
          <w:tcPr>
            <w:tcW w:w="72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r>
      <w:tr>
        <w:trPr>
          <w:trHeight w:val="234"/>
        </w:trPr>
        <w:tc>
          <w:tcPr>
            <w:tcW w:w="7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2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52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6"/>
              </w:rPr>
              <w:t>EIDP, Inc.</w:t>
            </w:r>
          </w:p>
        </w:tc>
      </w:tr>
      <w:tr>
        <w:trPr>
          <w:trHeight w:val="234"/>
        </w:trPr>
        <w:tc>
          <w:tcPr>
            <w:tcW w:w="720" w:type="dxa"/>
            <w:vAlign w:val="bottom"/>
          </w:tcPr>
          <w:p>
            <w:pPr>
              <w:spacing w:after="0"/>
              <w:rPr>
                <w:sz w:val="20"/>
                <w:szCs w:val="20"/>
                <w:color w:val="auto"/>
              </w:rPr>
            </w:pPr>
          </w:p>
        </w:tc>
        <w:tc>
          <w:tcPr>
            <w:tcW w:w="52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6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Brian Titus</w:t>
            </w:r>
          </w:p>
        </w:tc>
      </w:tr>
      <w:tr>
        <w:trPr>
          <w:trHeight w:val="432"/>
        </w:trPr>
        <w:tc>
          <w:tcPr>
            <w:tcW w:w="7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Brian Titus</w:t>
            </w:r>
          </w:p>
        </w:tc>
      </w:tr>
      <w:tr>
        <w:trPr>
          <w:trHeight w:val="229"/>
        </w:trPr>
        <w:tc>
          <w:tcPr>
            <w:tcW w:w="72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r>
      <w:tr>
        <w:trPr>
          <w:trHeight w:val="234"/>
        </w:trPr>
        <w:tc>
          <w:tcPr>
            <w:tcW w:w="7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20" w:type="dxa"/>
            <w:vAlign w:val="bottom"/>
          </w:tcPr>
          <w:p>
            <w:pPr>
              <w:spacing w:after="0"/>
              <w:rPr>
                <w:sz w:val="22"/>
                <w:szCs w:val="22"/>
                <w:color w:val="auto"/>
              </w:rPr>
            </w:pPr>
          </w:p>
        </w:tc>
        <w:tc>
          <w:tcPr>
            <w:tcW w:w="5260" w:type="dxa"/>
            <w:vAlign w:val="bottom"/>
            <w:tcBorders>
              <w:top w:val="single" w:sz="8" w:color="auto"/>
              <w:bottom w:val="single" w:sz="8" w:color="auto"/>
            </w:tcBorders>
          </w:tcPr>
          <w:p>
            <w:pPr>
              <w:spacing w:after="0"/>
              <w:rPr>
                <w:sz w:val="22"/>
                <w:szCs w:val="22"/>
                <w:color w:val="auto"/>
              </w:rPr>
            </w:pPr>
          </w:p>
        </w:tc>
        <w:tc>
          <w:tcPr>
            <w:tcW w:w="4600" w:type="dxa"/>
            <w:vAlign w:val="bottom"/>
            <w:tcBorders>
              <w:top w:val="single" w:sz="8" w:color="auto"/>
              <w:bottom w:val="single" w:sz="8" w:color="auto"/>
              <w:right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Page(s)</w:t>
            </w:r>
          </w:p>
        </w:tc>
        <w:tc>
          <w:tcPr>
            <w:tcW w:w="100" w:type="dxa"/>
            <w:vAlign w:val="bottom"/>
          </w:tcPr>
          <w:p>
            <w:pPr>
              <w:spacing w:after="0"/>
              <w:rPr>
                <w:sz w:val="22"/>
                <w:szCs w:val="22"/>
                <w:color w:val="auto"/>
              </w:rPr>
            </w:pPr>
          </w:p>
        </w:tc>
      </w:tr>
      <w:tr>
        <w:trPr>
          <w:trHeight w:val="224"/>
        </w:trPr>
        <w:tc>
          <w:tcPr>
            <w:tcW w:w="1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4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4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4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4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100" w:type="dxa"/>
            <w:vAlign w:val="bottom"/>
          </w:tcPr>
          <w:p>
            <w:pPr>
              <w:spacing w:after="0"/>
              <w:rPr>
                <w:sz w:val="19"/>
                <w:szCs w:val="19"/>
                <w:color w:val="auto"/>
              </w:rPr>
            </w:pPr>
          </w:p>
        </w:tc>
      </w:tr>
      <w:tr>
        <w:trPr>
          <w:trHeight w:val="240"/>
        </w:trPr>
        <w:tc>
          <w:tcPr>
            <w:tcW w:w="120" w:type="dxa"/>
            <w:vAlign w:val="bottom"/>
          </w:tcPr>
          <w:p>
            <w:pPr>
              <w:spacing w:after="0"/>
              <w:rPr>
                <w:sz w:val="20"/>
                <w:szCs w:val="20"/>
                <w:color w:val="auto"/>
              </w:rPr>
            </w:pPr>
          </w:p>
        </w:tc>
        <w:tc>
          <w:tcPr>
            <w:tcW w:w="5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0000FF"/>
              </w:rPr>
              <w:t>Notes to the Interim Consolidated Financial Statements (Unaudited)</w:t>
            </w:r>
          </w:p>
        </w:tc>
        <w:tc>
          <w:tcPr>
            <w:tcW w:w="46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100" w:type="dxa"/>
            <w:vAlign w:val="bottom"/>
          </w:tcPr>
          <w:p>
            <w:pPr>
              <w:spacing w:after="0"/>
              <w:rPr>
                <w:sz w:val="20"/>
                <w:szCs w:val="20"/>
                <w:color w:val="auto"/>
              </w:rPr>
            </w:pPr>
          </w:p>
        </w:tc>
      </w:tr>
      <w:tr>
        <w:trPr>
          <w:trHeight w:val="861"/>
        </w:trPr>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60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120" w:type="dxa"/>
            <w:vAlign w:val="bottom"/>
            <w:tcBorders>
              <w:bottom w:val="single" w:sz="8" w:color="9A9A9A"/>
            </w:tcBorders>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EIDP,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13,519</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7,554</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 after income taxes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EIDP,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w:t>
            </w:r>
          </w:p>
        </w:tc>
      </w:tr>
    </w:tbl>
    <w:p>
      <w:pPr>
        <w:spacing w:after="0" w:line="30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3"/>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68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68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Adjustments to pension benefit plans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80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other benefit plans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2"/>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r>
      <w:tr>
        <w:trPr>
          <w:trHeight w:val="222"/>
        </w:trPr>
        <w:tc>
          <w:tcPr>
            <w:tcW w:w="6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 net of tax</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EIDP,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r>
    </w:tbl>
    <w:p>
      <w:pPr>
        <w:spacing w:after="0" w:line="30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 amounts)</w:t>
            </w:r>
          </w:p>
        </w:tc>
        <w:tc>
          <w:tcPr>
            <w:tcW w:w="1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r>
      <w:tr>
        <w:trPr>
          <w:trHeight w:val="222"/>
        </w:trPr>
        <w:tc>
          <w:tcPr>
            <w:tcW w:w="5860" w:type="dxa"/>
            <w:vAlign w:val="bottom"/>
            <w:tcBorders>
              <w:right w:val="single" w:sz="8" w:color="auto"/>
            </w:tcBorders>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r>
      <w:tr>
        <w:trPr>
          <w:trHeight w:val="229"/>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229"/>
        </w:trPr>
        <w:tc>
          <w:tcPr>
            <w:tcW w:w="5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29"/>
        </w:trPr>
        <w:tc>
          <w:tcPr>
            <w:tcW w:w="5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 - net</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6,581</w:t>
            </w:r>
          </w:p>
        </w:tc>
      </w:tr>
      <w:tr>
        <w:trPr>
          <w:trHeight w:val="229"/>
        </w:trPr>
        <w:tc>
          <w:tcPr>
            <w:tcW w:w="5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6,320</w:t>
            </w:r>
          </w:p>
        </w:tc>
      </w:tr>
      <w:tr>
        <w:trPr>
          <w:trHeight w:val="229"/>
        </w:trPr>
        <w:tc>
          <w:tcPr>
            <w:tcW w:w="58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22"/>
        </w:trPr>
        <w:tc>
          <w:tcPr>
            <w:tcW w:w="58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16,333</w:t>
            </w:r>
          </w:p>
        </w:tc>
      </w:tr>
      <w:tr>
        <w:trPr>
          <w:trHeight w:val="222"/>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8,892</w:t>
            </w:r>
          </w:p>
        </w:tc>
      </w:tr>
      <w:tr>
        <w:trPr>
          <w:trHeight w:val="229"/>
        </w:trPr>
        <w:tc>
          <w:tcPr>
            <w:tcW w:w="5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4,572</w:t>
            </w:r>
          </w:p>
        </w:tc>
      </w:tr>
      <w:tr>
        <w:trPr>
          <w:trHeight w:val="222"/>
        </w:trPr>
        <w:tc>
          <w:tcPr>
            <w:tcW w:w="5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4,320</w:t>
            </w:r>
          </w:p>
        </w:tc>
      </w:tr>
      <w:tr>
        <w:trPr>
          <w:trHeight w:val="222"/>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10,441</w:t>
            </w:r>
          </w:p>
        </w:tc>
      </w:tr>
      <w:tr>
        <w:trPr>
          <w:trHeight w:val="229"/>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9,795</w:t>
            </w:r>
          </w:p>
        </w:tc>
      </w:tr>
      <w:tr>
        <w:trPr>
          <w:trHeight w:val="229"/>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5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1,778</w:t>
            </w:r>
          </w:p>
        </w:tc>
      </w:tr>
      <w:tr>
        <w:trPr>
          <w:trHeight w:val="222"/>
        </w:trPr>
        <w:tc>
          <w:tcPr>
            <w:tcW w:w="586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43,327</w:t>
            </w:r>
          </w:p>
        </w:tc>
      </w:tr>
      <w:tr>
        <w:trPr>
          <w:trHeight w:val="222"/>
        </w:trPr>
        <w:tc>
          <w:tcPr>
            <w:tcW w:w="586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229"/>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r>
      <w:tr>
        <w:trPr>
          <w:trHeight w:val="229"/>
        </w:trPr>
        <w:tc>
          <w:tcPr>
            <w:tcW w:w="5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3,609</w:t>
            </w:r>
          </w:p>
        </w:tc>
      </w:tr>
      <w:tr>
        <w:trPr>
          <w:trHeight w:val="229"/>
        </w:trPr>
        <w:tc>
          <w:tcPr>
            <w:tcW w:w="5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 related party</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5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3,678</w:t>
            </w:r>
          </w:p>
        </w:tc>
      </w:tr>
      <w:tr>
        <w:trPr>
          <w:trHeight w:val="229"/>
        </w:trPr>
        <w:tc>
          <w:tcPr>
            <w:tcW w:w="5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58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w:t>
            </w:r>
          </w:p>
        </w:tc>
      </w:tr>
      <w:tr>
        <w:trPr>
          <w:trHeight w:val="222"/>
        </w:trPr>
        <w:tc>
          <w:tcPr>
            <w:tcW w:w="58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10,474</w:t>
            </w:r>
          </w:p>
        </w:tc>
      </w:tr>
      <w:tr>
        <w:trPr>
          <w:trHeight w:val="222"/>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r>
      <w:tr>
        <w:trPr>
          <w:trHeight w:val="229"/>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229"/>
        </w:trPr>
        <w:tc>
          <w:tcPr>
            <w:tcW w:w="58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58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Pension and other post employment benefits - noncurrent</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r>
      <w:tr>
        <w:trPr>
          <w:trHeight w:val="229"/>
        </w:trPr>
        <w:tc>
          <w:tcPr>
            <w:tcW w:w="58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r>
      <w:tr>
        <w:trPr>
          <w:trHeight w:val="222"/>
        </w:trPr>
        <w:tc>
          <w:tcPr>
            <w:tcW w:w="58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7,295</w:t>
            </w:r>
          </w:p>
        </w:tc>
      </w:tr>
      <w:tr>
        <w:trPr>
          <w:trHeight w:val="222"/>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r>
      <w:tr>
        <w:trPr>
          <w:trHeight w:val="229"/>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175"/>
        </w:trPr>
        <w:tc>
          <w:tcPr>
            <w:tcW w:w="5860" w:type="dxa"/>
            <w:vAlign w:val="bottom"/>
            <w:tcBorders>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Preferred stock, without par value – cumulative; 23,000,000 shares authorized;</w:t>
            </w:r>
          </w:p>
        </w:tc>
        <w:tc>
          <w:tcPr>
            <w:tcW w:w="100" w:type="dxa"/>
            <w:vAlign w:val="bottom"/>
            <w:shd w:val="clear" w:color="auto" w:fill="CCEEFF"/>
          </w:tcPr>
          <w:p>
            <w:pPr>
              <w:spacing w:after="0"/>
              <w:rPr>
                <w:sz w:val="15"/>
                <w:szCs w:val="15"/>
                <w:color w:val="auto"/>
              </w:rPr>
            </w:pPr>
          </w:p>
        </w:tc>
        <w:tc>
          <w:tcPr>
            <w:tcW w:w="166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tcBorders>
              <w:right w:val="single" w:sz="8" w:color="auto"/>
            </w:tcBorders>
            <w:shd w:val="clear" w:color="auto" w:fill="CCEEFF"/>
          </w:tcPr>
          <w:p>
            <w:pPr>
              <w:spacing w:after="0"/>
              <w:rPr>
                <w:sz w:val="15"/>
                <w:szCs w:val="15"/>
                <w:color w:val="auto"/>
              </w:rPr>
            </w:pPr>
          </w:p>
        </w:tc>
      </w:tr>
      <w:tr>
        <w:trPr>
          <w:trHeight w:val="242"/>
        </w:trPr>
        <w:tc>
          <w:tcPr>
            <w:tcW w:w="58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at September 30, 2024, December 31, 2023, and September 30, 2023:</w:t>
            </w:r>
          </w:p>
        </w:tc>
        <w:tc>
          <w:tcPr>
            <w:tcW w:w="100" w:type="dxa"/>
            <w:vAlign w:val="bottom"/>
            <w:shd w:val="clear" w:color="auto" w:fill="CCEEFF"/>
          </w:tcPr>
          <w:p>
            <w:pPr>
              <w:spacing w:after="0"/>
              <w:rPr>
                <w:sz w:val="21"/>
                <w:szCs w:val="21"/>
                <w:color w:val="auto"/>
              </w:rPr>
            </w:pPr>
          </w:p>
        </w:tc>
        <w:tc>
          <w:tcPr>
            <w:tcW w:w="166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tcBorders>
              <w:right w:val="single" w:sz="8" w:color="auto"/>
            </w:tcBorders>
            <w:shd w:val="clear" w:color="auto" w:fill="CCEEFF"/>
          </w:tcPr>
          <w:p>
            <w:pPr>
              <w:spacing w:after="0"/>
              <w:rPr>
                <w:sz w:val="21"/>
                <w:szCs w:val="21"/>
                <w:color w:val="auto"/>
              </w:rPr>
            </w:pPr>
          </w:p>
        </w:tc>
      </w:tr>
      <w:tr>
        <w:trPr>
          <w:trHeight w:val="229"/>
        </w:trPr>
        <w:tc>
          <w:tcPr>
            <w:tcW w:w="58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$4.50 Series – 1,673,000 shares (callable at $120)</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586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$3.50 Series – 700,000 shares (callable at $102)</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175"/>
        </w:trPr>
        <w:tc>
          <w:tcPr>
            <w:tcW w:w="586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Common stock, $0.30 par value; 1,800,000,000 shares authorized; 200 issued at</w:t>
            </w:r>
          </w:p>
        </w:tc>
        <w:tc>
          <w:tcPr>
            <w:tcW w:w="100" w:type="dxa"/>
            <w:vAlign w:val="bottom"/>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r>
      <w:tr>
        <w:trPr>
          <w:trHeight w:val="242"/>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2024, December 31, 2023, and September 30, 2023</w:t>
            </w:r>
          </w:p>
        </w:tc>
        <w:tc>
          <w:tcPr>
            <w:tcW w:w="100" w:type="dxa"/>
            <w:vAlign w:val="bottom"/>
          </w:tcPr>
          <w:p>
            <w:pPr>
              <w:spacing w:after="0"/>
              <w:rPr>
                <w:sz w:val="21"/>
                <w:szCs w:val="21"/>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12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24,323</w:t>
            </w:r>
          </w:p>
        </w:tc>
      </w:tr>
      <w:tr>
        <w:trPr>
          <w:trHeight w:val="229"/>
        </w:trPr>
        <w:tc>
          <w:tcPr>
            <w:tcW w:w="5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0" w:type="dxa"/>
            <w:vAlign w:val="bottom"/>
          </w:tcPr>
          <w:p>
            <w:pPr>
              <w:spacing w:after="0"/>
              <w:rPr>
                <w:sz w:val="19"/>
                <w:szCs w:val="19"/>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6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r>
      <w:tr>
        <w:trPr>
          <w:trHeight w:val="229"/>
        </w:trPr>
        <w:tc>
          <w:tcPr>
            <w:tcW w:w="5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22"/>
        </w:trPr>
        <w:tc>
          <w:tcPr>
            <w:tcW w:w="58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EIDP, Inc. stockholders’ equity</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26,492</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25,658</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25,556</w:t>
            </w:r>
          </w:p>
        </w:tc>
      </w:tr>
      <w:tr>
        <w:trPr>
          <w:trHeight w:val="222"/>
        </w:trPr>
        <w:tc>
          <w:tcPr>
            <w:tcW w:w="58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58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25,558</w:t>
            </w:r>
          </w:p>
        </w:tc>
      </w:tr>
      <w:tr>
        <w:trPr>
          <w:trHeight w:val="229"/>
        </w:trPr>
        <w:tc>
          <w:tcPr>
            <w:tcW w:w="586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43,327</w:t>
            </w:r>
          </w:p>
        </w:tc>
      </w:tr>
    </w:tbl>
    <w:p>
      <w:pPr>
        <w:spacing w:after="0" w:line="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71.</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EIDP,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60" w:type="dxa"/>
            <w:vAlign w:val="bottom"/>
            <w:tcBorders>
              <w:top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4"/>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0"/>
        </w:trPr>
        <w:tc>
          <w:tcPr>
            <w:tcW w:w="87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right w:val="single" w:sz="8" w:color="auto"/>
            </w:tcBorders>
          </w:tcPr>
          <w:p>
            <w:pPr>
              <w:spacing w:after="0"/>
              <w:rPr>
                <w:sz w:val="20"/>
                <w:szCs w:val="20"/>
                <w:color w:val="auto"/>
              </w:rPr>
            </w:pPr>
          </w:p>
        </w:tc>
      </w:tr>
      <w:tr>
        <w:trPr>
          <w:trHeight w:val="224"/>
        </w:trPr>
        <w:tc>
          <w:tcPr>
            <w:tcW w:w="8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2"/>
        </w:trPr>
        <w:tc>
          <w:tcPr>
            <w:tcW w:w="8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r>
      <w:tr>
        <w:trPr>
          <w:trHeight w:val="229"/>
        </w:trPr>
        <w:tc>
          <w:tcPr>
            <w:tcW w:w="8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87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after income taxes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8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(used for) operating activities:</w:t>
            </w:r>
          </w:p>
        </w:tc>
        <w:tc>
          <w:tcPr>
            <w:tcW w:w="2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r>
      <w:tr>
        <w:trPr>
          <w:trHeight w:val="229"/>
        </w:trPr>
        <w:tc>
          <w:tcPr>
            <w:tcW w:w="876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87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Provision for (benefit from) deferred income tax</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876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periodic pension and OPEB (credits) costs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7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Pension and OPEB contributions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76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loss on sales of property, businesses, consolidated companies, and investments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7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76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 loss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87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2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r>
      <w:tr>
        <w:trPr>
          <w:trHeight w:val="229"/>
        </w:trPr>
        <w:tc>
          <w:tcPr>
            <w:tcW w:w="876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Accounts and notes receivable</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87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876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87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9"/>
        </w:trPr>
        <w:tc>
          <w:tcPr>
            <w:tcW w:w="876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2"/>
        </w:trPr>
        <w:tc>
          <w:tcPr>
            <w:tcW w:w="87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Cash provided by (used for) operating activities - continuing operations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22"/>
        </w:trPr>
        <w:tc>
          <w:tcPr>
            <w:tcW w:w="8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for) operating activities -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2"/>
        </w:trPr>
        <w:tc>
          <w:tcPr>
            <w:tcW w:w="87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22"/>
        </w:trPr>
        <w:tc>
          <w:tcPr>
            <w:tcW w:w="8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7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businesses, and consolidated companies - net of cash divested</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Acquisitions of businesses - net of cash acquired</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9"/>
        </w:trPr>
        <w:tc>
          <w:tcPr>
            <w:tcW w:w="87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and loans to nonconsolidated affiliates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7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Proceeds from settlement of net investment hedge</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7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87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2"/>
        </w:trPr>
        <w:tc>
          <w:tcPr>
            <w:tcW w:w="8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change in borrowings (less than 90 days)</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r>
      <w:tr>
        <w:trPr>
          <w:trHeight w:val="229"/>
        </w:trPr>
        <w:tc>
          <w:tcPr>
            <w:tcW w:w="87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related party debt</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87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8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 on debt</w:t>
            </w:r>
          </w:p>
        </w:tc>
        <w:tc>
          <w:tcPr>
            <w:tcW w:w="2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87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2"/>
        </w:trPr>
        <w:tc>
          <w:tcPr>
            <w:tcW w:w="87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3,614</w:t>
            </w:r>
          </w:p>
        </w:tc>
      </w:tr>
      <w:tr>
        <w:trPr>
          <w:trHeight w:val="222"/>
        </w:trPr>
        <w:tc>
          <w:tcPr>
            <w:tcW w:w="8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equivalents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2"/>
        </w:trPr>
        <w:tc>
          <w:tcPr>
            <w:tcW w:w="87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2"/>
        </w:trPr>
        <w:tc>
          <w:tcPr>
            <w:tcW w:w="8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beginning of period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3,618</w:t>
            </w:r>
          </w:p>
        </w:tc>
      </w:tr>
      <w:tr>
        <w:trPr>
          <w:trHeight w:val="229"/>
        </w:trPr>
        <w:tc>
          <w:tcPr>
            <w:tcW w:w="8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2,776</w:t>
            </w:r>
          </w:p>
        </w:tc>
      </w:tr>
    </w:tbl>
    <w:p>
      <w:pPr>
        <w:spacing w:after="0" w:line="30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See Notes to the Interim Consolidated Financial Statements beginning on page 71.</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EIDP,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Equity (Unaudited)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12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w w:val="99"/>
              </w:rPr>
              <w:t>Additional</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jc w:val="center"/>
              <w:ind w:right="110"/>
              <w:spacing w:after="0" w:line="189" w:lineRule="exact"/>
              <w:rPr>
                <w:sz w:val="20"/>
                <w:szCs w:val="20"/>
                <w:color w:val="auto"/>
              </w:rPr>
            </w:pPr>
            <w:r>
              <w:rPr>
                <w:rFonts w:ascii="Times New Roman" w:cs="Times New Roman" w:eastAsia="Times New Roman" w:hAnsi="Times New Roman"/>
                <w:sz w:val="18"/>
                <w:szCs w:val="18"/>
                <w:i w:val="1"/>
                <w:iCs w:val="1"/>
                <w:color w:val="auto"/>
                <w:w w:val="96"/>
              </w:rPr>
              <w:t>Retained</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Accum. Other</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Non-</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w w:val="99"/>
              </w:rPr>
              <w:t>Preferred</w:t>
            </w:r>
          </w:p>
        </w:tc>
        <w:tc>
          <w:tcPr>
            <w:tcW w:w="140" w:type="dxa"/>
            <w:vAlign w:val="bottom"/>
          </w:tcPr>
          <w:p>
            <w:pPr>
              <w:spacing w:after="0"/>
              <w:rPr>
                <w:sz w:val="15"/>
                <w:szCs w:val="15"/>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Common</w:t>
            </w:r>
          </w:p>
        </w:tc>
        <w:tc>
          <w:tcPr>
            <w:tcW w:w="140" w:type="dxa"/>
            <w:vAlign w:val="bottom"/>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tcPr>
          <w:p>
            <w:pPr>
              <w:jc w:val="center"/>
              <w:ind w:right="110"/>
              <w:spacing w:after="0" w:line="175" w:lineRule="exact"/>
              <w:rPr>
                <w:sz w:val="20"/>
                <w:szCs w:val="20"/>
                <w:color w:val="auto"/>
              </w:rPr>
            </w:pPr>
            <w:r>
              <w:rPr>
                <w:rFonts w:ascii="Times New Roman" w:cs="Times New Roman" w:eastAsia="Times New Roman" w:hAnsi="Times New Roman"/>
                <w:sz w:val="18"/>
                <w:szCs w:val="18"/>
                <w:i w:val="1"/>
                <w:iCs w:val="1"/>
                <w:color w:val="auto"/>
                <w:w w:val="99"/>
              </w:rPr>
              <w:t>Earnings</w:t>
            </w:r>
          </w:p>
        </w:tc>
        <w:tc>
          <w:tcPr>
            <w:tcW w:w="80" w:type="dxa"/>
            <w:vAlign w:val="bottom"/>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right"/>
              <w:ind w:right="210"/>
              <w:spacing w:after="0" w:line="175" w:lineRule="exact"/>
              <w:rPr>
                <w:sz w:val="20"/>
                <w:szCs w:val="20"/>
                <w:color w:val="auto"/>
              </w:rPr>
            </w:pPr>
            <w:r>
              <w:rPr>
                <w:rFonts w:ascii="Times New Roman" w:cs="Times New Roman" w:eastAsia="Times New Roman" w:hAnsi="Times New Roman"/>
                <w:sz w:val="18"/>
                <w:szCs w:val="18"/>
                <w:i w:val="1"/>
                <w:iCs w:val="1"/>
                <w:color w:val="auto"/>
              </w:rPr>
              <w:t>Paid-in</w:t>
            </w:r>
          </w:p>
        </w:tc>
        <w:tc>
          <w:tcPr>
            <w:tcW w:w="160" w:type="dxa"/>
            <w:vAlign w:val="bottom"/>
          </w:tcPr>
          <w:p>
            <w:pPr>
              <w:spacing w:after="0"/>
              <w:rPr>
                <w:sz w:val="15"/>
                <w:szCs w:val="15"/>
                <w:color w:val="auto"/>
              </w:rPr>
            </w:pPr>
          </w:p>
        </w:tc>
        <w:tc>
          <w:tcPr>
            <w:tcW w:w="980" w:type="dxa"/>
            <w:vAlign w:val="bottom"/>
            <w:tcBorders>
              <w:right w:val="single" w:sz="8" w:color="auto"/>
            </w:tcBorders>
          </w:tcPr>
          <w:p>
            <w:pPr>
              <w:jc w:val="center"/>
              <w:ind w:right="110"/>
              <w:spacing w:after="0" w:line="175" w:lineRule="exact"/>
              <w:rPr>
                <w:sz w:val="20"/>
                <w:szCs w:val="20"/>
                <w:color w:val="auto"/>
              </w:rPr>
            </w:pPr>
            <w:r>
              <w:rPr>
                <w:rFonts w:ascii="Times New Roman" w:cs="Times New Roman" w:eastAsia="Times New Roman" w:hAnsi="Times New Roman"/>
                <w:sz w:val="18"/>
                <w:szCs w:val="18"/>
                <w:i w:val="1"/>
                <w:iCs w:val="1"/>
                <w:color w:val="auto"/>
                <w:w w:val="97"/>
              </w:rPr>
              <w:t>(Accum.</w:t>
            </w:r>
          </w:p>
        </w:tc>
        <w:tc>
          <w:tcPr>
            <w:tcW w:w="80" w:type="dxa"/>
            <w:vAlign w:val="bottom"/>
          </w:tcPr>
          <w:p>
            <w:pPr>
              <w:spacing w:after="0"/>
              <w:rPr>
                <w:sz w:val="15"/>
                <w:szCs w:val="15"/>
                <w:color w:val="auto"/>
              </w:rPr>
            </w:pPr>
          </w:p>
        </w:tc>
        <w:tc>
          <w:tcPr>
            <w:tcW w:w="1200" w:type="dxa"/>
            <w:vAlign w:val="bottom"/>
            <w:tcBorders>
              <w:right w:val="single" w:sz="8" w:color="auto"/>
            </w:tcBorders>
          </w:tcPr>
          <w:p>
            <w:pPr>
              <w:jc w:val="center"/>
              <w:ind w:right="30"/>
              <w:spacing w:after="0" w:line="175" w:lineRule="exact"/>
              <w:rPr>
                <w:sz w:val="20"/>
                <w:szCs w:val="20"/>
                <w:color w:val="auto"/>
              </w:rPr>
            </w:pPr>
            <w:r>
              <w:rPr>
                <w:rFonts w:ascii="Times New Roman" w:cs="Times New Roman" w:eastAsia="Times New Roman" w:hAnsi="Times New Roman"/>
                <w:sz w:val="18"/>
                <w:szCs w:val="18"/>
                <w:i w:val="1"/>
                <w:iCs w:val="1"/>
                <w:color w:val="auto"/>
                <w:w w:val="99"/>
              </w:rPr>
              <w:t>Comp. Income</w:t>
            </w: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90"/>
              <w:spacing w:after="0" w:line="175" w:lineRule="exact"/>
              <w:rPr>
                <w:sz w:val="20"/>
                <w:szCs w:val="20"/>
                <w:color w:val="auto"/>
              </w:rPr>
            </w:pPr>
            <w:r>
              <w:rPr>
                <w:rFonts w:ascii="Times New Roman" w:cs="Times New Roman" w:eastAsia="Times New Roman" w:hAnsi="Times New Roman"/>
                <w:sz w:val="18"/>
                <w:szCs w:val="18"/>
                <w:i w:val="1"/>
                <w:iCs w:val="1"/>
                <w:color w:val="auto"/>
                <w:w w:val="99"/>
              </w:rPr>
              <w:t>Controlling</w:t>
            </w:r>
          </w:p>
        </w:tc>
        <w:tc>
          <w:tcPr>
            <w:tcW w:w="120" w:type="dxa"/>
            <w:vAlign w:val="bottom"/>
          </w:tcPr>
          <w:p>
            <w:pPr>
              <w:spacing w:after="0"/>
              <w:rPr>
                <w:sz w:val="15"/>
                <w:szCs w:val="15"/>
                <w:color w:val="auto"/>
              </w:rPr>
            </w:pPr>
          </w:p>
        </w:tc>
        <w:tc>
          <w:tcPr>
            <w:tcW w:w="112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Total Equity</w:t>
            </w:r>
          </w:p>
        </w:tc>
        <w:tc>
          <w:tcPr>
            <w:tcW w:w="0" w:type="dxa"/>
            <w:vAlign w:val="bottom"/>
          </w:tcPr>
          <w:p>
            <w:pPr>
              <w:spacing w:after="0"/>
              <w:rPr>
                <w:sz w:val="1"/>
                <w:szCs w:val="1"/>
                <w:color w:val="auto"/>
              </w:rPr>
            </w:pPr>
          </w:p>
        </w:tc>
      </w:tr>
      <w:tr>
        <w:trPr>
          <w:trHeight w:val="242"/>
        </w:trPr>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Stock</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Stock</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Capital</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8"/>
              </w:rPr>
              <w:t>Deficit)</w:t>
            </w: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(Loss)</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6"/>
              </w:rPr>
              <w:t>Interests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24,749</w:t>
            </w:r>
          </w:p>
        </w:tc>
        <w:tc>
          <w:tcPr>
            <w:tcW w:w="0" w:type="dxa"/>
            <w:vAlign w:val="bottom"/>
          </w:tcPr>
          <w:p>
            <w:pPr>
              <w:spacing w:after="0"/>
              <w:rPr>
                <w:sz w:val="1"/>
                <w:szCs w:val="1"/>
                <w:color w:val="auto"/>
              </w:rPr>
            </w:pPr>
          </w:p>
        </w:tc>
      </w:tr>
      <w:tr>
        <w:trPr>
          <w:trHeight w:val="222"/>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Preferred dividends ($4.50 Series - $1.125</w:t>
            </w:r>
          </w:p>
        </w:tc>
        <w:tc>
          <w:tcPr>
            <w:tcW w:w="14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$3.50 Series - $0.875 per share)</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Issuance of Corteva stock</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 net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222"/>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Preferred dividends ($4.50 Series - $1.125</w:t>
            </w:r>
          </w:p>
        </w:tc>
        <w:tc>
          <w:tcPr>
            <w:tcW w:w="14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 $3.50 Series - $0.875 per share)</w:t>
            </w:r>
          </w:p>
        </w:tc>
        <w:tc>
          <w:tcPr>
            <w:tcW w:w="1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Corteva stock</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24,306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26,191</w:t>
            </w:r>
          </w:p>
        </w:tc>
        <w:tc>
          <w:tcPr>
            <w:tcW w:w="0" w:type="dxa"/>
            <w:vAlign w:val="bottom"/>
          </w:tcPr>
          <w:p>
            <w:pPr>
              <w:spacing w:after="0"/>
              <w:rPr>
                <w:sz w:val="1"/>
                <w:szCs w:val="1"/>
                <w:color w:val="auto"/>
              </w:rPr>
            </w:pPr>
          </w:p>
        </w:tc>
      </w:tr>
      <w:tr>
        <w:trPr>
          <w:trHeight w:val="222"/>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Preferred dividends ($4.50 Series - $1.125</w:t>
            </w:r>
          </w:p>
        </w:tc>
        <w:tc>
          <w:tcPr>
            <w:tcW w:w="14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$3.50 Series - $0.875 per share)</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Issuance of Corteva stock</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 net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12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w w:val="99"/>
              </w:rPr>
              <w:t>Additional</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i w:val="1"/>
                <w:iCs w:val="1"/>
                <w:color w:val="auto"/>
                <w:w w:val="99"/>
              </w:rPr>
              <w:t>Retained</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Accum. Other</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Non-</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99"/>
              </w:rPr>
              <w:t>Preferred</w:t>
            </w:r>
          </w:p>
        </w:tc>
        <w:tc>
          <w:tcPr>
            <w:tcW w:w="140" w:type="dxa"/>
            <w:vAlign w:val="bottom"/>
          </w:tcPr>
          <w:p>
            <w:pPr>
              <w:spacing w:after="0"/>
              <w:rPr>
                <w:sz w:val="15"/>
                <w:szCs w:val="15"/>
                <w:color w:val="auto"/>
              </w:rPr>
            </w:pPr>
          </w:p>
        </w:tc>
        <w:tc>
          <w:tcPr>
            <w:tcW w:w="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Common</w:t>
            </w:r>
          </w:p>
        </w:tc>
        <w:tc>
          <w:tcPr>
            <w:tcW w:w="140" w:type="dxa"/>
            <w:vAlign w:val="bottom"/>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tcPr>
          <w:p>
            <w:pPr>
              <w:jc w:val="center"/>
              <w:ind w:right="110"/>
              <w:spacing w:after="0" w:line="175" w:lineRule="exact"/>
              <w:rPr>
                <w:sz w:val="20"/>
                <w:szCs w:val="20"/>
                <w:color w:val="auto"/>
              </w:rPr>
            </w:pPr>
            <w:r>
              <w:rPr>
                <w:rFonts w:ascii="Times New Roman" w:cs="Times New Roman" w:eastAsia="Times New Roman" w:hAnsi="Times New Roman"/>
                <w:sz w:val="18"/>
                <w:szCs w:val="18"/>
                <w:i w:val="1"/>
                <w:iCs w:val="1"/>
                <w:color w:val="auto"/>
                <w:w w:val="99"/>
              </w:rPr>
              <w:t>Earnings</w:t>
            </w:r>
          </w:p>
        </w:tc>
        <w:tc>
          <w:tcPr>
            <w:tcW w:w="100" w:type="dxa"/>
            <w:vAlign w:val="bottom"/>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jc w:val="right"/>
              <w:ind w:right="210"/>
              <w:spacing w:after="0" w:line="189" w:lineRule="exact"/>
              <w:rPr>
                <w:sz w:val="20"/>
                <w:szCs w:val="20"/>
                <w:color w:val="auto"/>
              </w:rPr>
            </w:pPr>
            <w:r>
              <w:rPr>
                <w:rFonts w:ascii="Times New Roman" w:cs="Times New Roman" w:eastAsia="Times New Roman" w:hAnsi="Times New Roman"/>
                <w:sz w:val="18"/>
                <w:szCs w:val="18"/>
                <w:i w:val="1"/>
                <w:iCs w:val="1"/>
                <w:color w:val="auto"/>
              </w:rPr>
              <w:t>Paid-in</w:t>
            </w:r>
          </w:p>
        </w:tc>
        <w:tc>
          <w:tcPr>
            <w:tcW w:w="160" w:type="dxa"/>
            <w:vAlign w:val="bottom"/>
          </w:tcPr>
          <w:p>
            <w:pPr>
              <w:spacing w:after="0"/>
              <w:rPr>
                <w:sz w:val="16"/>
                <w:szCs w:val="16"/>
                <w:color w:val="auto"/>
              </w:rPr>
            </w:pPr>
          </w:p>
        </w:tc>
        <w:tc>
          <w:tcPr>
            <w:tcW w:w="980" w:type="dxa"/>
            <w:vAlign w:val="bottom"/>
            <w:tcBorders>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i w:val="1"/>
                <w:iCs w:val="1"/>
                <w:color w:val="auto"/>
              </w:rPr>
              <w:t>(Accum.</w:t>
            </w:r>
          </w:p>
        </w:tc>
        <w:tc>
          <w:tcPr>
            <w:tcW w:w="100" w:type="dxa"/>
            <w:vAlign w:val="bottom"/>
          </w:tcPr>
          <w:p>
            <w:pPr>
              <w:spacing w:after="0"/>
              <w:rPr>
                <w:sz w:val="16"/>
                <w:szCs w:val="16"/>
                <w:color w:val="auto"/>
              </w:rPr>
            </w:pPr>
          </w:p>
        </w:tc>
        <w:tc>
          <w:tcPr>
            <w:tcW w:w="1200" w:type="dxa"/>
            <w:vAlign w:val="bottom"/>
            <w:tcBorders>
              <w:right w:val="single" w:sz="8" w:color="auto"/>
            </w:tcBorders>
          </w:tcPr>
          <w:p>
            <w:pPr>
              <w:jc w:val="center"/>
              <w:ind w:right="30"/>
              <w:spacing w:after="0" w:line="189" w:lineRule="exact"/>
              <w:rPr>
                <w:sz w:val="20"/>
                <w:szCs w:val="20"/>
                <w:color w:val="auto"/>
              </w:rPr>
            </w:pPr>
            <w:r>
              <w:rPr>
                <w:rFonts w:ascii="Times New Roman" w:cs="Times New Roman" w:eastAsia="Times New Roman" w:hAnsi="Times New Roman"/>
                <w:sz w:val="18"/>
                <w:szCs w:val="18"/>
                <w:i w:val="1"/>
                <w:iCs w:val="1"/>
                <w:color w:val="auto"/>
                <w:w w:val="99"/>
              </w:rPr>
              <w:t>Comp. Income</w:t>
            </w:r>
          </w:p>
        </w:tc>
        <w:tc>
          <w:tcPr>
            <w:tcW w:w="140" w:type="dxa"/>
            <w:vAlign w:val="bottom"/>
          </w:tcPr>
          <w:p>
            <w:pPr>
              <w:spacing w:after="0"/>
              <w:rPr>
                <w:sz w:val="16"/>
                <w:szCs w:val="16"/>
                <w:color w:val="auto"/>
              </w:rPr>
            </w:pPr>
          </w:p>
        </w:tc>
        <w:tc>
          <w:tcPr>
            <w:tcW w:w="1040" w:type="dxa"/>
            <w:vAlign w:val="bottom"/>
            <w:tcBorders>
              <w:right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i w:val="1"/>
                <w:iCs w:val="1"/>
                <w:color w:val="auto"/>
                <w:w w:val="99"/>
              </w:rPr>
              <w:t>Controlling</w:t>
            </w:r>
          </w:p>
        </w:tc>
        <w:tc>
          <w:tcPr>
            <w:tcW w:w="140" w:type="dxa"/>
            <w:vAlign w:val="bottom"/>
          </w:tcPr>
          <w:p>
            <w:pPr>
              <w:spacing w:after="0"/>
              <w:rPr>
                <w:sz w:val="16"/>
                <w:szCs w:val="16"/>
                <w:color w:val="auto"/>
              </w:rPr>
            </w:pPr>
          </w:p>
        </w:tc>
        <w:tc>
          <w:tcPr>
            <w:tcW w:w="112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Total Equity</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Stock</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Stock</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Capital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8"/>
              </w:rPr>
              <w:t>Deficit)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(Loss)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6"/>
              </w:rPr>
              <w:t>Interests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0" w:type="dxa"/>
            <w:vAlign w:val="bottom"/>
          </w:tcPr>
          <w:p>
            <w:pPr>
              <w:spacing w:after="0"/>
              <w:rPr>
                <w:sz w:val="1"/>
                <w:szCs w:val="1"/>
                <w:color w:val="auto"/>
              </w:rPr>
            </w:pPr>
          </w:p>
        </w:tc>
      </w:tr>
      <w:tr>
        <w:trPr>
          <w:trHeight w:val="222"/>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Preferred dividends ($4.50 Series - $1.125</w:t>
            </w:r>
          </w:p>
        </w:tc>
        <w:tc>
          <w:tcPr>
            <w:tcW w:w="14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$3.50 Series - $0.875 per share)</w:t>
            </w:r>
          </w:p>
        </w:tc>
        <w:tc>
          <w:tcPr>
            <w:tcW w:w="140" w:type="dxa"/>
            <w:vAlign w:val="bottom"/>
            <w:shd w:val="clear" w:color="auto" w:fill="CCEEFF"/>
          </w:tcPr>
          <w:p>
            <w:pPr>
              <w:spacing w:after="0"/>
              <w:rPr>
                <w:sz w:val="21"/>
                <w:szCs w:val="21"/>
                <w:color w:val="auto"/>
              </w:rPr>
            </w:pPr>
          </w:p>
        </w:tc>
        <w:tc>
          <w:tcPr>
            <w:tcW w:w="94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0" w:type="dxa"/>
            <w:vAlign w:val="bottom"/>
          </w:tcPr>
          <w:p>
            <w:pPr>
              <w:spacing w:after="0"/>
              <w:rPr>
                <w:sz w:val="1"/>
                <w:szCs w:val="1"/>
                <w:color w:val="auto"/>
              </w:rPr>
            </w:pPr>
          </w:p>
        </w:tc>
      </w:tr>
      <w:tr>
        <w:trPr>
          <w:trHeight w:val="222"/>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Preferred dividends ($4.50 Series - $1.125</w:t>
            </w:r>
          </w:p>
        </w:tc>
        <w:tc>
          <w:tcPr>
            <w:tcW w:w="1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 share, $3.50 Series - $0.875 per share)</w:t>
            </w:r>
          </w:p>
        </w:tc>
        <w:tc>
          <w:tcPr>
            <w:tcW w:w="14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0" w:type="dxa"/>
            <w:vAlign w:val="bottom"/>
          </w:tcPr>
          <w:p>
            <w:pPr>
              <w:spacing w:after="0"/>
              <w:rPr>
                <w:sz w:val="1"/>
                <w:szCs w:val="1"/>
                <w:color w:val="auto"/>
              </w:rPr>
            </w:pPr>
          </w:p>
        </w:tc>
      </w:tr>
      <w:tr>
        <w:trPr>
          <w:trHeight w:val="222"/>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175"/>
        </w:trPr>
        <w:tc>
          <w:tcPr>
            <w:tcW w:w="3120" w:type="dxa"/>
            <w:vAlign w:val="bottom"/>
            <w:tcBorders>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Preferred dividends ($4.50 Series - $1.125</w:t>
            </w:r>
          </w:p>
        </w:tc>
        <w:tc>
          <w:tcPr>
            <w:tcW w:w="14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$3.50 Series - $0.875 per share)</w:t>
            </w:r>
          </w:p>
        </w:tc>
        <w:tc>
          <w:tcPr>
            <w:tcW w:w="140" w:type="dxa"/>
            <w:vAlign w:val="bottom"/>
            <w:shd w:val="clear" w:color="auto" w:fill="CCEEFF"/>
          </w:tcPr>
          <w:p>
            <w:pPr>
              <w:spacing w:after="0"/>
              <w:rPr>
                <w:sz w:val="21"/>
                <w:szCs w:val="21"/>
                <w:color w:val="auto"/>
              </w:rPr>
            </w:pPr>
          </w:p>
        </w:tc>
        <w:tc>
          <w:tcPr>
            <w:tcW w:w="94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Notes to the Interim Consolidated Financial Statements beginning on page 71.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3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EIDP, Inc.</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Notes to the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9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5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251"/>
        </w:trPr>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5580" w:type="dxa"/>
            <w:vAlign w:val="bottom"/>
          </w:tcPr>
          <w:p>
            <w:pPr>
              <w:spacing w:after="0"/>
              <w:rPr>
                <w:sz w:val="21"/>
                <w:szCs w:val="21"/>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9"/>
        </w:trPr>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Basis of Presentation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w:t>
            </w:r>
          </w:p>
        </w:tc>
      </w:tr>
      <w:tr>
        <w:trPr>
          <w:trHeight w:val="229"/>
        </w:trPr>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w:t>
            </w:r>
          </w:p>
        </w:tc>
      </w:tr>
      <w:tr>
        <w:trPr>
          <w:trHeight w:val="229"/>
        </w:trPr>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Income Taxes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w:t>
            </w:r>
          </w:p>
        </w:tc>
      </w:tr>
      <w:tr>
        <w:trPr>
          <w:trHeight w:val="234"/>
        </w:trPr>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4</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Segment Information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Corteva, Inc. owns 100% of the outstanding common stock of EIDP. EIDP is a subsidiary of Corteva, Inc. and continues to be a reporting company, subject to the requirements of the Exchange Act. The primary differences between Corteva, Inc. and EIDP are outlined below:</w:t>
      </w:r>
    </w:p>
    <w:p>
      <w:pPr>
        <w:spacing w:after="0" w:line="186" w:lineRule="exact"/>
        <w:rPr>
          <w:sz w:val="20"/>
          <w:szCs w:val="20"/>
          <w:color w:val="auto"/>
        </w:rPr>
      </w:pPr>
    </w:p>
    <w:p>
      <w:pPr>
        <w:jc w:val="both"/>
        <w:ind w:left="660" w:hanging="330"/>
        <w:spacing w:after="0" w:line="258"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 EIDP has preferred stock outstanding to third parties which is accounted for as a non-controlling interest at the Corteva,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Each share of EIDP Preferred Stock - $4.50 Series and EIDP Preferred Stock - $3.50 Series issued and outstanding at the effective date of the Corteva Distribution remains issued and outstanding as to EIDP and was unaffected by the Corteva Distribution.</w:t>
      </w:r>
    </w:p>
    <w:p>
      <w:pPr>
        <w:jc w:val="both"/>
        <w:ind w:left="660" w:hanging="330"/>
        <w:spacing w:after="0" w:line="249"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Loan </w:t>
      </w:r>
      <w:r>
        <w:rPr>
          <w:rFonts w:ascii="Times New Roman" w:cs="Times New Roman" w:eastAsia="Times New Roman" w:hAnsi="Times New Roman"/>
          <w:sz w:val="18"/>
          <w:szCs w:val="18"/>
          <w:color w:val="auto"/>
        </w:rPr>
        <w:t>- EIDP engaged in a series of debt redemptions during the second quarter of 2019 that were partially funded through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loan from Corteva, Inc. This was eliminated in consolidation at the Corteva, Inc. level but remained on EIDP's consolidated financial statements at the standalone level (including the associated interest) through its repayment date in the fourth quarter of 2023.</w:t>
      </w:r>
    </w:p>
    <w:p>
      <w:pPr>
        <w:spacing w:after="0" w:line="1" w:lineRule="exact"/>
        <w:rPr>
          <w:rFonts w:ascii="Times New Roman" w:cs="Times New Roman" w:eastAsia="Times New Roman" w:hAnsi="Times New Roman"/>
          <w:sz w:val="18"/>
          <w:szCs w:val="18"/>
          <w:b w:val="1"/>
          <w:bCs w:val="1"/>
          <w:color w:val="auto"/>
        </w:rPr>
      </w:pPr>
    </w:p>
    <w:p>
      <w:pPr>
        <w:ind w:left="660" w:hanging="330"/>
        <w:spacing w:after="0" w:line="25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 At September 30, 2024, Corteva, Inc.'s capital structure consists of 689,170,000 issued shares of common stock,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$0.01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footnotes relate to EIDP only, and not to Corteva, Inc., and are presented to show differences between EIDP and Corteva,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footnotes listed below, refer to the following Corteva, Inc. footnotes:</w:t>
      </w:r>
    </w:p>
    <w:p>
      <w:pPr>
        <w:spacing w:after="0" w:line="27" w:lineRule="exact"/>
        <w:rPr>
          <w:sz w:val="20"/>
          <w:szCs w:val="20"/>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Summary of Significant Accounting Policies - refer to page 10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2 - Recent Accounting Guidance - refer to page 10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3 - Business Combinations - refer to page 11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Revenue - refer to page 11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5 - Restructuring and Asset Related Charges - Net - refer to page 12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Supplementary Information - refer to page 14 of the Corteva, Inc. interim Consolidated Financial Statements. In addition, EIDP has a related party loan receivable from Corteva, Inc.; refer to EIDP Note 2 - Related Party Transactions, below.</w:t>
      </w:r>
    </w:p>
    <w:p>
      <w:pPr>
        <w:ind w:left="660" w:hanging="330"/>
        <w:spacing w:after="0" w:line="24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Income Taxes - Differences exist between Corteva, Inc. and EIDP; refer to EIDP Note 3 - Income Taxes, of the EIDP interim Consolidated Financial Statements, below</w:t>
      </w: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8 - Earnings Per Share of Common Stock - Not applicable for EIDP</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9 - Accounts and Notes Receivable - Net - refer to page 18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10 - Inventories - refer to page 19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11 - Other Intangible Assets - refer to page 19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jc w:val="both"/>
        <w:ind w:left="660" w:hanging="330"/>
        <w:spacing w:after="0" w:line="24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Short-Term Borrowings, Long-Term Debt and Available Credit Facilities - refer to page 19 of the Corteva, Inc. interim Consolidated Financial Statements. In addition, EIDP had a related party loan payable to Corteva, Inc. which was repaid during the fourth quarter of 2023; refer to EIDP Note 2 - Related Party Transactions, below.</w:t>
      </w:r>
    </w:p>
    <w:p>
      <w:pPr>
        <w:spacing w:after="0" w:line="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Commitments and Contingent Liabilities - refer to page 21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Stockholders' Equity - refer to page 30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15 - Pension Plans and Other Post Employment Benefits - refer to page 32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Financial Instruments - refer to page 33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17 - Fair Value Measurements - refer to page 38 of the Corteva, Inc. interim Consolidated Financial Statements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18 - Segment Information - Differences exist between Corteva, Inc. and EIDP; refer to EIDP Note 4 - Segment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RELATED PARTY TRANSACTIONS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Corteva</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second quarter of 2019, EIDP entered into a related party revolving loan from Corteva, Inc., with a maturity date in 2024. EIDP repaid the outstanding related party revolving loan balance during the fourth quarter of 2023. As of September 30, 2023, the outstanding related party loan balance was $115 million (which approximates fair value), with an interest rate of 7.00%. The balance at September 30, 2023 was reflected as short-term borrowings - related party in EIDP's interim Consolidated Balance Sheets. Additionally, EIDP incurred interest expense of $2 million and $22 million for the three and nine months ended September 30, 2023, respectively, associated with the related party loan from Corteva, Inc., net of interest income earned from the below-noted Master In-House Banking Agreement.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EIDP and Corteva, including certain consolidated subsidiaries (collectively the “Participating Companies”), are party to a Master In-House Banking Agreement, which established banking arrangements to facilitate the management of the cash and liquidity needs of the Participating Companies. EIDP had receivables from Corteva, Inc. of $1,505 million, $377 million, and $217 million related to this agreement included in other assets in EIDP's interim Consolidated Balance Sheets as of September 30, 2024, December 31, 2023, and September 30, 2023 respectively. Additionally, EIDP earned interest income from Corteva, Inc. of $18 million and $38 million under this agreement for the three and nine months ended September 30, 2024, respectively, which is reflected as other income (expense) - net in EIDP's interim Consolidated Statements of Operations.</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2024, December 31, 2023 and September 30, 2023, EIDP had payables to Corteva, Inc., of $19 million, $30 million and $38 million included in accrued and other current liabilities, respectively, and $141 million, $106 million and $108 million, included in other noncurrent obligations, respectively, in the interim Consolidated Balance Sheets related to Corteva's indemnification liabilities to Dow and DuPont per the Separation Agreements (refer to page 23 of the Corteva, Inc. interim Consolidated Financial Statements for further details of the Separation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INCOME TAXES</w:t>
      </w:r>
    </w:p>
    <w:p>
      <w:pPr>
        <w:spacing w:after="0" w:line="2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Refer to page 16 of the Corteva, Inc. Interim Consolidated Financial Statements for discussion of tax items that do not differ between Corteva, Inc. and EIDP.</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effective tax rate was 17.9 percent and 23.1 percent for the three and nine months ended September 30, 2024 and 28.9 percent and 17.1 percent for the three and nine months ended September 30, 2023, respectively.</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EIDP's effective tax rates for the three and nine months ended September 30, 2024 and 2023 were driven by the net tax benefits discussed on page 16 of the Corteva, Inc. Interim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SEGMENT INFORMATION</w:t>
      </w:r>
    </w:p>
    <w:p>
      <w:pPr>
        <w:spacing w:after="0" w:line="25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There are no differences in reporting structure or segments between Corteva, Inc. and EIDP. In addition, there are no differences between Corteva, Inc. and EIDP segment net sales, segment operating EBITDA, segment assets, or significant items by segment; refer to page 38 of the Corteva, Inc. interim Consolidated Financial Statements for background information on the segments as well as further details regarding segment metrics. The tables below reconcile income (loss) from continuing operations after income taxes to segment operating EBITDA, as differences exist between Corteva, Inc. and EIDP.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to interim Consolidated Financial Statements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gridSpan w:val="3"/>
          </w:tcPr>
          <w:p>
            <w:pPr>
              <w:jc w:val="right"/>
              <w:ind w:right="37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81"/>
        </w:trPr>
        <w:tc>
          <w:tcPr>
            <w:tcW w:w="6420" w:type="dxa"/>
            <w:vAlign w:val="bottom"/>
            <w:tcBorders>
              <w:right w:val="single" w:sz="8" w:color="auto"/>
            </w:tcBorders>
            <w:vMerge w:val="restart"/>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Income (loss) from continuing operations after income taxes to segment operating</w:t>
            </w:r>
          </w:p>
        </w:tc>
        <w:tc>
          <w:tcPr>
            <w:tcW w:w="220" w:type="dxa"/>
            <w:vAlign w:val="bottom"/>
          </w:tcPr>
          <w:p>
            <w:pPr>
              <w:spacing w:after="0"/>
              <w:rPr>
                <w:sz w:val="7"/>
                <w:szCs w:val="7"/>
                <w:color w:val="auto"/>
              </w:rPr>
            </w:pPr>
          </w:p>
        </w:tc>
        <w:tc>
          <w:tcPr>
            <w:tcW w:w="2200" w:type="dxa"/>
            <w:vAlign w:val="bottom"/>
            <w:tcBorders>
              <w:right w:val="single" w:sz="8" w:color="auto"/>
            </w:tcBorders>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2160" w:type="dxa"/>
            <w:vAlign w:val="bottom"/>
            <w:tcBorders>
              <w:right w:val="single" w:sz="8" w:color="auto"/>
            </w:tcBorders>
            <w:gridSpan w:val="3"/>
            <w:vMerge w:val="restart"/>
          </w:tcPr>
          <w:p>
            <w:pPr>
              <w:jc w:val="right"/>
              <w:ind w:right="590"/>
              <w:spacing w:after="0" w:line="17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94"/>
        </w:trPr>
        <w:tc>
          <w:tcPr>
            <w:tcW w:w="642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2200" w:type="dxa"/>
            <w:vAlign w:val="bottom"/>
            <w:tcBorders>
              <w:right w:val="single" w:sz="8" w:color="auto"/>
            </w:tcBorders>
            <w:gridSpan w:val="3"/>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8"/>
                <w:szCs w:val="8"/>
                <w:color w:val="auto"/>
              </w:rPr>
            </w:pPr>
          </w:p>
        </w:tc>
        <w:tc>
          <w:tcPr>
            <w:tcW w:w="21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64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Pr>
          <w:p>
            <w:pPr>
              <w:spacing w:after="0"/>
              <w:rPr>
                <w:sz w:val="12"/>
                <w:szCs w:val="12"/>
                <w:color w:val="auto"/>
              </w:rPr>
            </w:pPr>
          </w:p>
        </w:tc>
        <w:tc>
          <w:tcPr>
            <w:tcW w:w="2200" w:type="dxa"/>
            <w:vAlign w:val="bottom"/>
            <w:tcBorders>
              <w:right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420" w:type="dxa"/>
            <w:vAlign w:val="bottom"/>
            <w:tcBorders>
              <w:right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2"/>
        </w:trPr>
        <w:tc>
          <w:tcPr>
            <w:tcW w:w="64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2"/>
        </w:trPr>
        <w:tc>
          <w:tcPr>
            <w:tcW w:w="6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2"/>
        </w:trPr>
        <w:tc>
          <w:tcPr>
            <w:tcW w:w="64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29"/>
        </w:trPr>
        <w:tc>
          <w:tcPr>
            <w:tcW w:w="64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4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64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(gains) losses</w:t>
            </w:r>
          </w:p>
        </w:tc>
        <w:tc>
          <w:tcPr>
            <w:tcW w:w="22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4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Non-operating (benefits) costs</w:t>
            </w:r>
          </w:p>
        </w:tc>
        <w:tc>
          <w:tcPr>
            <w:tcW w:w="22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75"/>
        </w:trPr>
        <w:tc>
          <w:tcPr>
            <w:tcW w:w="6420" w:type="dxa"/>
            <w:vAlign w:val="bottom"/>
            <w:tcBorders>
              <w:right w:val="single" w:sz="8" w:color="auto"/>
            </w:tcBorders>
            <w:shd w:val="clear" w:color="auto" w:fill="CCEEFF"/>
          </w:tcPr>
          <w:p>
            <w:pPr>
              <w:ind w:left="220"/>
              <w:spacing w:after="0" w:line="175" w:lineRule="exact"/>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w:t>
            </w:r>
          </w:p>
        </w:tc>
        <w:tc>
          <w:tcPr>
            <w:tcW w:w="22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4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hedges</w:t>
            </w:r>
          </w:p>
        </w:tc>
        <w:tc>
          <w:tcPr>
            <w:tcW w:w="220" w:type="dxa"/>
            <w:vAlign w:val="bottom"/>
            <w:shd w:val="clear" w:color="auto" w:fill="CCEEFF"/>
          </w:tcPr>
          <w:p>
            <w:pPr>
              <w:spacing w:after="0"/>
              <w:rPr>
                <w:sz w:val="21"/>
                <w:szCs w:val="21"/>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21"/>
                <w:szCs w:val="21"/>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4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Significant items (benefit) charge</w:t>
            </w:r>
          </w:p>
        </w:tc>
        <w:tc>
          <w:tcPr>
            <w:tcW w:w="22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848"/>
        </w:trPr>
        <w:tc>
          <w:tcPr>
            <w:tcW w:w="64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V. Magro, certify that:</w:t>
      </w:r>
    </w:p>
    <w:p>
      <w:pPr>
        <w:spacing w:after="0" w:line="170"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Corteva, Inc.;</w:t>
      </w:r>
    </w:p>
    <w:p>
      <w:pPr>
        <w:spacing w:after="0" w:line="169"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0" w:hanging="647"/>
        <w:spacing w:after="0" w:line="280" w:lineRule="auto"/>
        <w:tabs>
          <w:tab w:leader="none" w:pos="1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470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47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Charles V. Magro</w:t>
            </w:r>
          </w:p>
        </w:tc>
      </w:tr>
      <w:tr>
        <w:trPr>
          <w:trHeight w:val="215"/>
        </w:trPr>
        <w:tc>
          <w:tcPr>
            <w:tcW w:w="13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Charles V. Magro</w:t>
            </w:r>
          </w:p>
        </w:tc>
      </w:tr>
      <w:tr>
        <w:trPr>
          <w:trHeight w:val="236"/>
        </w:trPr>
        <w:tc>
          <w:tcPr>
            <w:tcW w:w="1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103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 Charles V. Magro, certify that:</w:t>
      </w:r>
    </w:p>
    <w:p>
      <w:pPr>
        <w:spacing w:after="0" w:line="17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EIDP, Inc.;</w:t>
      </w:r>
    </w:p>
    <w:p>
      <w:pPr>
        <w:spacing w:after="0" w:line="169"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0" w:hanging="647"/>
        <w:spacing w:after="0" w:line="280"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4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Charles V. Magro</w:t>
            </w:r>
          </w:p>
        </w:tc>
      </w:tr>
      <w:tr>
        <w:trPr>
          <w:trHeight w:val="215"/>
        </w:trPr>
        <w:tc>
          <w:tcPr>
            <w:tcW w:w="80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Charles V. Magro</w:t>
            </w:r>
          </w:p>
        </w:tc>
      </w:tr>
      <w:tr>
        <w:trPr>
          <w:trHeight w:val="236"/>
        </w:trPr>
        <w:tc>
          <w:tcPr>
            <w:tcW w:w="80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ectPr>
          <w:pgSz w:w="11900" w:h="16838" w:orient="portrait"/>
          <w:cols w:equalWidth="0" w:num="1">
            <w:col w:w="11240"/>
          </w:cols>
          <w:pgMar w:left="320" w:top="129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P. Johnson, certify that:</w:t>
      </w:r>
    </w:p>
    <w:p>
      <w:pPr>
        <w:spacing w:after="0" w:line="17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Corteva, Inc.;</w:t>
      </w:r>
    </w:p>
    <w:p>
      <w:pPr>
        <w:spacing w:after="0" w:line="169"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0" w:hanging="647"/>
        <w:spacing w:after="0" w:line="280"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470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47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P. Johnson</w:t>
            </w:r>
          </w:p>
        </w:tc>
      </w:tr>
      <w:tr>
        <w:trPr>
          <w:trHeight w:val="227"/>
        </w:trPr>
        <w:tc>
          <w:tcPr>
            <w:tcW w:w="13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David P. Johnson</w:t>
            </w:r>
          </w:p>
        </w:tc>
      </w:tr>
      <w:tr>
        <w:trPr>
          <w:trHeight w:val="264"/>
        </w:trPr>
        <w:tc>
          <w:tcPr>
            <w:tcW w:w="1360" w:type="dxa"/>
            <w:vAlign w:val="bottom"/>
          </w:tcPr>
          <w:p>
            <w:pPr>
              <w:spacing w:after="0"/>
              <w:rPr>
                <w:sz w:val="22"/>
                <w:szCs w:val="22"/>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1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103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I, David P. Johnson, certify that:</w:t>
      </w:r>
    </w:p>
    <w:p>
      <w:pPr>
        <w:spacing w:after="0" w:line="17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EIDP, Inc.;</w:t>
      </w:r>
    </w:p>
    <w:p>
      <w:pPr>
        <w:spacing w:after="0" w:line="169"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47"/>
        <w:spacing w:after="0" w:line="265" w:lineRule="auto"/>
        <w:tabs>
          <w:tab w:leader="none" w:pos="12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rFonts w:ascii="Times New Roman" w:cs="Times New Roman" w:eastAsia="Times New Roman" w:hAnsi="Times New Roman"/>
          <w:sz w:val="18"/>
          <w:szCs w:val="18"/>
          <w:color w:val="auto"/>
        </w:rPr>
      </w:pPr>
    </w:p>
    <w:p>
      <w:pPr>
        <w:ind w:left="1300" w:hanging="647"/>
        <w:spacing w:after="0" w:line="280" w:lineRule="auto"/>
        <w:tabs>
          <w:tab w:leader="none" w:pos="12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0" w:hanging="647"/>
        <w:spacing w:after="0" w:line="280" w:lineRule="auto"/>
        <w:tabs>
          <w:tab w:leader="none" w:pos="12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5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David P. Johnson</w:t>
            </w:r>
          </w:p>
        </w:tc>
      </w:tr>
      <w:tr>
        <w:trPr>
          <w:trHeight w:val="94"/>
        </w:trPr>
        <w:tc>
          <w:tcPr>
            <w:tcW w:w="800" w:type="dxa"/>
            <w:vAlign w:val="bottom"/>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27"/>
        </w:trPr>
        <w:tc>
          <w:tcPr>
            <w:tcW w:w="80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David P. Johnson</w:t>
            </w:r>
          </w:p>
        </w:tc>
      </w:tr>
      <w:tr>
        <w:trPr>
          <w:trHeight w:val="264"/>
        </w:trPr>
        <w:tc>
          <w:tcPr>
            <w:tcW w:w="800" w:type="dxa"/>
            <w:vAlign w:val="bottom"/>
          </w:tcPr>
          <w:p>
            <w:pPr>
              <w:spacing w:after="0"/>
              <w:rPr>
                <w:sz w:val="22"/>
                <w:szCs w:val="2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Executive Vice President and</w:t>
            </w:r>
          </w:p>
        </w:tc>
      </w:tr>
      <w:tr>
        <w:trPr>
          <w:trHeight w:val="236"/>
        </w:trPr>
        <w:tc>
          <w:tcPr>
            <w:tcW w:w="80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ectPr>
          <w:pgSz w:w="11900" w:h="16838" w:orient="portrait"/>
          <w:cols w:equalWidth="0" w:num="1">
            <w:col w:w="11240"/>
          </w:cols>
          <w:pgMar w:left="320" w:top="129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right="20" w:firstLine="807"/>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Corteva, Inc. (the “Company”) on Form 10-Q for the period ended September 30, 2024 as filed with the Securities and Exchange Commission on the date hereof (the “Report”), Charles V. Magro, as Chief Executive Officer of the Company, hereby certifies, pursuant to 18 U.S.C. Section 1350, as adopted pursuant to Section 906 of the Sarbanes-Oxley Act of 2002, that:</w:t>
      </w:r>
    </w:p>
    <w:p>
      <w:pPr>
        <w:spacing w:after="0" w:line="122" w:lineRule="exact"/>
        <w:rPr>
          <w:sz w:val="20"/>
          <w:szCs w:val="20"/>
          <w:color w:val="auto"/>
        </w:rPr>
      </w:pPr>
    </w:p>
    <w:p>
      <w:pPr>
        <w:ind w:left="1620" w:hanging="644"/>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9" w:lineRule="exact"/>
        <w:rPr>
          <w:rFonts w:ascii="Times New Roman" w:cs="Times New Roman" w:eastAsia="Times New Roman" w:hAnsi="Times New Roman"/>
          <w:sz w:val="18"/>
          <w:szCs w:val="18"/>
          <w:color w:val="auto"/>
        </w:rPr>
      </w:pPr>
    </w:p>
    <w:p>
      <w:pPr>
        <w:ind w:left="1620" w:hanging="644"/>
        <w:spacing w:after="0" w:line="280" w:lineRule="auto"/>
        <w:tabs>
          <w:tab w:leader="none" w:pos="16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Charles V. Magro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17145</wp:posOffset>
            </wp:positionV>
            <wp:extent cx="34169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Charles V. Magro</w:t>
      </w:r>
    </w:p>
    <w:p>
      <w:pPr>
        <w:spacing w:after="0" w:line="4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November 7, 2024</w:t>
      </w:r>
    </w:p>
    <w:p>
      <w:pPr>
        <w:sectPr>
          <w:pgSz w:w="11900" w:h="16838" w:orient="portrait"/>
          <w:cols w:equalWidth="0" w:num="1">
            <w:col w:w="11240"/>
          </w:cols>
          <w:pgMar w:left="320" w:top="978"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firstLine="807"/>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EIDP, Inc. on Form 10-Q for the period ended September 30, 2024 as filed with the Securities and Exchange Commission on the date hereof (the “Report”), Charles V. Magro, as Chief Executive Officer of EIDP, Inc., hereby certifies, pursuant to 18 U.S.C. Section 1350, as adopted pursuant to Section 906 of the Sarbanes-Oxley Act of 2002, that:</w:t>
      </w:r>
    </w:p>
    <w:p>
      <w:pPr>
        <w:spacing w:after="0" w:line="122" w:lineRule="exact"/>
        <w:rPr>
          <w:sz w:val="20"/>
          <w:szCs w:val="20"/>
          <w:color w:val="auto"/>
        </w:rPr>
      </w:pPr>
    </w:p>
    <w:p>
      <w:pPr>
        <w:ind w:left="1620" w:hanging="644"/>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9" w:lineRule="exact"/>
        <w:rPr>
          <w:rFonts w:ascii="Times New Roman" w:cs="Times New Roman" w:eastAsia="Times New Roman" w:hAnsi="Times New Roman"/>
          <w:sz w:val="18"/>
          <w:szCs w:val="18"/>
          <w:color w:val="auto"/>
        </w:rPr>
      </w:pPr>
    </w:p>
    <w:p>
      <w:pPr>
        <w:ind w:left="1620" w:hanging="644"/>
        <w:spacing w:after="0" w:line="280" w:lineRule="auto"/>
        <w:tabs>
          <w:tab w:leader="none" w:pos="16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EIDP, Inc.</w:t>
      </w:r>
    </w:p>
    <w:p>
      <w:pPr>
        <w:spacing w:after="0" w:line="17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Charles V. Magro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17145</wp:posOffset>
            </wp:positionV>
            <wp:extent cx="34169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Charles V. Magro</w:t>
      </w:r>
    </w:p>
    <w:p>
      <w:pPr>
        <w:spacing w:after="0" w:line="4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November 7, 2024</w:t>
      </w:r>
    </w:p>
    <w:p>
      <w:pPr>
        <w:sectPr>
          <w:pgSz w:w="11900" w:h="16838" w:orient="portrait"/>
          <w:cols w:equalWidth="0" w:num="1">
            <w:col w:w="11240"/>
          </w:cols>
          <w:pgMar w:left="320" w:top="88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firstLine="807"/>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Corteva, Inc. (the “Company”) on Form 10-Q for the period ended September 30, 2024 as filed with the Securities and Exchange Commission on the date hereof (the “Report”), David P. Johnson, as Chief Financial Officer of the Company, hereby certifies, pursuant to 18 U.S.C. Section 1350, as adopted pursuant to Section 906 of the Sarbanes-Oxley Act of 2002, that:</w:t>
      </w:r>
    </w:p>
    <w:p>
      <w:pPr>
        <w:spacing w:after="0" w:line="122" w:lineRule="exact"/>
        <w:rPr>
          <w:sz w:val="20"/>
          <w:szCs w:val="20"/>
          <w:color w:val="auto"/>
        </w:rPr>
      </w:pPr>
    </w:p>
    <w:p>
      <w:pPr>
        <w:ind w:left="1620" w:hanging="644"/>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9" w:lineRule="exact"/>
        <w:rPr>
          <w:rFonts w:ascii="Times New Roman" w:cs="Times New Roman" w:eastAsia="Times New Roman" w:hAnsi="Times New Roman"/>
          <w:sz w:val="18"/>
          <w:szCs w:val="18"/>
          <w:color w:val="auto"/>
        </w:rPr>
      </w:pPr>
    </w:p>
    <w:p>
      <w:pPr>
        <w:ind w:left="1620" w:hanging="644"/>
        <w:spacing w:after="0" w:line="280" w:lineRule="auto"/>
        <w:tabs>
          <w:tab w:leader="none" w:pos="16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David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17145</wp:posOffset>
            </wp:positionV>
            <wp:extent cx="34169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David P. Johnson</w:t>
      </w:r>
    </w:p>
    <w:p>
      <w:pPr>
        <w:spacing w:after="0" w:line="11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6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November 7, 2024</w:t>
      </w:r>
    </w:p>
    <w:p>
      <w:pPr>
        <w:sectPr>
          <w:pgSz w:w="11900" w:h="16838" w:orient="portrait"/>
          <w:cols w:equalWidth="0" w:num="1">
            <w:col w:w="11240"/>
          </w:cols>
          <w:pgMar w:left="320" w:top="978"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firstLine="807"/>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EIDP, Inc. on Form 10-Q for the period ended September 30, 2024 as filed with the Securities and Exchange Commission on the date hereof (the “Report”), David P. Johnson, as Chief Financial Officer of EIDP, Inc., hereby certifies, pursuant to 18 U.S.C. Section 1350, as adopted pursuant to Section 906 of the Sarbanes-Oxley Act of 2002, that:</w:t>
      </w:r>
    </w:p>
    <w:p>
      <w:pPr>
        <w:spacing w:after="0" w:line="122" w:lineRule="exact"/>
        <w:rPr>
          <w:sz w:val="20"/>
          <w:szCs w:val="20"/>
          <w:color w:val="auto"/>
        </w:rPr>
      </w:pPr>
    </w:p>
    <w:p>
      <w:pPr>
        <w:ind w:left="1620" w:hanging="644"/>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9" w:lineRule="exact"/>
        <w:rPr>
          <w:rFonts w:ascii="Times New Roman" w:cs="Times New Roman" w:eastAsia="Times New Roman" w:hAnsi="Times New Roman"/>
          <w:sz w:val="18"/>
          <w:szCs w:val="18"/>
          <w:color w:val="auto"/>
        </w:rPr>
      </w:pPr>
    </w:p>
    <w:p>
      <w:pPr>
        <w:ind w:left="1620" w:hanging="644"/>
        <w:spacing w:after="0" w:line="280" w:lineRule="auto"/>
        <w:tabs>
          <w:tab w:leader="none" w:pos="16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EIDP, Inc.</w:t>
      </w:r>
    </w:p>
    <w:p>
      <w:pPr>
        <w:spacing w:after="0" w:line="17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David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17145</wp:posOffset>
            </wp:positionV>
            <wp:extent cx="34169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David P. Johnson</w:t>
      </w:r>
    </w:p>
    <w:p>
      <w:pPr>
        <w:spacing w:after="0" w:line="11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6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November 7, 2024</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lowerRoman"/>
      <w:start w:val="1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4"/>
      <w:numFmt w:val="bullet"/>
      <w:start w:val="1"/>
    </w:lvl>
  </w:abstractNum>
  <w:abstractNum w:abstractNumId="31">
    <w:nsid w:val="77465F01"/>
    <w:multiLevelType w:val="hybridMultilevel"/>
    <w:lvl w:ilvl="0">
      <w:lvlJc w:val="left"/>
      <w:lvlText w:val="%1"/>
      <w:numFmt w:val="decimal"/>
      <w:start w:val="104"/>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82" Type="http://schemas.openxmlformats.org/officeDocument/2006/relationships/hyperlink" Target="https://www.sec.gov/Archives/edgar/data/1755672/000119312519106808/d615112dex21.htm" TargetMode="External"/><Relationship Id="rId83" Type="http://schemas.openxmlformats.org/officeDocument/2006/relationships/hyperlink" Target="https://www.sec.gov/Archives/edgar/data/0001755672/000175567224000010/certificateofincorporation.htm" TargetMode="External"/><Relationship Id="rId84" Type="http://schemas.openxmlformats.org/officeDocument/2006/relationships/hyperlink" Target="https://www.sec.gov/Archives/edgar/data/1755672/000175567219000022/textofamendment.htm" TargetMode="External"/><Relationship Id="rId85" Type="http://schemas.openxmlformats.org/officeDocument/2006/relationships/hyperlink" Target="https://www.sec.gov/Archives/edgar/data/30554/000175567223000011/exhibit33.htm" TargetMode="External"/><Relationship Id="rId86" Type="http://schemas.openxmlformats.org/officeDocument/2006/relationships/hyperlink" Target="https://www.sec.gov/Archives/edgar/data/30554/000119312517274840/d43856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2024-11-07T16:53:04Z</dcterms:created>
  <dcterms:modified xsi:type="dcterms:W3CDTF">2024-11-07T16:53:04Z</dcterms:modified>
</cp:coreProperties>
</file>