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755672-20261001.htm"/>
      <w:bookmarkStart w:id="1" w:name="ksck000175567220261001"/>
      <w:bookmarkEnd w:id="0"/>
      <w:bookmarkEnd w:id="1"/>
      <w:r>
        <w:rPr/>
        <w:t> </w:t>
      </w:r>
    </w:p>
    <w:p>
      <w:pPr>
        <w:pStyle w:val="TextBody"/>
        <w:pBdr>
          <w:top w:val="double" w:sz="6" w:space="1" w:color="000000"/>
        </w:pBdr>
        <w:bidi w:val="0"/>
        <w:jc w:val="center"/>
        <w:rPr/>
      </w:pPr>
      <w:bookmarkStart w:id="2" w:name="cover_page"/>
      <w:bookmarkEnd w:id="2"/>
      <w:r>
        <w:rPr/>
        <w:t> </w:t>
      </w:r>
    </w:p>
    <w:p>
      <w:pPr>
        <w:pStyle w:val="TextBody"/>
        <w:bidi w:val="0"/>
        <w:jc w:val="center"/>
        <w:rPr>
          <w:rFonts w:ascii="Times New Roman" w:hAnsi="Times New Roman"/>
          <w:sz w:val="18"/>
        </w:rPr>
      </w:pPr>
      <w:r>
        <w:rPr>
          <w:rFonts w:ascii="Times New Roman" w:hAnsi="Times New Roman"/>
          <w:b/>
          <w:color w:val="000000"/>
          <w:sz w:val="18"/>
        </w:rPr>
        <w:t>SECURITIES</w:t>
      </w:r>
      <w:r>
        <w:rPr>
          <w:rFonts w:ascii="Times New Roman" w:hAnsi="Times New Roman"/>
          <w:color w:val="000000"/>
          <w:sz w:val="18"/>
        </w:rPr>
        <w:t xml:space="preserve"> </w:t>
      </w:r>
      <w:r>
        <w:rPr>
          <w:rFonts w:ascii="Times New Roman" w:hAnsi="Times New Roman"/>
          <w:b/>
          <w:color w:val="000000"/>
          <w:sz w:val="18"/>
        </w:rPr>
        <w:t>AND</w:t>
      </w:r>
      <w:r>
        <w:rPr>
          <w:rFonts w:ascii="Times New Roman" w:hAnsi="Times New Roman"/>
          <w:color w:val="000000"/>
          <w:sz w:val="18"/>
        </w:rPr>
        <w:t xml:space="preserve"> </w:t>
      </w:r>
      <w:r>
        <w:rPr>
          <w:rFonts w:ascii="Times New Roman" w:hAnsi="Times New Roman"/>
          <w:b/>
          <w:color w:val="000000"/>
          <w:sz w:val="18"/>
        </w:rPr>
        <w:t>EXCHANGE</w:t>
      </w:r>
      <w:r>
        <w:rPr>
          <w:rFonts w:ascii="Times New Roman" w:hAnsi="Times New Roman"/>
          <w:color w:val="000000"/>
          <w:sz w:val="18"/>
        </w:rPr>
        <w:t xml:space="preserve"> </w:t>
      </w:r>
      <w:r>
        <w:rPr>
          <w:rFonts w:ascii="Times New Roman" w:hAnsi="Times New Roman"/>
          <w:b/>
          <w:color w:val="000000"/>
          <w:sz w:val="18"/>
        </w:rPr>
        <w:t>COMMISSION</w:t>
      </w:r>
    </w:p>
    <w:p>
      <w:pPr>
        <w:pStyle w:val="TextBody"/>
        <w:bidi w:val="0"/>
        <w:spacing w:before="22" w:after="283"/>
        <w:jc w:val="center"/>
        <w:rPr>
          <w:rFonts w:ascii="Times New Roman" w:hAnsi="Times New Roman"/>
          <w:b/>
          <w:color w:val="000000"/>
          <w:sz w:val="18"/>
        </w:rPr>
      </w:pPr>
      <w:r>
        <w:rPr>
          <w:rFonts w:ascii="Times New Roman" w:hAnsi="Times New Roman"/>
          <w:b/>
          <w:color w:val="000000"/>
          <w:sz w:val="18"/>
        </w:rPr>
        <w:t>WASHINGTON, DC 20549</w:t>
      </w:r>
    </w:p>
    <w:p>
      <w:pPr>
        <w:pStyle w:val="TextBody"/>
        <w:bidi w:val="0"/>
        <w:spacing w:before="120" w:after="283"/>
        <w:jc w:val="center"/>
        <w:rPr>
          <w:rFonts w:ascii="Times New Roman" w:hAnsi="Times New Roman"/>
          <w:sz w:val="30"/>
        </w:rPr>
      </w:pPr>
      <w:r>
        <w:rPr>
          <w:rFonts w:ascii="Times New Roman" w:hAnsi="Times New Roman"/>
          <w:b/>
          <w:color w:val="000000"/>
          <w:sz w:val="30"/>
        </w:rPr>
        <w:t>FORM</w:t>
      </w:r>
      <w:r>
        <w:rPr>
          <w:rFonts w:ascii="Times New Roman" w:hAnsi="Times New Roman"/>
          <w:color w:val="000000"/>
          <w:sz w:val="30"/>
        </w:rPr>
        <w:t xml:space="preserve"> </w:t>
      </w:r>
      <w:r>
        <w:rPr>
          <w:rFonts w:ascii="Times New Roman" w:hAnsi="Times New Roman"/>
          <w:b/>
          <w:color w:val="000000"/>
          <w:sz w:val="30"/>
        </w:rPr>
        <w:t>8-K</w:t>
      </w:r>
    </w:p>
    <w:p>
      <w:pPr>
        <w:pStyle w:val="TextBody"/>
        <w:bidi w:val="0"/>
        <w:spacing w:before="200" w:after="283"/>
        <w:jc w:val="center"/>
        <w:rPr>
          <w:rFonts w:ascii="Times New Roman" w:hAnsi="Times New Roman"/>
          <w:sz w:val="18"/>
        </w:rPr>
      </w:pPr>
      <w:bookmarkStart w:id="3" w:name="current_report"/>
      <w:bookmarkEnd w:id="3"/>
      <w:r>
        <w:rPr>
          <w:rFonts w:ascii="Times New Roman" w:hAnsi="Times New Roman"/>
          <w:b/>
          <w:color w:val="000000"/>
          <w:sz w:val="18"/>
        </w:rPr>
        <w:t>CURRENT</w:t>
      </w:r>
      <w:r>
        <w:rPr>
          <w:rFonts w:ascii="Times New Roman" w:hAnsi="Times New Roman"/>
          <w:color w:val="000000"/>
          <w:sz w:val="18"/>
        </w:rPr>
        <w:t xml:space="preserve"> </w:t>
      </w:r>
      <w:r>
        <w:rPr>
          <w:rFonts w:ascii="Times New Roman" w:hAnsi="Times New Roman"/>
          <w:b/>
          <w:color w:val="000000"/>
          <w:sz w:val="18"/>
        </w:rPr>
        <w:t>REPORT</w:t>
      </w:r>
    </w:p>
    <w:p>
      <w:pPr>
        <w:pStyle w:val="TextBody"/>
        <w:bidi w:val="0"/>
        <w:spacing w:before="23" w:after="283"/>
        <w:jc w:val="center"/>
        <w:rPr>
          <w:rFonts w:ascii="Times New Roman" w:hAnsi="Times New Roman"/>
          <w:sz w:val="18"/>
        </w:rPr>
      </w:pPr>
      <w:bookmarkStart w:id="4" w:name="pursuant_to_section_13_or_15_d__of_the_s"/>
      <w:bookmarkEnd w:id="4"/>
      <w:r>
        <w:rPr>
          <w:rFonts w:ascii="Times New Roman" w:hAnsi="Times New Roman"/>
          <w:b/>
          <w:color w:val="000000"/>
          <w:sz w:val="18"/>
        </w:rPr>
        <w:t>Pursuant</w:t>
      </w:r>
      <w:r>
        <w:rPr>
          <w:rFonts w:ascii="Times New Roman" w:hAnsi="Times New Roman"/>
          <w:color w:val="000000"/>
          <w:sz w:val="18"/>
        </w:rPr>
        <w:t xml:space="preserve"> </w:t>
      </w:r>
      <w:r>
        <w:rPr>
          <w:rFonts w:ascii="Times New Roman" w:hAnsi="Times New Roman"/>
          <w:b/>
          <w:color w:val="000000"/>
          <w:sz w:val="18"/>
        </w:rPr>
        <w:t>to</w:t>
      </w:r>
      <w:r>
        <w:rPr>
          <w:rFonts w:ascii="Times New Roman" w:hAnsi="Times New Roman"/>
          <w:color w:val="000000"/>
          <w:sz w:val="18"/>
        </w:rPr>
        <w:t xml:space="preserve"> </w:t>
      </w:r>
      <w:r>
        <w:rPr>
          <w:rFonts w:ascii="Times New Roman" w:hAnsi="Times New Roman"/>
          <w:b/>
          <w:color w:val="000000"/>
          <w:sz w:val="18"/>
        </w:rPr>
        <w:t>Section</w:t>
      </w:r>
      <w:r>
        <w:rPr>
          <w:rFonts w:ascii="Times New Roman" w:hAnsi="Times New Roman"/>
          <w:color w:val="000000"/>
          <w:sz w:val="18"/>
        </w:rPr>
        <w:t xml:space="preserve"> </w:t>
      </w:r>
      <w:r>
        <w:rPr>
          <w:rFonts w:ascii="Times New Roman" w:hAnsi="Times New Roman"/>
          <w:b/>
          <w:color w:val="000000"/>
          <w:sz w:val="18"/>
        </w:rPr>
        <w:t>13</w:t>
      </w:r>
      <w:r>
        <w:rPr>
          <w:rFonts w:ascii="Times New Roman" w:hAnsi="Times New Roman"/>
          <w:color w:val="000000"/>
          <w:sz w:val="18"/>
        </w:rPr>
        <w:t xml:space="preserve"> </w:t>
      </w:r>
      <w:r>
        <w:rPr>
          <w:rFonts w:ascii="Times New Roman" w:hAnsi="Times New Roman"/>
          <w:b/>
          <w:color w:val="000000"/>
          <w:sz w:val="18"/>
        </w:rPr>
        <w:t>or</w:t>
      </w:r>
      <w:r>
        <w:rPr>
          <w:rFonts w:ascii="Times New Roman" w:hAnsi="Times New Roman"/>
          <w:color w:val="000000"/>
          <w:sz w:val="18"/>
        </w:rPr>
        <w:t xml:space="preserve"> </w:t>
      </w:r>
      <w:r>
        <w:rPr>
          <w:rFonts w:ascii="Times New Roman" w:hAnsi="Times New Roman"/>
          <w:b/>
          <w:color w:val="000000"/>
          <w:sz w:val="18"/>
        </w:rPr>
        <w:t>15(d)</w:t>
      </w:r>
      <w:r>
        <w:rPr>
          <w:rFonts w:ascii="Times New Roman" w:hAnsi="Times New Roman"/>
          <w:color w:val="000000"/>
          <w:sz w:val="18"/>
        </w:rPr>
        <w:t xml:space="preserve"> </w:t>
      </w:r>
      <w:r>
        <w:rPr>
          <w:rFonts w:ascii="Times New Roman" w:hAnsi="Times New Roman"/>
          <w:b/>
          <w:color w:val="000000"/>
          <w:sz w:val="18"/>
        </w:rPr>
        <w:t>of</w:t>
      </w:r>
      <w:r>
        <w:rPr>
          <w:rFonts w:ascii="Times New Roman" w:hAnsi="Times New Roman"/>
          <w:color w:val="000000"/>
          <w:sz w:val="18"/>
        </w:rPr>
        <w:t xml:space="preserve"> </w:t>
      </w:r>
      <w:r>
        <w:rPr>
          <w:rFonts w:ascii="Times New Roman" w:hAnsi="Times New Roman"/>
          <w:b/>
          <w:color w:val="000000"/>
          <w:sz w:val="18"/>
        </w:rPr>
        <w:t>the</w:t>
      </w:r>
      <w:r>
        <w:rPr>
          <w:rFonts w:ascii="Times New Roman" w:hAnsi="Times New Roman"/>
          <w:color w:val="000000"/>
          <w:sz w:val="18"/>
        </w:rPr>
        <w:t xml:space="preserve"> </w:t>
      </w:r>
      <w:r>
        <w:rPr>
          <w:rFonts w:ascii="Times New Roman" w:hAnsi="Times New Roman"/>
          <w:b/>
          <w:color w:val="000000"/>
          <w:sz w:val="18"/>
        </w:rPr>
        <w:t>Securities</w:t>
      </w:r>
      <w:r>
        <w:rPr>
          <w:rFonts w:ascii="Times New Roman" w:hAnsi="Times New Roman"/>
          <w:color w:val="000000"/>
          <w:sz w:val="18"/>
        </w:rPr>
        <w:t xml:space="preserve"> </w:t>
      </w:r>
      <w:r>
        <w:rPr>
          <w:rFonts w:ascii="Times New Roman" w:hAnsi="Times New Roman"/>
          <w:b/>
          <w:color w:val="000000"/>
          <w:sz w:val="18"/>
        </w:rPr>
        <w:t>Exchange</w:t>
      </w:r>
      <w:r>
        <w:rPr>
          <w:rFonts w:ascii="Times New Roman" w:hAnsi="Times New Roman"/>
          <w:color w:val="000000"/>
          <w:sz w:val="18"/>
        </w:rPr>
        <w:t xml:space="preserve"> </w:t>
      </w:r>
      <w:r>
        <w:rPr>
          <w:rFonts w:ascii="Times New Roman" w:hAnsi="Times New Roman"/>
          <w:b/>
          <w:color w:val="000000"/>
          <w:sz w:val="18"/>
        </w:rPr>
        <w:t>Act</w:t>
      </w:r>
      <w:r>
        <w:rPr>
          <w:rFonts w:ascii="Times New Roman" w:hAnsi="Times New Roman"/>
          <w:color w:val="000000"/>
          <w:sz w:val="18"/>
        </w:rPr>
        <w:t xml:space="preserve"> </w:t>
      </w:r>
      <w:r>
        <w:rPr>
          <w:rFonts w:ascii="Times New Roman" w:hAnsi="Times New Roman"/>
          <w:b/>
          <w:color w:val="000000"/>
          <w:sz w:val="18"/>
        </w:rPr>
        <w:t>of</w:t>
      </w:r>
      <w:r>
        <w:rPr>
          <w:rFonts w:ascii="Times New Roman" w:hAnsi="Times New Roman"/>
          <w:color w:val="000000"/>
          <w:sz w:val="18"/>
        </w:rPr>
        <w:t xml:space="preserve"> </w:t>
      </w:r>
      <w:r>
        <w:rPr>
          <w:rFonts w:ascii="Times New Roman" w:hAnsi="Times New Roman"/>
          <w:b/>
          <w:color w:val="000000"/>
          <w:sz w:val="18"/>
        </w:rPr>
        <w:t>1934</w:t>
      </w:r>
    </w:p>
    <w:p>
      <w:pPr>
        <w:pStyle w:val="TextBody"/>
        <w:bidi w:val="0"/>
        <w:spacing w:before="200" w:after="283"/>
        <w:jc w:val="center"/>
        <w:rPr>
          <w:rFonts w:ascii="Times New Roman" w:hAnsi="Times New Roman"/>
          <w:sz w:val="18"/>
        </w:rPr>
      </w:pPr>
      <w:bookmarkStart w:id="5" w:name="date_of_report__date_of_earliest_event_r"/>
      <w:bookmarkEnd w:id="5"/>
      <w:r>
        <w:rPr>
          <w:rFonts w:ascii="Times New Roman" w:hAnsi="Times New Roman"/>
          <w:b/>
          <w:color w:val="000000"/>
          <w:sz w:val="18"/>
        </w:rPr>
        <w:t>Date</w:t>
      </w:r>
      <w:r>
        <w:rPr>
          <w:rFonts w:ascii="Times New Roman" w:hAnsi="Times New Roman"/>
          <w:color w:val="000000"/>
          <w:sz w:val="18"/>
        </w:rPr>
        <w:t xml:space="preserve"> </w:t>
      </w:r>
      <w:r>
        <w:rPr>
          <w:rFonts w:ascii="Times New Roman" w:hAnsi="Times New Roman"/>
          <w:b/>
          <w:color w:val="000000"/>
          <w:sz w:val="18"/>
        </w:rPr>
        <w:t>of</w:t>
      </w:r>
      <w:r>
        <w:rPr>
          <w:rFonts w:ascii="Times New Roman" w:hAnsi="Times New Roman"/>
          <w:color w:val="000000"/>
          <w:sz w:val="18"/>
        </w:rPr>
        <w:t xml:space="preserve"> </w:t>
      </w:r>
      <w:r>
        <w:rPr>
          <w:rFonts w:ascii="Times New Roman" w:hAnsi="Times New Roman"/>
          <w:b/>
          <w:color w:val="000000"/>
          <w:sz w:val="18"/>
        </w:rPr>
        <w:t>Report</w:t>
      </w:r>
      <w:r>
        <w:rPr>
          <w:rFonts w:ascii="Times New Roman" w:hAnsi="Times New Roman"/>
          <w:color w:val="000000"/>
          <w:sz w:val="18"/>
        </w:rPr>
        <w:t xml:space="preserve"> </w:t>
      </w:r>
      <w:r>
        <w:rPr>
          <w:rFonts w:ascii="Times New Roman" w:hAnsi="Times New Roman"/>
          <w:b/>
          <w:color w:val="000000"/>
          <w:sz w:val="18"/>
        </w:rPr>
        <w:t>(Date</w:t>
      </w:r>
      <w:r>
        <w:rPr>
          <w:rFonts w:ascii="Times New Roman" w:hAnsi="Times New Roman"/>
          <w:color w:val="000000"/>
          <w:sz w:val="18"/>
        </w:rPr>
        <w:t xml:space="preserve"> </w:t>
      </w:r>
      <w:r>
        <w:rPr>
          <w:rFonts w:ascii="Times New Roman" w:hAnsi="Times New Roman"/>
          <w:b/>
          <w:color w:val="000000"/>
          <w:sz w:val="18"/>
        </w:rPr>
        <w:t>of</w:t>
      </w:r>
      <w:r>
        <w:rPr>
          <w:rFonts w:ascii="Times New Roman" w:hAnsi="Times New Roman"/>
          <w:color w:val="000000"/>
          <w:sz w:val="18"/>
        </w:rPr>
        <w:t xml:space="preserve"> </w:t>
      </w:r>
      <w:r>
        <w:rPr>
          <w:rFonts w:ascii="Times New Roman" w:hAnsi="Times New Roman"/>
          <w:b/>
          <w:color w:val="000000"/>
          <w:sz w:val="18"/>
        </w:rPr>
        <w:t>earliest</w:t>
      </w:r>
      <w:r>
        <w:rPr>
          <w:rFonts w:ascii="Times New Roman" w:hAnsi="Times New Roman"/>
          <w:color w:val="000000"/>
          <w:sz w:val="18"/>
        </w:rPr>
        <w:t xml:space="preserve"> </w:t>
      </w:r>
      <w:r>
        <w:rPr>
          <w:rFonts w:ascii="Times New Roman" w:hAnsi="Times New Roman"/>
          <w:b/>
          <w:color w:val="000000"/>
          <w:sz w:val="18"/>
        </w:rPr>
        <w:t>event</w:t>
      </w:r>
      <w:r>
        <w:rPr>
          <w:rFonts w:ascii="Times New Roman" w:hAnsi="Times New Roman"/>
          <w:color w:val="000000"/>
          <w:sz w:val="18"/>
        </w:rPr>
        <w:t xml:space="preserve"> </w:t>
      </w:r>
      <w:r>
        <w:rPr>
          <w:rFonts w:ascii="Times New Roman" w:hAnsi="Times New Roman"/>
          <w:b/>
          <w:color w:val="000000"/>
          <w:sz w:val="18"/>
        </w:rPr>
        <w:t>reported):</w:t>
      </w:r>
      <w:r>
        <w:rPr>
          <w:rFonts w:ascii="Times New Roman" w:hAnsi="Times New Roman"/>
          <w:color w:val="000000"/>
          <w:sz w:val="18"/>
        </w:rPr>
        <w:t xml:space="preserve"> </w:t>
      </w:r>
      <w:r>
        <w:rPr>
          <w:rFonts w:ascii="Times New Roman" w:hAnsi="Times New Roman"/>
          <w:b/>
          <w:color w:val="000000"/>
          <w:sz w:val="18"/>
        </w:rPr>
        <w:t>October 1,</w:t>
      </w:r>
      <w:r>
        <w:rPr>
          <w:rFonts w:ascii="Times New Roman" w:hAnsi="Times New Roman"/>
          <w:color w:val="000000"/>
          <w:sz w:val="18"/>
        </w:rPr>
        <w:t xml:space="preserve"> </w:t>
      </w:r>
      <w:r>
        <w:rPr>
          <w:rFonts w:ascii="Times New Roman" w:hAnsi="Times New Roman"/>
          <w:b/>
          <w:color w:val="000000"/>
          <w:sz w:val="18"/>
        </w:rPr>
        <w:t>2026</w:t>
      </w:r>
    </w:p>
    <w:p>
      <w:pPr>
        <w:pStyle w:val="TextBody"/>
        <w:bidi w:val="0"/>
        <w:spacing w:before="240" w:after="283"/>
        <w:jc w:val="center"/>
        <w:rPr>
          <w:rFonts w:ascii="Times New Roman" w:hAnsi="Times New Roman"/>
          <w:sz w:val="40"/>
        </w:rPr>
      </w:pPr>
      <w:r>
        <w:rPr>
          <w:rFonts w:ascii="Times New Roman" w:hAnsi="Times New Roman"/>
          <w:b/>
          <w:color w:val="000000"/>
          <w:sz w:val="40"/>
        </w:rPr>
        <w:t>Corteva,</w:t>
      </w:r>
      <w:r>
        <w:rPr>
          <w:rFonts w:ascii="Times New Roman" w:hAnsi="Times New Roman"/>
          <w:color w:val="000000"/>
          <w:sz w:val="40"/>
        </w:rPr>
        <w:t xml:space="preserve"> </w:t>
      </w:r>
      <w:r>
        <w:rPr>
          <w:rFonts w:ascii="Times New Roman" w:hAnsi="Times New Roman"/>
          <w:b/>
          <w:color w:val="000000"/>
          <w:sz w:val="40"/>
        </w:rPr>
        <w:t>Inc.</w:t>
      </w:r>
    </w:p>
    <w:p>
      <w:pPr>
        <w:pStyle w:val="TextBody"/>
        <w:bidi w:val="0"/>
        <w:jc w:val="center"/>
        <w:rPr>
          <w:rFonts w:ascii="Times New Roman" w:hAnsi="Times New Roman"/>
          <w:b/>
          <w:color w:val="000000"/>
          <w:sz w:val="40"/>
        </w:rPr>
      </w:pPr>
      <w:r>
        <w:rPr>
          <w:rFonts w:ascii="Times New Roman" w:hAnsi="Times New Roman"/>
          <w:b/>
          <w:color w:val="000000"/>
          <w:sz w:val="40"/>
        </w:rPr>
        <w:t>EIDP, Inc.</w:t>
      </w:r>
    </w:p>
    <w:p>
      <w:pPr>
        <w:pStyle w:val="TextBody"/>
        <w:bidi w:val="0"/>
        <w:spacing w:before="17" w:after="283"/>
        <w:jc w:val="center"/>
        <w:rPr>
          <w:rFonts w:ascii="Times New Roman" w:hAnsi="Times New Roman"/>
          <w:sz w:val="18"/>
        </w:rPr>
      </w:pPr>
      <w:r>
        <w:rPr>
          <w:rFonts w:ascii="Times New Roman" w:hAnsi="Times New Roman"/>
          <w:b/>
          <w:color w:val="000000"/>
          <w:sz w:val="18"/>
        </w:rPr>
        <w:t>(Exact</w:t>
      </w:r>
      <w:r>
        <w:rPr>
          <w:rFonts w:ascii="Times New Roman" w:hAnsi="Times New Roman"/>
          <w:color w:val="000000"/>
          <w:sz w:val="18"/>
        </w:rPr>
        <w:t xml:space="preserve"> </w:t>
      </w:r>
      <w:r>
        <w:rPr>
          <w:rFonts w:ascii="Times New Roman" w:hAnsi="Times New Roman"/>
          <w:b/>
          <w:color w:val="000000"/>
          <w:sz w:val="18"/>
        </w:rPr>
        <w:t>Name</w:t>
      </w:r>
      <w:r>
        <w:rPr>
          <w:rFonts w:ascii="Times New Roman" w:hAnsi="Times New Roman"/>
          <w:color w:val="000000"/>
          <w:sz w:val="18"/>
        </w:rPr>
        <w:t xml:space="preserve"> </w:t>
      </w:r>
      <w:r>
        <w:rPr>
          <w:rFonts w:ascii="Times New Roman" w:hAnsi="Times New Roman"/>
          <w:b/>
          <w:color w:val="000000"/>
          <w:sz w:val="18"/>
        </w:rPr>
        <w:t>of</w:t>
      </w:r>
      <w:r>
        <w:rPr>
          <w:rFonts w:ascii="Times New Roman" w:hAnsi="Times New Roman"/>
          <w:color w:val="000000"/>
          <w:sz w:val="18"/>
        </w:rPr>
        <w:t xml:space="preserve"> </w:t>
      </w:r>
      <w:r>
        <w:rPr>
          <w:rFonts w:ascii="Times New Roman" w:hAnsi="Times New Roman"/>
          <w:b/>
          <w:color w:val="000000"/>
          <w:sz w:val="18"/>
        </w:rPr>
        <w:t>Registrant</w:t>
      </w:r>
      <w:r>
        <w:rPr>
          <w:rFonts w:ascii="Times New Roman" w:hAnsi="Times New Roman"/>
          <w:color w:val="000000"/>
          <w:sz w:val="18"/>
        </w:rPr>
        <w:t xml:space="preserve"> </w:t>
      </w:r>
      <w:r>
        <w:rPr>
          <w:rFonts w:ascii="Times New Roman" w:hAnsi="Times New Roman"/>
          <w:b/>
          <w:color w:val="000000"/>
          <w:sz w:val="18"/>
        </w:rPr>
        <w:t>as</w:t>
      </w:r>
      <w:r>
        <w:rPr>
          <w:rFonts w:ascii="Times New Roman" w:hAnsi="Times New Roman"/>
          <w:color w:val="000000"/>
          <w:sz w:val="18"/>
        </w:rPr>
        <w:t xml:space="preserve"> </w:t>
      </w:r>
      <w:r>
        <w:rPr>
          <w:rFonts w:ascii="Times New Roman" w:hAnsi="Times New Roman"/>
          <w:b/>
          <w:color w:val="000000"/>
          <w:sz w:val="18"/>
        </w:rPr>
        <w:t>Specified</w:t>
      </w:r>
      <w:r>
        <w:rPr>
          <w:rFonts w:ascii="Times New Roman" w:hAnsi="Times New Roman"/>
          <w:color w:val="000000"/>
          <w:sz w:val="18"/>
        </w:rPr>
        <w:t xml:space="preserve"> </w:t>
      </w:r>
      <w:r>
        <w:rPr>
          <w:rFonts w:ascii="Times New Roman" w:hAnsi="Times New Roman"/>
          <w:b/>
          <w:color w:val="000000"/>
          <w:sz w:val="18"/>
        </w:rPr>
        <w:t>in</w:t>
      </w:r>
      <w:r>
        <w:rPr>
          <w:rFonts w:ascii="Times New Roman" w:hAnsi="Times New Roman"/>
          <w:color w:val="000000"/>
          <w:sz w:val="18"/>
        </w:rPr>
        <w:t xml:space="preserve"> </w:t>
      </w:r>
      <w:r>
        <w:rPr>
          <w:rFonts w:ascii="Times New Roman" w:hAnsi="Times New Roman"/>
          <w:b/>
          <w:color w:val="000000"/>
          <w:sz w:val="18"/>
        </w:rPr>
        <w:t>Charter)</w:t>
      </w:r>
    </w:p>
    <w:p>
      <w:pPr>
        <w:pStyle w:val="TextBody"/>
        <w:bidi w:val="0"/>
        <w:jc w:val="left"/>
        <w:rPr/>
      </w:pPr>
      <w:r>
        <w:rPr/>
        <w:t> </w:t>
      </w:r>
    </w:p>
    <w:tbl>
      <w:tblPr>
        <w:tblW w:w="4743" w:type="dxa"/>
        <w:jc w:val="left"/>
        <w:tblInd w:w="0" w:type="dxa"/>
        <w:tblLayout w:type="fixed"/>
        <w:tblCellMar>
          <w:top w:w="28" w:type="dxa"/>
          <w:left w:w="28" w:type="dxa"/>
          <w:bottom w:w="28" w:type="dxa"/>
          <w:right w:w="28" w:type="dxa"/>
        </w:tblCellMar>
      </w:tblPr>
      <w:tblGrid>
        <w:gridCol w:w="1216"/>
        <w:gridCol w:w="2071"/>
        <w:gridCol w:w="1456"/>
      </w:tblGrid>
      <w:tr>
        <w:trPr/>
        <w:tc>
          <w:tcPr>
            <w:tcW w:w="121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001-38710</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82-4979096</w:t>
            </w:r>
          </w:p>
        </w:tc>
      </w:tr>
      <w:tr>
        <w:trPr/>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001-00815</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51-0014090</w:t>
            </w:r>
          </w:p>
        </w:tc>
      </w:tr>
      <w:tr>
        <w:trPr/>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(State or Other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(Commission File Number)</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w:t>
            </w:r>
          </w:p>
        </w:tc>
      </w:tr>
      <w:tr>
        <w:trPr/>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Jurisdiction of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Identification No.)</w:t>
            </w:r>
          </w:p>
        </w:tc>
      </w:tr>
      <w:tr>
        <w:trPr/>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Incorporation)</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7" w:after="283"/>
        <w:jc w:val="left"/>
        <w:rPr/>
      </w:pPr>
      <w:r>
        <w:rPr/>
        <w:t> </w:t>
      </w:r>
    </w:p>
    <w:tbl>
      <w:tblPr>
        <w:tblW w:w="5899" w:type="dxa"/>
        <w:jc w:val="left"/>
        <w:tblInd w:w="0" w:type="dxa"/>
        <w:tblLayout w:type="fixed"/>
        <w:tblCellMar>
          <w:top w:w="28" w:type="dxa"/>
          <w:left w:w="28" w:type="dxa"/>
          <w:bottom w:w="28" w:type="dxa"/>
          <w:right w:w="28" w:type="dxa"/>
        </w:tblCellMar>
      </w:tblPr>
      <w:tblGrid>
        <w:gridCol w:w="4246"/>
        <w:gridCol w:w="886"/>
        <w:gridCol w:w="767"/>
      </w:tblGrid>
      <w:tr>
        <w:trPr/>
        <w:tc>
          <w:tcPr>
            <w:tcW w:w="42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9330 Zionsville Road, Indianapolis,</w:t>
            </w:r>
            <w:r>
              <w:rPr>
                <w:rFonts w:ascii="Times New Roman" w:hAnsi="Times New Roman"/>
                <w:color w:val="000000"/>
                <w:sz w:val="18"/>
              </w:rPr>
              <w:t xml:space="preserve"> </w:t>
            </w:r>
            <w:r>
              <w:rPr>
                <w:rFonts w:ascii="Times New Roman" w:hAnsi="Times New Roman"/>
                <w:b/>
                <w:color w:val="000000"/>
                <w:sz w:val="18"/>
              </w:rPr>
              <w:t>Indiana</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46268</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1000 N. West Street, Suite 800, Wilmington, Delaware</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19801</w:t>
            </w:r>
          </w:p>
        </w:tc>
        <w:tc>
          <w:tcPr>
            <w:tcW w:w="767" w:type="dxa"/>
            <w:tcBorders/>
            <w:tcMar>
              <w:top w:w="0" w:type="dxa"/>
              <w:left w:w="0" w:type="dxa"/>
              <w:bottom w:w="0" w:type="dxa"/>
              <w:right w:w="0" w:type="dxa"/>
            </w:tcMar>
            <w:vAlign w:val="center"/>
          </w:tcPr>
          <w:p>
            <w:pPr>
              <w:pStyle w:val="TableContents"/>
              <w:bidi w:val="0"/>
              <w:spacing w:before="0" w:after="283"/>
              <w:ind w:left="0" w:right="0" w:firstLine="576"/>
              <w:jc w:val="left"/>
              <w:rPr/>
            </w:pPr>
            <w:r>
              <w:rPr/>
              <w:t> </w:t>
            </w:r>
          </w:p>
        </w:tc>
      </w:tr>
      <w:tr>
        <w:trPr/>
        <w:tc>
          <w:tcPr>
            <w:tcW w:w="4246" w:type="dxa"/>
            <w:tcBorders/>
            <w:tcMar>
              <w:top w:w="0" w:type="dxa"/>
              <w:left w:w="0" w:type="dxa"/>
              <w:bottom w:w="0" w:type="dxa"/>
              <w:right w:w="0" w:type="dxa"/>
            </w:tcMar>
            <w:vAlign w:val="center"/>
          </w:tcPr>
          <w:p>
            <w:pPr>
              <w:pStyle w:val="TableContents"/>
              <w:bidi w:val="0"/>
              <w:spacing w:before="0" w:after="283"/>
              <w:ind w:left="0" w:right="0" w:firstLine="576"/>
              <w:jc w:val="left"/>
              <w:rPr>
                <w:rFonts w:ascii="Times New Roman" w:hAnsi="Times New Roman"/>
                <w:color w:val="000000"/>
                <w:sz w:val="18"/>
              </w:rPr>
            </w:pPr>
            <w:r>
              <w:rPr>
                <w:rFonts w:ascii="Times New Roman" w:hAnsi="Times New Roman"/>
                <w:color w:val="000000"/>
                <w:sz w:val="18"/>
              </w:rPr>
              <w:t>(Address of Principal Executive Offices)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(Zip Code)</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7" w:after="283"/>
        <w:jc w:val="left"/>
        <w:rPr/>
      </w:pPr>
      <w:r>
        <w:rPr/>
        <w:t> </w:t>
      </w:r>
    </w:p>
    <w:p>
      <w:pPr>
        <w:pStyle w:val="TextBody"/>
        <w:bidi w:val="0"/>
        <w:jc w:val="center"/>
        <w:rPr>
          <w:rFonts w:ascii="Times New Roman" w:hAnsi="Times New Roman"/>
          <w:sz w:val="18"/>
        </w:rPr>
      </w:pPr>
      <w:r>
        <w:rPr>
          <w:rFonts w:ascii="Times New Roman" w:hAnsi="Times New Roman"/>
          <w:color w:val="000000"/>
          <w:sz w:val="18"/>
        </w:rPr>
        <w:t xml:space="preserve">Registrant’s Telephone Number, including area code: </w:t>
      </w:r>
      <w:r>
        <w:rPr>
          <w:rFonts w:ascii="Times New Roman" w:hAnsi="Times New Roman"/>
          <w:b/>
          <w:color w:val="000000"/>
          <w:sz w:val="18"/>
        </w:rPr>
        <w:t>(833)</w:t>
      </w:r>
      <w:r>
        <w:rPr>
          <w:rFonts w:ascii="Times New Roman" w:hAnsi="Times New Roman"/>
          <w:color w:val="000000"/>
          <w:sz w:val="18"/>
        </w:rPr>
        <w:t xml:space="preserve"> </w:t>
      </w:r>
      <w:r>
        <w:rPr>
          <w:rFonts w:ascii="Times New Roman" w:hAnsi="Times New Roman"/>
          <w:b/>
          <w:color w:val="000000"/>
          <w:sz w:val="18"/>
        </w:rPr>
        <w:t>267-8382</w:t>
      </w:r>
    </w:p>
    <w:p>
      <w:pPr>
        <w:pStyle w:val="TextBody"/>
        <w:pBdr>
          <w:bottom w:val="single" w:sz="6" w:space="1" w:color="000000"/>
        </w:pBdr>
        <w:bidi w:val="0"/>
        <w:jc w:val="center"/>
        <w:rPr/>
      </w:pPr>
      <w:r>
        <w:rPr/>
        <w:t> </w:t>
      </w:r>
    </w:p>
    <w:p>
      <w:pPr>
        <w:pStyle w:val="TextBody"/>
        <w:bidi w:val="0"/>
        <w:spacing w:before="40" w:after="283"/>
        <w:jc w:val="center"/>
        <w:rPr>
          <w:rFonts w:ascii="Times New Roman" w:hAnsi="Times New Roman"/>
          <w:color w:val="000000"/>
          <w:sz w:val="18"/>
        </w:rPr>
      </w:pPr>
      <w:r>
        <w:rPr>
          <w:rFonts w:ascii="Times New Roman" w:hAnsi="Times New Roman"/>
          <w:color w:val="000000"/>
          <w:sz w:val="18"/>
        </w:rPr>
        <w:t>(Former Name or Former Address, if Changed Since Last Report)</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p>
    <w:p>
      <w:pPr>
        <w:pStyle w:val="TextBody"/>
        <w:bidi w:val="0"/>
        <w:spacing w:before="17" w:after="283"/>
        <w:jc w:val="left"/>
        <w:rPr/>
      </w:pPr>
      <w:r>
        <w:rPr/>
        <w:t> </w:t>
      </w:r>
    </w:p>
    <w:tbl>
      <w:tblPr>
        <w:tblW w:w="8432" w:type="dxa"/>
        <w:jc w:val="left"/>
        <w:tblInd w:w="0" w:type="dxa"/>
        <w:tblLayout w:type="fixed"/>
        <w:tblCellMar>
          <w:top w:w="28" w:type="dxa"/>
          <w:left w:w="28" w:type="dxa"/>
          <w:bottom w:w="28" w:type="dxa"/>
          <w:right w:w="28" w:type="dxa"/>
        </w:tblCellMar>
      </w:tblPr>
      <w:tblGrid>
        <w:gridCol w:w="331"/>
        <w:gridCol w:w="8101"/>
      </w:tblGrid>
      <w:tr>
        <w:trPr/>
        <w:tc>
          <w:tcPr>
            <w:tcW w:w="331"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13e-4(c) under the Exchange Act (17 CFR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240.13e-4(c)) Securities registered pursuant to Section 12(b) of the Act:</w:t>
      </w:r>
    </w:p>
    <w:p>
      <w:pPr>
        <w:pStyle w:val="TextBody"/>
        <w:bidi w:val="0"/>
        <w:jc w:val="left"/>
        <w:rPr/>
      </w:pPr>
      <w:r>
        <w:rPr/>
        <w:t> </w:t>
      </w:r>
    </w:p>
    <w:tbl>
      <w:tblPr>
        <w:tblW w:w="8902" w:type="dxa"/>
        <w:jc w:val="left"/>
        <w:tblInd w:w="0" w:type="dxa"/>
        <w:tblLayout w:type="fixed"/>
        <w:tblCellMar>
          <w:top w:w="28" w:type="dxa"/>
          <w:left w:w="28" w:type="dxa"/>
          <w:bottom w:w="28" w:type="dxa"/>
          <w:right w:w="28" w:type="dxa"/>
        </w:tblCellMar>
      </w:tblPr>
      <w:tblGrid>
        <w:gridCol w:w="1142"/>
        <w:gridCol w:w="2506"/>
        <w:gridCol w:w="1667"/>
        <w:gridCol w:w="3587"/>
      </w:tblGrid>
      <w:tr>
        <w:trPr/>
        <w:tc>
          <w:tcPr>
            <w:tcW w:w="114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3587" w:type="dxa"/>
            <w:tcBorders/>
            <w:vAlign w:val="center"/>
          </w:tcPr>
          <w:p>
            <w:pPr>
              <w:pStyle w:val="TableContents"/>
              <w:bidi w:val="0"/>
              <w:spacing w:before="0" w:after="283"/>
              <w:ind w:left="0" w:right="0" w:firstLine="106"/>
              <w:jc w:val="left"/>
              <w:rPr>
                <w:sz w:val="4"/>
                <w:szCs w:val="4"/>
              </w:rPr>
            </w:pPr>
            <w:r>
              <w:rPr>
                <w:sz w:val="4"/>
                <w:szCs w:val="4"/>
              </w:rPr>
            </w:r>
          </w:p>
        </w:tc>
      </w:tr>
      <w:tr>
        <w:trPr/>
        <w:tc>
          <w:tcPr>
            <w:tcW w:w="1142"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40" w:after="40"/>
              <w:ind w:left="0" w:right="0" w:firstLine="106"/>
              <w:jc w:val="center"/>
              <w:rPr>
                <w:rFonts w:ascii="Times New Roman" w:hAnsi="Times New Roman"/>
                <w:b/>
                <w:color w:val="000000"/>
                <w:sz w:val="18"/>
              </w:rPr>
            </w:pPr>
            <w:r>
              <w:rPr>
                <w:rFonts w:ascii="Times New Roman" w:hAnsi="Times New Roman"/>
                <w:b/>
                <w:color w:val="000000"/>
                <w:sz w:val="18"/>
              </w:rPr>
              <w:t>Registrant</w:t>
            </w:r>
          </w:p>
        </w:tc>
        <w:tc>
          <w:tcPr>
            <w:tcW w:w="250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40" w:after="40"/>
              <w:ind w:left="0" w:right="0" w:firstLine="105"/>
              <w:jc w:val="center"/>
              <w:rPr>
                <w:rFonts w:ascii="Times New Roman" w:hAnsi="Times New Roman"/>
                <w:sz w:val="18"/>
              </w:rPr>
            </w:pPr>
            <w:r>
              <w:rPr>
                <w:rFonts w:ascii="Times New Roman" w:hAnsi="Times New Roman"/>
                <w:b/>
                <w:color w:val="000000"/>
                <w:sz w:val="18"/>
              </w:rPr>
              <w:t>Title</w:t>
            </w:r>
            <w:r>
              <w:rPr>
                <w:rFonts w:ascii="Times New Roman" w:hAnsi="Times New Roman"/>
                <w:color w:val="000000"/>
                <w:sz w:val="18"/>
              </w:rPr>
              <w:t xml:space="preserve"> </w:t>
            </w:r>
            <w:r>
              <w:rPr>
                <w:rFonts w:ascii="Times New Roman" w:hAnsi="Times New Roman"/>
                <w:b/>
                <w:color w:val="000000"/>
                <w:sz w:val="18"/>
              </w:rPr>
              <w:t>of</w:t>
            </w:r>
            <w:r>
              <w:rPr>
                <w:rFonts w:ascii="Times New Roman" w:hAnsi="Times New Roman"/>
                <w:color w:val="000000"/>
                <w:sz w:val="18"/>
              </w:rPr>
              <w:t xml:space="preserve"> </w:t>
            </w:r>
            <w:r>
              <w:rPr>
                <w:rFonts w:ascii="Times New Roman" w:hAnsi="Times New Roman"/>
                <w:b/>
                <w:color w:val="000000"/>
                <w:sz w:val="18"/>
              </w:rPr>
              <w:t>each</w:t>
            </w:r>
            <w:r>
              <w:rPr>
                <w:rFonts w:ascii="Times New Roman" w:hAnsi="Times New Roman"/>
                <w:color w:val="000000"/>
                <w:sz w:val="18"/>
              </w:rPr>
              <w:t xml:space="preserve"> </w:t>
            </w:r>
            <w:r>
              <w:rPr>
                <w:rFonts w:ascii="Times New Roman" w:hAnsi="Times New Roman"/>
                <w:b/>
                <w:color w:val="000000"/>
                <w:sz w:val="18"/>
              </w:rPr>
              <w:t>class</w:t>
            </w:r>
          </w:p>
        </w:tc>
        <w:tc>
          <w:tcPr>
            <w:tcW w:w="1667"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40" w:after="40"/>
              <w:ind w:left="0" w:right="0" w:firstLine="106"/>
              <w:jc w:val="center"/>
              <w:rPr>
                <w:rFonts w:ascii="Times New Roman" w:hAnsi="Times New Roman"/>
                <w:sz w:val="18"/>
              </w:rPr>
            </w:pPr>
            <w:r>
              <w:rPr>
                <w:rFonts w:ascii="Times New Roman" w:hAnsi="Times New Roman"/>
                <w:b/>
                <w:color w:val="000000"/>
                <w:sz w:val="18"/>
              </w:rPr>
              <w:t>Trading</w:t>
            </w:r>
            <w:r>
              <w:rPr>
                <w:rFonts w:ascii="Times New Roman" w:hAnsi="Times New Roman"/>
                <w:color w:val="000000"/>
                <w:sz w:val="18"/>
              </w:rPr>
              <w:t xml:space="preserve"> </w:t>
            </w:r>
            <w:r>
              <w:rPr>
                <w:rFonts w:ascii="Times New Roman" w:hAnsi="Times New Roman"/>
                <w:b/>
                <w:color w:val="000000"/>
                <w:sz w:val="18"/>
              </w:rPr>
              <w:t>Symbol(s)</w:t>
            </w:r>
          </w:p>
        </w:tc>
        <w:tc>
          <w:tcPr>
            <w:tcW w:w="3587"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40" w:after="40"/>
              <w:ind w:left="0" w:right="0" w:firstLine="106"/>
              <w:jc w:val="center"/>
              <w:rPr>
                <w:rFonts w:ascii="Times New Roman" w:hAnsi="Times New Roman"/>
                <w:sz w:val="18"/>
              </w:rPr>
            </w:pPr>
            <w:r>
              <w:rPr>
                <w:rFonts w:ascii="Times New Roman" w:hAnsi="Times New Roman"/>
                <w:b/>
                <w:color w:val="000000"/>
                <w:sz w:val="18"/>
              </w:rPr>
              <w:t>Name</w:t>
            </w:r>
            <w:r>
              <w:rPr>
                <w:rFonts w:ascii="Times New Roman" w:hAnsi="Times New Roman"/>
                <w:color w:val="000000"/>
                <w:sz w:val="18"/>
              </w:rPr>
              <w:t xml:space="preserve"> </w:t>
            </w:r>
            <w:r>
              <w:rPr>
                <w:rFonts w:ascii="Times New Roman" w:hAnsi="Times New Roman"/>
                <w:b/>
                <w:color w:val="000000"/>
                <w:sz w:val="18"/>
              </w:rPr>
              <w:t>of</w:t>
            </w:r>
            <w:r>
              <w:rPr>
                <w:rFonts w:ascii="Times New Roman" w:hAnsi="Times New Roman"/>
                <w:color w:val="000000"/>
                <w:sz w:val="18"/>
              </w:rPr>
              <w:t xml:space="preserve"> </w:t>
            </w:r>
            <w:r>
              <w:rPr>
                <w:rFonts w:ascii="Times New Roman" w:hAnsi="Times New Roman"/>
                <w:b/>
                <w:color w:val="000000"/>
                <w:sz w:val="18"/>
              </w:rPr>
              <w:t>each</w:t>
            </w:r>
            <w:r>
              <w:rPr>
                <w:rFonts w:ascii="Times New Roman" w:hAnsi="Times New Roman"/>
                <w:color w:val="000000"/>
                <w:sz w:val="18"/>
              </w:rPr>
              <w:t xml:space="preserve"> </w:t>
            </w:r>
            <w:r>
              <w:rPr>
                <w:rFonts w:ascii="Times New Roman" w:hAnsi="Times New Roman"/>
                <w:b/>
                <w:color w:val="000000"/>
                <w:sz w:val="18"/>
              </w:rPr>
              <w:t>exchange</w:t>
            </w:r>
            <w:r>
              <w:rPr>
                <w:rFonts w:ascii="Times New Roman" w:hAnsi="Times New Roman"/>
                <w:color w:val="000000"/>
                <w:sz w:val="18"/>
              </w:rPr>
              <w:t xml:space="preserve"> </w:t>
            </w:r>
            <w:r>
              <w:rPr>
                <w:rFonts w:ascii="Times New Roman" w:hAnsi="Times New Roman"/>
                <w:b/>
                <w:color w:val="000000"/>
                <w:sz w:val="18"/>
              </w:rPr>
              <w:t>on</w:t>
            </w:r>
            <w:r>
              <w:rPr>
                <w:rFonts w:ascii="Times New Roman" w:hAnsi="Times New Roman"/>
                <w:color w:val="000000"/>
                <w:sz w:val="18"/>
              </w:rPr>
              <w:t xml:space="preserve"> </w:t>
            </w:r>
            <w:r>
              <w:rPr>
                <w:rFonts w:ascii="Times New Roman" w:hAnsi="Times New Roman"/>
                <w:b/>
                <w:color w:val="000000"/>
                <w:sz w:val="18"/>
              </w:rPr>
              <w:t>which</w:t>
            </w:r>
            <w:r>
              <w:rPr>
                <w:rFonts w:ascii="Times New Roman" w:hAnsi="Times New Roman"/>
                <w:color w:val="000000"/>
                <w:sz w:val="18"/>
              </w:rPr>
              <w:t xml:space="preserve"> </w:t>
            </w:r>
            <w:r>
              <w:rPr>
                <w:rFonts w:ascii="Times New Roman" w:hAnsi="Times New Roman"/>
                <w:b/>
                <w:color w:val="000000"/>
                <w:sz w:val="18"/>
              </w:rPr>
              <w:t>registered</w:t>
            </w:r>
          </w:p>
        </w:tc>
      </w:tr>
      <w:tr>
        <w:trPr/>
        <w:tc>
          <w:tcPr>
            <w:tcW w:w="114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40" w:after="40"/>
              <w:ind w:left="0" w:right="0" w:firstLine="106"/>
              <w:jc w:val="center"/>
              <w:rPr>
                <w:rFonts w:ascii="Times New Roman" w:hAnsi="Times New Roman"/>
                <w:color w:val="000000"/>
                <w:sz w:val="18"/>
              </w:rPr>
            </w:pPr>
            <w:r>
              <w:rPr>
                <w:rFonts w:ascii="Times New Roman" w:hAnsi="Times New Roman"/>
                <w:color w:val="000000"/>
                <w:sz w:val="18"/>
              </w:rPr>
              <w:t>Corteva, Inc.</w:t>
            </w:r>
          </w:p>
        </w:tc>
        <w:tc>
          <w:tcPr>
            <w:tcW w:w="2506" w:type="dxa"/>
            <w:tcBorders>
              <w:bottom w:val="single" w:sz="6" w:space="0" w:color="000000"/>
              <w:right w:val="single" w:sz="6" w:space="0" w:color="000000"/>
            </w:tcBorders>
            <w:tcMar>
              <w:top w:w="0" w:type="dxa"/>
              <w:left w:w="0" w:type="dxa"/>
            </w:tcMar>
            <w:vAlign w:val="center"/>
          </w:tcPr>
          <w:p>
            <w:pPr>
              <w:pStyle w:val="TableContents"/>
              <w:bidi w:val="0"/>
              <w:spacing w:before="40" w:after="40"/>
              <w:ind w:left="0" w:right="0" w:firstLine="105"/>
              <w:jc w:val="center"/>
              <w:rPr>
                <w:rFonts w:ascii="Times New Roman" w:hAnsi="Times New Roman"/>
                <w:color w:val="000000"/>
                <w:sz w:val="18"/>
              </w:rPr>
            </w:pPr>
            <w:r>
              <w:rPr>
                <w:rFonts w:ascii="Times New Roman" w:hAnsi="Times New Roman"/>
                <w:color w:val="000000"/>
                <w:sz w:val="18"/>
              </w:rPr>
              <w:t>Common Stock, $0.01 par value</w:t>
            </w:r>
          </w:p>
        </w:tc>
        <w:tc>
          <w:tcPr>
            <w:tcW w:w="1667" w:type="dxa"/>
            <w:tcBorders>
              <w:bottom w:val="single" w:sz="6" w:space="0" w:color="000000"/>
              <w:right w:val="single" w:sz="6" w:space="0" w:color="000000"/>
            </w:tcBorders>
            <w:tcMar>
              <w:top w:w="0" w:type="dxa"/>
              <w:left w:w="0" w:type="dxa"/>
            </w:tcMar>
            <w:vAlign w:val="center"/>
          </w:tcPr>
          <w:p>
            <w:pPr>
              <w:pStyle w:val="TableContents"/>
              <w:bidi w:val="0"/>
              <w:spacing w:before="40" w:after="40"/>
              <w:ind w:left="0" w:right="0" w:firstLine="106"/>
              <w:jc w:val="center"/>
              <w:rPr>
                <w:rFonts w:ascii="Times New Roman" w:hAnsi="Times New Roman"/>
                <w:color w:val="000000"/>
                <w:sz w:val="18"/>
              </w:rPr>
            </w:pPr>
            <w:r>
              <w:rPr>
                <w:rFonts w:ascii="Times New Roman" w:hAnsi="Times New Roman"/>
                <w:color w:val="000000"/>
                <w:sz w:val="18"/>
              </w:rPr>
              <w:t>CTVA</w:t>
            </w:r>
          </w:p>
        </w:tc>
        <w:tc>
          <w:tcPr>
            <w:tcW w:w="3587" w:type="dxa"/>
            <w:tcBorders>
              <w:bottom w:val="single" w:sz="6" w:space="0" w:color="000000"/>
              <w:right w:val="single" w:sz="6" w:space="0" w:color="000000"/>
            </w:tcBorders>
            <w:tcMar>
              <w:top w:w="0" w:type="dxa"/>
              <w:left w:w="0" w:type="dxa"/>
            </w:tcMar>
            <w:vAlign w:val="center"/>
          </w:tcPr>
          <w:p>
            <w:pPr>
              <w:pStyle w:val="TableContents"/>
              <w:bidi w:val="0"/>
              <w:spacing w:before="40" w:after="40"/>
              <w:ind w:left="0" w:right="0" w:firstLine="106"/>
              <w:jc w:val="center"/>
              <w:rPr>
                <w:rFonts w:ascii="Times New Roman" w:hAnsi="Times New Roman"/>
                <w:color w:val="000000"/>
                <w:sz w:val="18"/>
              </w:rPr>
            </w:pPr>
            <w:r>
              <w:rPr>
                <w:rFonts w:ascii="Times New Roman" w:hAnsi="Times New Roman"/>
                <w:color w:val="000000"/>
                <w:sz w:val="18"/>
              </w:rPr>
              <w:t>New York Stock Exchange</w:t>
            </w:r>
          </w:p>
        </w:tc>
      </w:tr>
      <w:tr>
        <w:trPr/>
        <w:tc>
          <w:tcPr>
            <w:tcW w:w="114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40" w:after="40"/>
              <w:ind w:left="0" w:right="0" w:firstLine="106"/>
              <w:jc w:val="center"/>
              <w:rPr>
                <w:rFonts w:ascii="Times New Roman" w:hAnsi="Times New Roman"/>
                <w:color w:val="000000"/>
                <w:sz w:val="18"/>
              </w:rPr>
            </w:pPr>
            <w:r>
              <w:rPr>
                <w:rFonts w:ascii="Times New Roman" w:hAnsi="Times New Roman"/>
                <w:color w:val="000000"/>
                <w:sz w:val="18"/>
              </w:rPr>
              <w:t>EIDP, Inc.</w:t>
            </w:r>
          </w:p>
        </w:tc>
        <w:tc>
          <w:tcPr>
            <w:tcW w:w="2506" w:type="dxa"/>
            <w:tcBorders>
              <w:bottom w:val="single" w:sz="6" w:space="0" w:color="000000"/>
              <w:right w:val="single" w:sz="6" w:space="0" w:color="000000"/>
            </w:tcBorders>
            <w:tcMar>
              <w:top w:w="0" w:type="dxa"/>
              <w:left w:w="0" w:type="dxa"/>
            </w:tcMar>
            <w:vAlign w:val="center"/>
          </w:tcPr>
          <w:p>
            <w:pPr>
              <w:pStyle w:val="TableContents"/>
              <w:bidi w:val="0"/>
              <w:spacing w:before="40" w:after="40"/>
              <w:ind w:left="0" w:right="0" w:firstLine="105"/>
              <w:jc w:val="center"/>
              <w:rPr>
                <w:rFonts w:ascii="Times New Roman" w:hAnsi="Times New Roman"/>
                <w:color w:val="000000"/>
                <w:sz w:val="18"/>
              </w:rPr>
            </w:pPr>
            <w:r>
              <w:rPr>
                <w:rFonts w:ascii="Times New Roman" w:hAnsi="Times New Roman"/>
                <w:color w:val="000000"/>
                <w:sz w:val="18"/>
              </w:rPr>
              <w:t>$3.50 Series Preferred Stock</w:t>
            </w:r>
          </w:p>
        </w:tc>
        <w:tc>
          <w:tcPr>
            <w:tcW w:w="1667" w:type="dxa"/>
            <w:tcBorders>
              <w:bottom w:val="single" w:sz="6" w:space="0" w:color="000000"/>
              <w:right w:val="single" w:sz="6" w:space="0" w:color="000000"/>
            </w:tcBorders>
            <w:tcMar>
              <w:top w:w="0" w:type="dxa"/>
              <w:left w:w="0" w:type="dxa"/>
            </w:tcMar>
            <w:vAlign w:val="center"/>
          </w:tcPr>
          <w:p>
            <w:pPr>
              <w:pStyle w:val="TableContents"/>
              <w:bidi w:val="0"/>
              <w:spacing w:before="40" w:after="40"/>
              <w:ind w:left="0" w:right="0" w:firstLine="106"/>
              <w:jc w:val="center"/>
              <w:rPr>
                <w:rFonts w:ascii="Times New Roman" w:hAnsi="Times New Roman"/>
                <w:color w:val="000000"/>
                <w:sz w:val="18"/>
              </w:rPr>
            </w:pPr>
            <w:r>
              <w:rPr>
                <w:rFonts w:ascii="Times New Roman" w:hAnsi="Times New Roman"/>
                <w:color w:val="000000"/>
                <w:sz w:val="18"/>
              </w:rPr>
              <w:t>CTAPrA</w:t>
            </w:r>
          </w:p>
        </w:tc>
        <w:tc>
          <w:tcPr>
            <w:tcW w:w="3587" w:type="dxa"/>
            <w:tcBorders>
              <w:bottom w:val="single" w:sz="6" w:space="0" w:color="000000"/>
              <w:right w:val="single" w:sz="6" w:space="0" w:color="000000"/>
            </w:tcBorders>
            <w:tcMar>
              <w:top w:w="0" w:type="dxa"/>
              <w:left w:w="0" w:type="dxa"/>
            </w:tcMar>
            <w:vAlign w:val="center"/>
          </w:tcPr>
          <w:p>
            <w:pPr>
              <w:pStyle w:val="TableContents"/>
              <w:bidi w:val="0"/>
              <w:spacing w:before="40" w:after="40"/>
              <w:ind w:left="0" w:right="0" w:firstLine="106"/>
              <w:jc w:val="center"/>
              <w:rPr>
                <w:rFonts w:ascii="Times New Roman" w:hAnsi="Times New Roman"/>
                <w:color w:val="000000"/>
                <w:sz w:val="18"/>
              </w:rPr>
            </w:pPr>
            <w:r>
              <w:rPr>
                <w:rFonts w:ascii="Times New Roman" w:hAnsi="Times New Roman"/>
                <w:color w:val="000000"/>
                <w:sz w:val="18"/>
              </w:rPr>
              <w:t>New York Stock Exchange</w:t>
            </w:r>
          </w:p>
        </w:tc>
      </w:tr>
      <w:tr>
        <w:trPr/>
        <w:tc>
          <w:tcPr>
            <w:tcW w:w="1142"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40" w:after="40"/>
              <w:ind w:left="0" w:right="0" w:firstLine="106"/>
              <w:jc w:val="center"/>
              <w:rPr>
                <w:rFonts w:ascii="Times New Roman" w:hAnsi="Times New Roman"/>
                <w:color w:val="000000"/>
                <w:sz w:val="18"/>
              </w:rPr>
            </w:pPr>
            <w:r>
              <w:rPr>
                <w:rFonts w:ascii="Times New Roman" w:hAnsi="Times New Roman"/>
                <w:color w:val="000000"/>
                <w:sz w:val="18"/>
              </w:rPr>
              <w:t>EIDP, Inc.</w:t>
            </w:r>
          </w:p>
        </w:tc>
        <w:tc>
          <w:tcPr>
            <w:tcW w:w="2506" w:type="dxa"/>
            <w:tcBorders>
              <w:bottom w:val="single" w:sz="6" w:space="0" w:color="000000"/>
              <w:right w:val="single" w:sz="6" w:space="0" w:color="000000"/>
            </w:tcBorders>
            <w:tcMar>
              <w:top w:w="0" w:type="dxa"/>
              <w:left w:w="0" w:type="dxa"/>
            </w:tcMar>
            <w:vAlign w:val="center"/>
          </w:tcPr>
          <w:p>
            <w:pPr>
              <w:pStyle w:val="TableContents"/>
              <w:bidi w:val="0"/>
              <w:spacing w:before="40" w:after="40"/>
              <w:ind w:left="0" w:right="0" w:firstLine="105"/>
              <w:jc w:val="center"/>
              <w:rPr>
                <w:rFonts w:ascii="Times New Roman" w:hAnsi="Times New Roman"/>
                <w:color w:val="000000"/>
                <w:sz w:val="18"/>
              </w:rPr>
            </w:pPr>
            <w:r>
              <w:rPr>
                <w:rFonts w:ascii="Times New Roman" w:hAnsi="Times New Roman"/>
                <w:color w:val="000000"/>
                <w:sz w:val="18"/>
              </w:rPr>
              <w:t>$4.50 Series Preferred Stock</w:t>
            </w:r>
          </w:p>
        </w:tc>
        <w:tc>
          <w:tcPr>
            <w:tcW w:w="1667" w:type="dxa"/>
            <w:tcBorders>
              <w:bottom w:val="single" w:sz="6" w:space="0" w:color="000000"/>
              <w:right w:val="single" w:sz="6" w:space="0" w:color="000000"/>
            </w:tcBorders>
            <w:tcMar>
              <w:top w:w="0" w:type="dxa"/>
              <w:left w:w="0" w:type="dxa"/>
            </w:tcMar>
            <w:vAlign w:val="center"/>
          </w:tcPr>
          <w:p>
            <w:pPr>
              <w:pStyle w:val="TableContents"/>
              <w:bidi w:val="0"/>
              <w:spacing w:before="40" w:after="40"/>
              <w:ind w:left="0" w:right="0" w:firstLine="106"/>
              <w:jc w:val="center"/>
              <w:rPr>
                <w:rFonts w:ascii="Times New Roman" w:hAnsi="Times New Roman"/>
                <w:color w:val="000000"/>
                <w:sz w:val="18"/>
              </w:rPr>
            </w:pPr>
            <w:r>
              <w:rPr>
                <w:rFonts w:ascii="Times New Roman" w:hAnsi="Times New Roman"/>
                <w:color w:val="000000"/>
                <w:sz w:val="18"/>
              </w:rPr>
              <w:t>CTAPrB</w:t>
            </w:r>
          </w:p>
        </w:tc>
        <w:tc>
          <w:tcPr>
            <w:tcW w:w="3587" w:type="dxa"/>
            <w:tcBorders>
              <w:bottom w:val="single" w:sz="6" w:space="0" w:color="000000"/>
              <w:right w:val="single" w:sz="6" w:space="0" w:color="000000"/>
            </w:tcBorders>
            <w:tcMar>
              <w:top w:w="0" w:type="dxa"/>
              <w:left w:w="0" w:type="dxa"/>
            </w:tcMar>
            <w:vAlign w:val="center"/>
          </w:tcPr>
          <w:p>
            <w:pPr>
              <w:pStyle w:val="TableContents"/>
              <w:bidi w:val="0"/>
              <w:spacing w:before="40" w:after="40"/>
              <w:ind w:left="0" w:right="0" w:firstLine="106"/>
              <w:jc w:val="center"/>
              <w:rPr>
                <w:rFonts w:ascii="Times New Roman" w:hAnsi="Times New Roman"/>
                <w:color w:val="000000"/>
                <w:sz w:val="18"/>
              </w:rPr>
            </w:pPr>
            <w:r>
              <w:rPr>
                <w:rFonts w:ascii="Times New Roman" w:hAnsi="Times New Roman"/>
                <w:color w:val="000000"/>
                <w:sz w:val="18"/>
              </w:rPr>
              <w:t>New York Stock Exchange</w:t>
            </w:r>
          </w:p>
        </w:tc>
      </w:tr>
    </w:tbl>
    <w:p>
      <w:pPr>
        <w:pStyle w:val="TextBody"/>
        <w:bidi w:val="0"/>
        <w:spacing w:before="15"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Emerging growth company </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spacing w:before="8"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18"/>
        </w:rPr>
      </w:pPr>
      <w:r>
        <w:rPr>
          <w:rFonts w:ascii="Times New Roman" w:hAnsi="Times New Roman"/>
          <w:b/>
          <w:color w:val="000000"/>
          <w:sz w:val="18"/>
        </w:rPr>
        <w:t>Item 3.03 Material Modification to Rights of Security Holders.</w:t>
      </w:r>
    </w:p>
    <w:p>
      <w:pPr>
        <w:pStyle w:val="TextBody"/>
        <w:bidi w:val="0"/>
        <w:spacing w:before="200" w:after="283"/>
        <w:jc w:val="both"/>
        <w:rPr>
          <w:rFonts w:ascii="Times New Roman" w:hAnsi="Times New Roman"/>
          <w:color w:val="000000"/>
          <w:sz w:val="18"/>
        </w:rPr>
      </w:pPr>
      <w:r>
        <w:rPr>
          <w:rFonts w:ascii="Times New Roman" w:hAnsi="Times New Roman"/>
          <w:color w:val="000000"/>
          <w:sz w:val="18"/>
        </w:rPr>
        <w:t>The information set forth under Item 8.01 of this Current Report on Form 8-K for Corteva, Inc. and EIDP regarding the Fourth EIDP Supplemental Indenture and the Proposed Amendments (as defined below) is incorporated by reference into this Item 3.03.</w:t>
      </w:r>
    </w:p>
    <w:p>
      <w:pPr>
        <w:pStyle w:val="TextBody"/>
        <w:bidi w:val="0"/>
        <w:jc w:val="left"/>
        <w:rPr/>
      </w:pPr>
      <w:r>
        <w:rPr/>
        <w:t> </w:t>
      </w:r>
    </w:p>
    <w:p>
      <w:pPr>
        <w:pStyle w:val="TextBody"/>
        <w:bidi w:val="0"/>
        <w:jc w:val="left"/>
        <w:rPr>
          <w:rFonts w:ascii="Times New Roman" w:hAnsi="Times New Roman"/>
          <w:sz w:val="18"/>
        </w:rPr>
      </w:pPr>
      <w:r>
        <w:rPr>
          <w:rFonts w:ascii="Times New Roman" w:hAnsi="Times New Roman"/>
          <w:b/>
          <w:color w:val="000000"/>
          <w:sz w:val="18"/>
        </w:rPr>
        <w:t>Item</w:t>
      </w:r>
      <w:r>
        <w:rPr>
          <w:rFonts w:ascii="Times New Roman" w:hAnsi="Times New Roman"/>
          <w:color w:val="000000"/>
          <w:sz w:val="18"/>
        </w:rPr>
        <w:t xml:space="preserve"> </w:t>
      </w:r>
      <w:r>
        <w:rPr>
          <w:rFonts w:ascii="Times New Roman" w:hAnsi="Times New Roman"/>
          <w:b/>
          <w:color w:val="000000"/>
          <w:sz w:val="18"/>
        </w:rPr>
        <w:t>8.01 Other Events.</w:t>
      </w:r>
    </w:p>
    <w:p>
      <w:pPr>
        <w:pStyle w:val="TextBody"/>
        <w:bidi w:val="0"/>
        <w:spacing w:before="200" w:after="283"/>
        <w:jc w:val="both"/>
        <w:rPr>
          <w:rFonts w:ascii="Times New Roman" w:hAnsi="Times New Roman"/>
          <w:color w:val="000000"/>
          <w:sz w:val="18"/>
        </w:rPr>
      </w:pPr>
      <w:r>
        <w:rPr>
          <w:rFonts w:ascii="Times New Roman" w:hAnsi="Times New Roman"/>
          <w:color w:val="000000"/>
          <w:sz w:val="18"/>
        </w:rPr>
        <w:t xml:space="preserve">On October 1, 2026, Vylor Inc. (“Vylor”) completed its previously announced (i) private offers to exchange (with respect to each series, an “Exchange Offer” and together, the “Exchange Offers”) any and all of the outstanding senior notes of the series listed in the table below issued by EIDP, Inc., a Delaware corporation and a wholly owned subsidiary of Corteva, Inc. (“EIDP” and such notes, collectively, the “EIDP Notes”), to the extent held by eligible holders, for new notes of the corresponding series issued by Vylor and (ii) related consent solicitations (the “Consent Solicitations”) made by Vylor on behalf of EIDP to adopt certain proposed amendments to the indentures governing the EIDP Notes (the “Proposed Amendments”). The Exchange Offers and Consent Solicitations were not registered under the Securities Act of 1933, as amended, or any state or foreign securities laws. </w:t>
      </w:r>
    </w:p>
    <w:p>
      <w:pPr>
        <w:pStyle w:val="TextBody"/>
        <w:bidi w:val="0"/>
        <w:spacing w:before="200" w:after="283"/>
        <w:jc w:val="both"/>
        <w:rPr>
          <w:rFonts w:ascii="Times New Roman" w:hAnsi="Times New Roman"/>
          <w:color w:val="000000"/>
          <w:sz w:val="18"/>
        </w:rPr>
      </w:pPr>
      <w:r>
        <w:rPr>
          <w:rFonts w:ascii="Times New Roman" w:hAnsi="Times New Roman"/>
          <w:color w:val="000000"/>
          <w:sz w:val="18"/>
        </w:rPr>
        <w:t xml:space="preserve">The table below sets forth the aggregate principal amounts of EIDP Notes that were validly tendered pursuant to the Exchange Offers and Consent Solicitations and the aggregate principal amounts of EIDP Notes accepted for exchange. Such accepted EIDP Notes have been retired and canceled in connection with the settlement of the Exchange Offers (the “Settlement”) and will not be reissued. Following such cancellation, the aggregate principal amounts of the EIDP Notes set forth below remain outstanding. </w:t>
      </w:r>
    </w:p>
    <w:p>
      <w:pPr>
        <w:pStyle w:val="TextBody"/>
        <w:bidi w:val="0"/>
        <w:jc w:val="both"/>
        <w:rPr/>
      </w:pPr>
      <w:r>
        <w:rPr/>
        <w:t> </w:t>
      </w:r>
    </w:p>
    <w:tbl>
      <w:tblPr>
        <w:tblW w:w="9709" w:type="dxa"/>
        <w:jc w:val="left"/>
        <w:tblInd w:w="0" w:type="dxa"/>
        <w:tblLayout w:type="fixed"/>
        <w:tblCellMar>
          <w:top w:w="28" w:type="dxa"/>
          <w:left w:w="28" w:type="dxa"/>
          <w:bottom w:w="28" w:type="dxa"/>
          <w:right w:w="28" w:type="dxa"/>
        </w:tblCellMar>
      </w:tblPr>
      <w:tblGrid>
        <w:gridCol w:w="2356"/>
        <w:gridCol w:w="146"/>
        <w:gridCol w:w="2221"/>
        <w:gridCol w:w="146"/>
        <w:gridCol w:w="1486"/>
        <w:gridCol w:w="146"/>
        <w:gridCol w:w="1486"/>
        <w:gridCol w:w="146"/>
        <w:gridCol w:w="1576"/>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356"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sz w:val="18"/>
              </w:rPr>
            </w:pPr>
            <w:r>
              <w:rPr>
                <w:rFonts w:ascii="Times New Roman" w:hAnsi="Times New Roman"/>
                <w:b/>
                <w:color w:val="000000"/>
                <w:sz w:val="18"/>
              </w:rPr>
              <w:t>Title of</w:t>
            </w:r>
            <w:r>
              <w:rPr>
                <w:rFonts w:ascii="Times New Roman" w:hAnsi="Times New Roman"/>
                <w:color w:val="000000"/>
                <w:sz w:val="18"/>
              </w:rPr>
              <w:t xml:space="preserve"> </w:t>
            </w:r>
          </w:p>
          <w:p>
            <w:pPr>
              <w:pStyle w:val="TableContents"/>
              <w:bidi w:val="0"/>
              <w:jc w:val="center"/>
              <w:rPr>
                <w:rFonts w:ascii="Times New Roman" w:hAnsi="Times New Roman"/>
                <w:sz w:val="18"/>
              </w:rPr>
            </w:pPr>
            <w:r>
              <w:rPr>
                <w:rFonts w:ascii="Times New Roman" w:hAnsi="Times New Roman"/>
                <w:b/>
                <w:color w:val="000000"/>
                <w:sz w:val="18"/>
              </w:rPr>
              <w:t>Series of</w:t>
            </w:r>
            <w:r>
              <w:rPr>
                <w:rFonts w:ascii="Times New Roman" w:hAnsi="Times New Roman"/>
                <w:color w:val="000000"/>
                <w:sz w:val="18"/>
              </w:rPr>
              <w:t xml:space="preserve"> </w:t>
            </w:r>
          </w:p>
          <w:p>
            <w:pPr>
              <w:pStyle w:val="TableContents"/>
              <w:bidi w:val="0"/>
              <w:jc w:val="center"/>
              <w:rPr>
                <w:rFonts w:ascii="Times New Roman" w:hAnsi="Times New Roman"/>
                <w:sz w:val="18"/>
              </w:rPr>
            </w:pPr>
            <w:r>
              <w:rPr>
                <w:rFonts w:ascii="Times New Roman" w:hAnsi="Times New Roman"/>
                <w:b/>
                <w:color w:val="000000"/>
                <w:sz w:val="18"/>
              </w:rPr>
              <w:t>EIDP</w:t>
            </w:r>
            <w:r>
              <w:rPr>
                <w:rFonts w:ascii="Times New Roman" w:hAnsi="Times New Roman"/>
                <w:color w:val="000000"/>
                <w:sz w:val="18"/>
              </w:rPr>
              <w:t xml:space="preserve">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1"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sz w:val="18"/>
              </w:rPr>
            </w:pPr>
            <w:r>
              <w:rPr>
                <w:rFonts w:ascii="Times New Roman" w:hAnsi="Times New Roman"/>
                <w:b/>
                <w:color w:val="000000"/>
                <w:sz w:val="18"/>
              </w:rPr>
              <w:t>CUSIP No.</w:t>
            </w:r>
            <w:r>
              <w:rPr>
                <w:rFonts w:ascii="Times New Roman" w:hAnsi="Times New Roman"/>
                <w:color w:val="000000"/>
                <w:sz w:val="18"/>
              </w:rPr>
              <w:t xml:space="preserve"> </w:t>
            </w:r>
          </w:p>
          <w:p>
            <w:pPr>
              <w:pStyle w:val="TableContents"/>
              <w:bidi w:val="0"/>
              <w:jc w:val="center"/>
              <w:rPr>
                <w:rFonts w:ascii="Times New Roman" w:hAnsi="Times New Roman"/>
                <w:sz w:val="18"/>
              </w:rPr>
            </w:pPr>
            <w:r>
              <w:rPr>
                <w:rFonts w:ascii="Times New Roman" w:hAnsi="Times New Roman"/>
                <w:b/>
                <w:color w:val="000000"/>
                <w:sz w:val="18"/>
              </w:rPr>
              <w:t>and ISIN of</w:t>
            </w:r>
            <w:r>
              <w:rPr>
                <w:rFonts w:ascii="Times New Roman" w:hAnsi="Times New Roman"/>
                <w:color w:val="000000"/>
                <w:sz w:val="18"/>
              </w:rPr>
              <w:t xml:space="preserve">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EIDP 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6"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Aggregate</w:t>
            </w:r>
          </w:p>
          <w:p>
            <w:pPr>
              <w:pStyle w:val="TableContents"/>
              <w:bidi w:val="0"/>
              <w:jc w:val="center"/>
              <w:rPr>
                <w:rFonts w:ascii="Times New Roman" w:hAnsi="Times New Roman"/>
                <w:b/>
                <w:color w:val="000000"/>
                <w:sz w:val="18"/>
              </w:rPr>
            </w:pPr>
            <w:r>
              <w:rPr>
                <w:rFonts w:ascii="Times New Roman" w:hAnsi="Times New Roman"/>
                <w:b/>
                <w:color w:val="000000"/>
                <w:sz w:val="18"/>
              </w:rPr>
              <w:t>Principal Amount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Tendered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Aggregate</w:t>
            </w:r>
          </w:p>
          <w:p>
            <w:pPr>
              <w:pStyle w:val="TableContents"/>
              <w:bidi w:val="0"/>
              <w:jc w:val="center"/>
              <w:rPr>
                <w:rFonts w:ascii="Times New Roman" w:hAnsi="Times New Roman"/>
                <w:b/>
                <w:color w:val="000000"/>
                <w:sz w:val="18"/>
              </w:rPr>
            </w:pPr>
            <w:r>
              <w:rPr>
                <w:rFonts w:ascii="Times New Roman" w:hAnsi="Times New Roman"/>
                <w:b/>
                <w:color w:val="000000"/>
                <w:sz w:val="18"/>
              </w:rPr>
              <w:t>Principal Amount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Accepted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6"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sz w:val="18"/>
              </w:rPr>
            </w:pPr>
            <w:r>
              <w:rPr>
                <w:rFonts w:ascii="Times New Roman" w:hAnsi="Times New Roman"/>
                <w:b/>
                <w:color w:val="000000"/>
                <w:sz w:val="18"/>
              </w:rPr>
              <w:t>Aggregate</w:t>
            </w:r>
            <w:r>
              <w:rPr>
                <w:rFonts w:ascii="Times New Roman" w:hAnsi="Times New Roman"/>
                <w:color w:val="000000"/>
                <w:sz w:val="18"/>
              </w:rPr>
              <w:t xml:space="preserve"> </w:t>
            </w:r>
          </w:p>
          <w:p>
            <w:pPr>
              <w:pStyle w:val="TableContents"/>
              <w:bidi w:val="0"/>
              <w:jc w:val="center"/>
              <w:rPr>
                <w:rFonts w:ascii="Times New Roman" w:hAnsi="Times New Roman"/>
                <w:sz w:val="18"/>
              </w:rPr>
            </w:pPr>
            <w:r>
              <w:rPr>
                <w:rFonts w:ascii="Times New Roman" w:hAnsi="Times New Roman"/>
                <w:b/>
                <w:color w:val="000000"/>
                <w:sz w:val="18"/>
              </w:rPr>
              <w:t>Principal Amount</w:t>
            </w:r>
            <w:r>
              <w:rPr>
                <w:rFonts w:ascii="Times New Roman" w:hAnsi="Times New Roman"/>
                <w:color w:val="000000"/>
                <w:sz w:val="18"/>
              </w:rPr>
              <w:t xml:space="preserve"> </w:t>
            </w:r>
          </w:p>
          <w:p>
            <w:pPr>
              <w:pStyle w:val="TableContents"/>
              <w:bidi w:val="0"/>
              <w:jc w:val="center"/>
              <w:rPr>
                <w:rFonts w:ascii="Times New Roman" w:hAnsi="Times New Roman"/>
                <w:sz w:val="18"/>
              </w:rPr>
            </w:pPr>
            <w:r>
              <w:rPr>
                <w:rFonts w:ascii="Times New Roman" w:hAnsi="Times New Roman"/>
                <w:b/>
                <w:color w:val="000000"/>
                <w:sz w:val="18"/>
              </w:rPr>
              <w:t>Outstanding</w:t>
            </w:r>
            <w:r>
              <w:rPr>
                <w:rFonts w:ascii="Times New Roman" w:hAnsi="Times New Roman"/>
                <w:color w:val="000000"/>
                <w:sz w:val="18"/>
              </w:rPr>
              <w:t xml:space="preserve"> </w:t>
            </w:r>
          </w:p>
          <w:p>
            <w:pPr>
              <w:pStyle w:val="TableContents"/>
              <w:bidi w:val="0"/>
              <w:jc w:val="center"/>
              <w:rPr>
                <w:rFonts w:ascii="Times New Roman" w:hAnsi="Times New Roman"/>
                <w:sz w:val="18"/>
              </w:rPr>
            </w:pPr>
            <w:r>
              <w:rPr>
                <w:rFonts w:ascii="Times New Roman" w:hAnsi="Times New Roman"/>
                <w:b/>
                <w:color w:val="000000"/>
                <w:sz w:val="18"/>
              </w:rPr>
              <w:t>Following</w:t>
            </w:r>
            <w:r>
              <w:rPr>
                <w:rFonts w:ascii="Times New Roman" w:hAnsi="Times New Roman"/>
                <w:color w:val="000000"/>
                <w:sz w:val="18"/>
              </w:rPr>
              <w:t xml:space="preserve">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Settlement</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2.300% Senior Notes due 2030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263534CP2 US263534CP24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$434,841,000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$434,839,000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7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$65,161,000</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5.125% Senior Notes due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263534CS6 US263534CS62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$476,214,000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$476,214,000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$23,786,000</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4.800% Senior Notes due 2033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263534CR8 US263534CR89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$527,584,000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$527,584,000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7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$72,416,000</w:t>
            </w:r>
          </w:p>
        </w:tc>
      </w:tr>
    </w:tbl>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As previously announced, following receipt, as of the early tender deadline on August 19, 2026, of the requisite consents to adopt the Proposed Amendments, EIDP entered into a fourth supplemental indenture with U.S. Bank Trust Company, National Association, dated as of August 20, 2026 (the “Fourth EIDP Supplemental Indenture”), amending the base indenture governing the EIDP Notes and each of the supplemental indentures governing the respective series of EIDP Notes, to effect the Proposed Amendments with respect to each series of EIDP Notes. The Proposed Amendments became operative on October 1, 2026 upon the Settlement.</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18"/>
        </w:rPr>
      </w:pPr>
      <w:r>
        <w:rPr>
          <w:rFonts w:ascii="Times New Roman" w:hAnsi="Times New Roman"/>
          <w:b/>
          <w:color w:val="000000"/>
          <w:sz w:val="18"/>
        </w:rPr>
        <w:t>Item 9.01 Financial Statements and Exhibits.</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(d) Exhibits</w:t>
      </w:r>
    </w:p>
    <w:p>
      <w:pPr>
        <w:pStyle w:val="TextBody"/>
        <w:bidi w:val="0"/>
        <w:spacing w:before="200" w:after="283"/>
        <w:jc w:val="center"/>
        <w:rPr>
          <w:rFonts w:ascii="Times New Roman" w:hAnsi="Times New Roman"/>
          <w:sz w:val="18"/>
        </w:rPr>
      </w:pPr>
      <w:bookmarkStart w:id="6" w:name="exhibit_index"/>
      <w:bookmarkEnd w:id="6"/>
      <w:r>
        <w:rPr>
          <w:rFonts w:ascii="Times New Roman" w:hAnsi="Times New Roman"/>
          <w:b/>
          <w:color w:val="000000"/>
          <w:sz w:val="18"/>
          <w:u w:val="single"/>
        </w:rPr>
        <w:t>Exhibit</w:t>
      </w:r>
      <w:r>
        <w:rPr>
          <w:rFonts w:ascii="Times New Roman" w:hAnsi="Times New Roman"/>
          <w:color w:val="000000"/>
          <w:sz w:val="18"/>
          <w:u w:val="single"/>
        </w:rPr>
        <w:t xml:space="preserve"> </w:t>
      </w:r>
      <w:r>
        <w:rPr>
          <w:rFonts w:ascii="Times New Roman" w:hAnsi="Times New Roman"/>
          <w:b/>
          <w:color w:val="000000"/>
          <w:sz w:val="18"/>
          <w:u w:val="single"/>
        </w:rPr>
        <w:t>Index</w:t>
      </w:r>
    </w:p>
    <w:p>
      <w:pPr>
        <w:pStyle w:val="TextBody"/>
        <w:bidi w:val="0"/>
        <w:spacing w:before="200" w:after="283"/>
        <w:jc w:val="left"/>
        <w:rPr>
          <w:rFonts w:ascii="Times New Roman" w:hAnsi="Times New Roman"/>
          <w:b/>
          <w:color w:val="000000"/>
          <w:sz w:val="18"/>
        </w:rPr>
      </w:pPr>
      <w:r>
        <w:rPr>
          <w:rFonts w:ascii="Times New Roman" w:hAnsi="Times New Roman"/>
          <w:b/>
          <w:color w:val="000000"/>
          <w:sz w:val="18"/>
        </w:rPr>
        <w:t>Exhibit</w:t>
      </w:r>
    </w:p>
    <w:p>
      <w:pPr>
        <w:pStyle w:val="TextBody"/>
        <w:bidi w:val="0"/>
        <w:spacing w:before="18" w:after="283"/>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9293"/>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3" w:type="dxa"/>
            <w:tcBorders/>
            <w:vAlign w:val="center"/>
          </w:tcPr>
          <w:p>
            <w:pPr>
              <w:pStyle w:val="TableContents"/>
              <w:bidi w:val="0"/>
              <w:spacing w:before="0" w:after="283"/>
              <w:jc w:val="left"/>
              <w:rPr>
                <w:sz w:val="4"/>
                <w:szCs w:val="4"/>
              </w:rPr>
            </w:pPr>
            <w:r>
              <w:rPr>
                <w:sz w:val="4"/>
                <w:szCs w:val="4"/>
              </w:rPr>
            </w:r>
          </w:p>
        </w:tc>
      </w:tr>
      <w:tr>
        <w:trPr/>
        <w:tc>
          <w:tcPr>
            <w:tcW w:w="7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Number</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9293"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4.1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8"/>
                  <w:u w:val="single"/>
                </w:rPr>
                <w:t>Fourth Supplemental Indenture, dated as of August 20, 2026, between EIDP, Inc. and U.S. Bank Trust Company, National Association, as trustee (incorporated by reference to Exhibit 4.1 to Current Report on Form 8-K of Corteva, Inc. (Commission file number 001-38710), filed August 20, 2026).</w:t>
              </w:r>
            </w:hyperlink>
          </w:p>
        </w:tc>
      </w:tr>
      <w:tr>
        <w:trPr/>
        <w:tc>
          <w:tcPr>
            <w:tcW w:w="766"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18"/>
              </w:rPr>
            </w:pPr>
            <w:r>
              <w:rPr>
                <w:rFonts w:ascii="Times New Roman" w:hAnsi="Times New Roman"/>
                <w:color w:val="000000"/>
                <w:sz w:val="18"/>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SIGNATURES</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Pursuant to the requirements of the Securities Exchange Act of 1934, each registrant has duly caused this report to be signed on its behalf by the undersigned, hereunto duly authorized.</w:t>
      </w:r>
    </w:p>
    <w:p>
      <w:pPr>
        <w:pStyle w:val="TextBody"/>
        <w:bidi w:val="0"/>
        <w:spacing w:before="17" w:after="283"/>
        <w:jc w:val="left"/>
        <w:rPr/>
      </w:pPr>
      <w:r>
        <w:rPr/>
        <w:t> </w:t>
      </w:r>
    </w:p>
    <w:tbl>
      <w:tblPr>
        <w:tblW w:w="4248" w:type="dxa"/>
        <w:jc w:val="left"/>
        <w:tblInd w:w="0" w:type="dxa"/>
        <w:tblLayout w:type="fixed"/>
        <w:tblCellMar>
          <w:top w:w="28" w:type="dxa"/>
          <w:left w:w="28" w:type="dxa"/>
          <w:bottom w:w="28" w:type="dxa"/>
          <w:right w:w="28" w:type="dxa"/>
        </w:tblCellMar>
      </w:tblPr>
      <w:tblGrid>
        <w:gridCol w:w="1696"/>
        <w:gridCol w:w="361"/>
        <w:gridCol w:w="2191"/>
      </w:tblGrid>
      <w:tr>
        <w:trPr/>
        <w:tc>
          <w:tcPr>
            <w:tcW w:w="16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CORTEVA, INC.</w:t>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October 7, 2026</w:t>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1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Jeff Rudolph</w:t>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Name: Jeff Rudolph</w:t>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Title: Chief Financial Officer</w:t>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EIDP, INC.</w:t>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October 7, 2026</w:t>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1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Jeff Rudolph</w:t>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Name: Jeff Rudolph</w:t>
            </w:r>
          </w:p>
        </w:tc>
      </w:tr>
      <w:tr>
        <w:trPr/>
        <w:tc>
          <w:tcPr>
            <w:tcW w:w="169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Title: Chief Financial Officer</w:t>
            </w:r>
          </w:p>
        </w:tc>
      </w:tr>
    </w:tbl>
    <w:p>
      <w:pPr>
        <w:pStyle w:val="TextBody"/>
        <w:bidi w:val="0"/>
        <w:spacing w:before="17"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0554/000119312526359264/d422495dex41.htm" TargetMode="External"/><Relationship Id="rId3" Type="http://schemas.openxmlformats.org/officeDocument/2006/relationships/hyperlink" Target="https://www.sec.gov/Archives/edgar/data/30554/000119312526359264/d422495dex4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887</Words>
  <Characters>5009</Characters>
  <CharactersWithSpaces>5860</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