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page1"/>
      <w:bookmarkStart w:id="1" w:name="ck0002128626-20261001.htm"/>
      <w:bookmarkStart w:id="2" w:name="ksck000212862620261001"/>
      <w:bookmarkEnd w:id="0"/>
      <w:bookmarkEnd w:id="1"/>
      <w:bookmarkEnd w:id="2"/>
      <w:r>
        <w:rPr/>
        <w:t> </w:t>
      </w:r>
    </w:p>
    <w:p>
      <w:pPr>
        <w:pStyle w:val="TextBody"/>
        <w:bidi w:val="0"/>
        <w:jc w:val="center"/>
        <w:rPr>
          <w:rFonts w:ascii="Times New Roman" w:hAnsi="Times New Roman"/>
          <w:b/>
          <w:color w:val="000000"/>
          <w:sz w:val="18"/>
        </w:rPr>
      </w:pPr>
      <w:r>
        <w:rPr>
          <w:rFonts w:ascii="Times New Roman" w:hAnsi="Times New Roman"/>
          <w:b/>
          <w:color w:val="000000"/>
          <w:sz w:val="18"/>
        </w:rPr>
        <w:t>As filed with the Securities and Exchange Commission on October 1, 2026</w:t>
      </w:r>
    </w:p>
    <w:p>
      <w:pPr>
        <w:pStyle w:val="TextBody"/>
        <w:bidi w:val="0"/>
        <w:jc w:val="right"/>
        <w:rPr>
          <w:rFonts w:ascii="Times New Roman" w:hAnsi="Times New Roman"/>
          <w:b/>
          <w:color w:val="000000"/>
          <w:sz w:val="18"/>
        </w:rPr>
      </w:pPr>
      <w:r>
        <w:rPr>
          <w:rFonts w:ascii="Times New Roman" w:hAnsi="Times New Roman"/>
          <w:b/>
          <w:color w:val="000000"/>
          <w:sz w:val="18"/>
        </w:rPr>
        <w:t>Registration No. 333-</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REGISTRATION STATEMENT</w:t>
      </w:r>
    </w:p>
    <w:p>
      <w:pPr>
        <w:pStyle w:val="TextBody"/>
        <w:bidi w:val="0"/>
        <w:jc w:val="center"/>
        <w:rPr>
          <w:rFonts w:ascii="Times New Roman" w:hAnsi="Times New Roman"/>
          <w:b/>
          <w:i/>
          <w:color w:val="000000"/>
          <w:sz w:val="22"/>
        </w:rPr>
      </w:pPr>
      <w:r>
        <w:rPr>
          <w:rFonts w:ascii="Times New Roman" w:hAnsi="Times New Roman"/>
          <w:b/>
          <w:i/>
          <w:color w:val="000000"/>
          <w:sz w:val="22"/>
        </w:rPr>
        <w:t>UNDER</w:t>
      </w:r>
    </w:p>
    <w:p>
      <w:pPr>
        <w:pStyle w:val="TextBody"/>
        <w:bidi w:val="0"/>
        <w:jc w:val="center"/>
        <w:rPr>
          <w:rFonts w:ascii="Times New Roman" w:hAnsi="Times New Roman"/>
          <w:b/>
          <w:i/>
          <w:color w:val="000000"/>
          <w:sz w:val="22"/>
        </w:rPr>
      </w:pPr>
      <w:r>
        <w:rPr>
          <w:rFonts w:ascii="Times New Roman" w:hAnsi="Times New Roman"/>
          <w:b/>
          <w:i/>
          <w:color w:val="000000"/>
          <w:sz w:val="22"/>
        </w:rPr>
        <w:t>THE SECURITIES ACT OF 1933</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43"/>
        </w:rPr>
      </w:pPr>
      <w:r>
        <w:rPr>
          <w:rFonts w:ascii="Times New Roman" w:hAnsi="Times New Roman"/>
          <w:b/>
          <w:color w:val="000000"/>
          <w:sz w:val="43"/>
        </w:rPr>
        <w:t>VYLOR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41-2930124</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pPr>
      <w:r>
        <w:rPr/>
        <w:t> </w:t>
      </w:r>
    </w:p>
    <w:p>
      <w:pPr>
        <w:pStyle w:val="TextBody"/>
        <w:bidi w:val="0"/>
        <w:spacing w:lineRule="auto" w:line="360"/>
        <w:jc w:val="center"/>
        <w:rPr>
          <w:rFonts w:ascii="Times New Roman" w:hAnsi="Times New Roman"/>
          <w:sz w:val="12"/>
        </w:rPr>
      </w:pPr>
      <w:r>
        <w:rPr>
          <w:rFonts w:ascii="Times New Roman" w:hAnsi="Times New Roman"/>
          <w:b/>
          <w:color w:val="000000"/>
          <w:sz w:val="18"/>
        </w:rPr>
        <w:t>7100 NW 62</w:t>
      </w:r>
      <w:r>
        <w:rPr>
          <w:rFonts w:ascii="Times New Roman" w:hAnsi="Times New Roman"/>
          <w:b/>
          <w:color w:val="000000"/>
          <w:sz w:val="12"/>
        </w:rPr>
        <w:t>nd</w:t>
      </w:r>
      <w:r>
        <w:rPr>
          <w:rFonts w:ascii="Times New Roman" w:hAnsi="Times New Roman"/>
          <w:color w:val="000000"/>
          <w:sz w:val="12"/>
        </w:rPr>
        <w:t xml:space="preserve"> </w:t>
      </w:r>
      <w:r>
        <w:rPr>
          <w:rFonts w:ascii="Times New Roman" w:hAnsi="Times New Roman"/>
          <w:b/>
          <w:color w:val="000000"/>
          <w:sz w:val="18"/>
        </w:rPr>
        <w:t>Avenue</w:t>
      </w:r>
    </w:p>
    <w:p>
      <w:pPr>
        <w:pStyle w:val="TextBody"/>
        <w:bidi w:val="0"/>
        <w:jc w:val="center"/>
        <w:rPr>
          <w:rFonts w:ascii="Times New Roman" w:hAnsi="Times New Roman"/>
          <w:b/>
          <w:color w:val="000000"/>
          <w:sz w:val="18"/>
        </w:rPr>
      </w:pPr>
      <w:r>
        <w:rPr>
          <w:rFonts w:ascii="Times New Roman" w:hAnsi="Times New Roman"/>
          <w:b/>
          <w:color w:val="000000"/>
          <w:sz w:val="18"/>
        </w:rPr>
        <w:t>Johnston, Iowa 50131</w:t>
      </w:r>
    </w:p>
    <w:p>
      <w:pPr>
        <w:pStyle w:val="TextBody"/>
        <w:bidi w:val="0"/>
        <w:jc w:val="center"/>
        <w:rPr>
          <w:rFonts w:ascii="Times New Roman" w:hAnsi="Times New Roman"/>
          <w:b/>
          <w:color w:val="000000"/>
          <w:sz w:val="18"/>
        </w:rPr>
      </w:pPr>
      <w:r>
        <w:rPr>
          <w:rFonts w:ascii="Times New Roman" w:hAnsi="Times New Roman"/>
          <w:b/>
          <w:color w:val="000000"/>
          <w:sz w:val="18"/>
        </w:rPr>
        <w:t>(844) 895-6747</w:t>
      </w:r>
    </w:p>
    <w:p>
      <w:pPr>
        <w:pStyle w:val="TextBody"/>
        <w:bidi w:val="0"/>
        <w:jc w:val="center"/>
        <w:rPr>
          <w:rFonts w:ascii="Times New Roman" w:hAnsi="Times New Roman"/>
          <w:b/>
          <w:color w:val="000000"/>
          <w:sz w:val="14"/>
        </w:rPr>
      </w:pPr>
      <w:r>
        <w:rPr>
          <w:rFonts w:ascii="Times New Roman" w:hAnsi="Times New Roman"/>
          <w:b/>
          <w:color w:val="000000"/>
          <w:sz w:val="14"/>
        </w:rPr>
        <w:t>(Name, address, including zip code, and telephone number, including area code, of registrant’s principal executive offices)</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Vylor Inc. 2026 Omnibus Incentive Plan</w:t>
      </w:r>
    </w:p>
    <w:p>
      <w:pPr>
        <w:pStyle w:val="TextBody"/>
        <w:bidi w:val="0"/>
        <w:jc w:val="center"/>
        <w:rPr>
          <w:rFonts w:ascii="Times New Roman" w:hAnsi="Times New Roman"/>
          <w:b/>
          <w:color w:val="000000"/>
          <w:sz w:val="18"/>
        </w:rPr>
      </w:pPr>
      <w:r>
        <w:rPr>
          <w:rFonts w:ascii="Times New Roman" w:hAnsi="Times New Roman"/>
          <w:b/>
          <w:color w:val="000000"/>
          <w:sz w:val="18"/>
        </w:rPr>
        <w:t>Vylor Inc. Retirement Savings Plan</w:t>
      </w:r>
    </w:p>
    <w:p>
      <w:pPr>
        <w:pStyle w:val="TextBody"/>
        <w:bidi w:val="0"/>
        <w:jc w:val="center"/>
        <w:rPr>
          <w:rFonts w:ascii="Times New Roman" w:hAnsi="Times New Roman"/>
          <w:b/>
          <w:color w:val="000000"/>
          <w:sz w:val="18"/>
        </w:rPr>
      </w:pPr>
      <w:r>
        <w:rPr>
          <w:rFonts w:ascii="Times New Roman" w:hAnsi="Times New Roman"/>
          <w:b/>
          <w:color w:val="000000"/>
          <w:sz w:val="18"/>
        </w:rPr>
        <w:t>Vylor Inc. Management Deferred Compensation Plan</w:t>
      </w:r>
    </w:p>
    <w:p>
      <w:pPr>
        <w:pStyle w:val="TextBody"/>
        <w:bidi w:val="0"/>
        <w:jc w:val="center"/>
        <w:rPr>
          <w:rFonts w:ascii="Times New Roman" w:hAnsi="Times New Roman"/>
          <w:b/>
          <w:color w:val="000000"/>
          <w:sz w:val="18"/>
        </w:rPr>
      </w:pPr>
      <w:r>
        <w:rPr>
          <w:rFonts w:ascii="Times New Roman" w:hAnsi="Times New Roman"/>
          <w:b/>
          <w:color w:val="000000"/>
          <w:sz w:val="18"/>
        </w:rPr>
        <w:t>Vylor Inc. Deferred Compensation and Stock Accumulation Plan for Directors</w:t>
      </w:r>
    </w:p>
    <w:p>
      <w:pPr>
        <w:pStyle w:val="TextBody"/>
        <w:bidi w:val="0"/>
        <w:jc w:val="center"/>
        <w:rPr>
          <w:rFonts w:ascii="Times New Roman" w:hAnsi="Times New Roman"/>
          <w:b/>
          <w:color w:val="000000"/>
          <w:sz w:val="14"/>
        </w:rPr>
      </w:pPr>
      <w:r>
        <w:rPr>
          <w:rFonts w:ascii="Times New Roman" w:hAnsi="Times New Roman"/>
          <w:b/>
          <w:color w:val="000000"/>
          <w:sz w:val="14"/>
        </w:rPr>
        <w:t>(Full Title of the Plans)</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Jennifer A. Johnson</w:t>
      </w:r>
    </w:p>
    <w:p>
      <w:pPr>
        <w:pStyle w:val="TextBody"/>
        <w:bidi w:val="0"/>
        <w:jc w:val="center"/>
        <w:rPr>
          <w:rFonts w:ascii="Times New Roman" w:hAnsi="Times New Roman"/>
          <w:b/>
          <w:color w:val="000000"/>
          <w:sz w:val="18"/>
        </w:rPr>
      </w:pPr>
      <w:r>
        <w:rPr>
          <w:rFonts w:ascii="Times New Roman" w:hAnsi="Times New Roman"/>
          <w:b/>
          <w:color w:val="000000"/>
          <w:sz w:val="18"/>
        </w:rPr>
        <w:t>Chief Legal &amp; Public Affairs Officer and Corporate Secretary</w:t>
      </w:r>
    </w:p>
    <w:p>
      <w:pPr>
        <w:pStyle w:val="TextBody"/>
        <w:bidi w:val="0"/>
        <w:jc w:val="center"/>
        <w:rPr>
          <w:rFonts w:ascii="Times New Roman" w:hAnsi="Times New Roman"/>
          <w:b/>
          <w:color w:val="000000"/>
          <w:sz w:val="18"/>
        </w:rPr>
      </w:pPr>
      <w:r>
        <w:rPr>
          <w:rFonts w:ascii="Times New Roman" w:hAnsi="Times New Roman"/>
          <w:b/>
          <w:color w:val="000000"/>
          <w:sz w:val="18"/>
        </w:rPr>
        <w:t>Vylor Inc.</w:t>
      </w:r>
    </w:p>
    <w:p>
      <w:pPr>
        <w:pStyle w:val="TextBody"/>
        <w:bidi w:val="0"/>
        <w:jc w:val="center"/>
        <w:rPr>
          <w:rFonts w:ascii="Times New Roman" w:hAnsi="Times New Roman"/>
          <w:b/>
          <w:color w:val="000000"/>
          <w:sz w:val="18"/>
        </w:rPr>
      </w:pPr>
      <w:r>
        <w:rPr>
          <w:rFonts w:ascii="Times New Roman" w:hAnsi="Times New Roman"/>
          <w:b/>
          <w:color w:val="000000"/>
          <w:sz w:val="18"/>
        </w:rPr>
        <w:t>1000 N. West Street, Suite 900</w:t>
      </w:r>
    </w:p>
    <w:p>
      <w:pPr>
        <w:pStyle w:val="TextBody"/>
        <w:bidi w:val="0"/>
        <w:jc w:val="center"/>
        <w:rPr>
          <w:rFonts w:ascii="Times New Roman" w:hAnsi="Times New Roman"/>
          <w:b/>
          <w:color w:val="000000"/>
          <w:sz w:val="18"/>
        </w:rPr>
      </w:pPr>
      <w:r>
        <w:rPr>
          <w:rFonts w:ascii="Times New Roman" w:hAnsi="Times New Roman"/>
          <w:b/>
          <w:color w:val="000000"/>
          <w:sz w:val="18"/>
        </w:rPr>
        <w:t>Wilmington, Delaware 19801</w:t>
      </w:r>
    </w:p>
    <w:p>
      <w:pPr>
        <w:pStyle w:val="TextBody"/>
        <w:bidi w:val="0"/>
        <w:jc w:val="center"/>
        <w:rPr>
          <w:rFonts w:ascii="Times New Roman" w:hAnsi="Times New Roman"/>
          <w:b/>
          <w:color w:val="000000"/>
          <w:sz w:val="18"/>
        </w:rPr>
      </w:pPr>
      <w:r>
        <w:rPr>
          <w:rFonts w:ascii="Times New Roman" w:hAnsi="Times New Roman"/>
          <w:b/>
          <w:color w:val="000000"/>
          <w:sz w:val="18"/>
        </w:rPr>
        <w:t>(844) 895-6747</w:t>
      </w:r>
    </w:p>
    <w:p>
      <w:pPr>
        <w:pStyle w:val="TextBody"/>
        <w:bidi w:val="0"/>
        <w:jc w:val="center"/>
        <w:rPr>
          <w:rFonts w:ascii="Times New Roman" w:hAnsi="Times New Roman"/>
          <w:b/>
          <w:color w:val="000000"/>
          <w:sz w:val="14"/>
        </w:rPr>
      </w:pPr>
      <w:r>
        <w:rPr>
          <w:rFonts w:ascii="Times New Roman" w:hAnsi="Times New Roman"/>
          <w:b/>
          <w:color w:val="000000"/>
          <w:sz w:val="14"/>
        </w:rPr>
        <w:t>(Name, address, including zip code, and telephone number, including area code, of agents for service)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ge3"/>
      <w:bookmarkEnd w:id="3"/>
      <w:r>
        <w:rPr>
          <w:rFonts w:ascii="Times New Roman" w:hAnsi="Times New Roman"/>
          <w:b/>
          <w:color w:val="000000"/>
          <w:sz w:val="20"/>
        </w:rPr>
        <w:t>EXPLANATORY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registration statement on Form S-8 (this “Registration Statement”) is being filed for the purpose of registering 40,000,000 shares of common stock, par value $0.01 per share (“Common Stock”), of Vylor Inc. (the “Company”) issuable to eligible employees, officers and directors of the Company and certain other individuals pursuant to awards that may be granted in the future under the Vylor Inc. 2026 Omnibus Incentive Plan (the “Incentive Plan”), 4,000,000 shares of Common Stock that may be granted in the future under the under the Vylor Inc. Retirement Savings Plan (the “RSP”), 50,000 shares of Common Stock that may be granted in the future under the under the Vylor Inc. Management Deferred Compensation Plan (the “MDCP”), and 300,000 shares of Common Stock that may be granted in the future under the under the Vylor Inc. Deferred Compensation and Stock Accumulation Plan for Directors (the “DCSAP” and, collectively with the Incentive Plan, the RSP and the MDCP, the “Plans”). The Plans are being implemented in connection with the spin-off of the Company from Corteva Inc., has been completed by way of a pro rata distribution of all of the then-issued and outstanding shares of Common Stock to Corteva, Inc. stockholders (the “Separation”).</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document(s) containing the employee benefit plan information required by Item 1 of Form S-8 and the statement of availability of company information and any other information required by Item 2 of Form S-8 will be sent or given to participants as specified by Rule 428 under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Company will maintain a file of such documents in accordance with the provisions of Rule 428. Upon request, the Company will furnish to the Commission or its staff a copy of any or all of the documents included in such file.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documents filed with the Commission pursuant to the Securities Exchange Act of 1934, as amended (the “Exchange Act”) are hereby incorporated in this Registration Statement by reference and shall be deemed to be a part hereof (except for any portions of Current Reports on Form 8-K furnished pursuant to Item 2.02 or Item 7.01 thereof and any corresponding exhibits thereto not filed with the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color w:val="000000"/>
          <w:sz w:val="20"/>
        </w:rPr>
        <w:t xml:space="preserve">The Registrant’s Registration Statement on </w:t>
      </w:r>
      <w:hyperlink r:id="rId2">
        <w:r>
          <w:rPr>
            <w:rStyle w:val="InternetLink"/>
          </w:rPr>
          <w:t xml:space="preserve">Form 10 </w:t>
        </w:r>
      </w:hyperlink>
      <w:r>
        <w:rPr>
          <w:rFonts w:ascii="Times New Roman" w:hAnsi="Times New Roman"/>
          <w:color w:val="000000"/>
          <w:sz w:val="20"/>
        </w:rPr>
        <w:t>(File No. 001-43376) (as amended, the “Form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 xml:space="preserve">The Registrant’s Current Reports on </w:t>
      </w:r>
      <w:hyperlink r:id="rId3">
        <w:r>
          <w:rPr>
            <w:rStyle w:val="InternetLink"/>
          </w:rPr>
          <w:t xml:space="preserve">Form 8-K </w:t>
        </w:r>
      </w:hyperlink>
      <w:r>
        <w:rPr>
          <w:rFonts w:ascii="Times New Roman" w:hAnsi="Times New Roman"/>
          <w:color w:val="000000"/>
          <w:sz w:val="20"/>
        </w:rPr>
        <w:t>filed with the Commission on September 25, 2026, September 25, 2026, September 30, 2026, October 1, 2026, October 1, 2026, and October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color w:val="000000"/>
          <w:sz w:val="20"/>
        </w:rPr>
        <w:t xml:space="preserve">The description of the Registrant’s Common Stock, which is contained in the information statement filed as </w:t>
      </w:r>
      <w:hyperlink r:id="rId4">
        <w:r>
          <w:rPr>
            <w:rStyle w:val="InternetLink"/>
          </w:rPr>
          <w:t>Exhibit 99.1 to the Form 10</w:t>
        </w:r>
      </w:hyperlink>
      <w:r>
        <w:rPr>
          <w:rFonts w:ascii="Times New Roman" w:hAnsi="Times New Roman"/>
          <w:color w:val="000000"/>
          <w:sz w:val="20"/>
        </w:rPr>
        <w:t>, under the heading “Description of Our Capital Stock,” including any amendments or reports filed for purposes of updating such description.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foregoing, all documents subsequently filed by the Company pursuant to Sections 13(a), 13(c), 14 and 15(d) of the Exchange Act after the date of this Registration Statement, and prior to the filing of a post-effective amendment to this Registration Statement which indicates that all securities offered hereunder have been sold or which de-registers all securities then remaining unsold, shall be deemed to be incorporated by reference in this Registration Statement and to be a part hereof from the date of filing of such documents (unless expressly incorporated into this Registration Statement, any portions of the Registrant’s Current Reports on Form 8-K furnished pursuant to Item 2.02 or Item 7.01 thereof and any corresponding exhibits thereto not filed with the Commission subsequent to the date hereof shall not be incorporated by reference into this Registration Statement).</w:t>
      </w:r>
    </w:p>
    <w:p>
      <w:pPr>
        <w:pStyle w:val="TextBody"/>
        <w:bidi w:val="0"/>
        <w:spacing w:before="240" w:after="283"/>
        <w:jc w:val="left"/>
        <w:rPr>
          <w:rFonts w:ascii="Times New Roman" w:hAnsi="Times New Roman"/>
          <w:color w:val="000000"/>
          <w:sz w:val="20"/>
        </w:rPr>
      </w:pPr>
      <w:bookmarkStart w:id="4" w:name="page4"/>
      <w:bookmarkEnd w:id="4"/>
      <w:r>
        <w:rPr>
          <w:rFonts w:ascii="Times New Roman" w:hAnsi="Times New Roman"/>
          <w:color w:val="000000"/>
          <w:sz w:val="20"/>
        </w:rPr>
        <w:t>Any statement contained in a document which is incorporated by reference in this Registration Statement will be deemed modified or superseded for purposes of this Registration Statement to the extent that a statement contained in this Registration Statement or incorporated by reference in this Registration Statement or in any document that the Company files after the date of this Registration Statement that also is incorporated by reference in this Registration Statement modifies or supersedes the prior statement. Any such statement so modified or superseded shall not be deemed, except as so modified or superseded, to constitute a part of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foregoing, all information appearing in this Registration Statement is qualified in its entirety by the information appearing in the documents incorporated by reference in this Registration Statement.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Common Stock is registered under Section 12(b) of the Exchange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5. Interest of Named Experts and Counsel.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validity of the issuance of the Common Stock offered hereby has been passed on by Jennifer A. Johnson, Chief Legal &amp; Public Affairs Officer and Corporate Secretary of the Company. As of the effective time of the Separation, Ms. Johnson will have the right to acquire beneficial ownership of 5,576 shares of Common Stock within 60 days under the Company’s compensation plans.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Delaware General Corporation Law (the “DGCL”) authorizes corporations to limit or eliminate the personal liability of directors and officers to corporations and their stockholders for monetary damages for breaches of directors’ and officers’ fiduciary duties as directors and officers, as applicable, and the Company’s amended and restated certificate of incorporation will include such an exculpation provision. Under the provisions of the Company’s amended and restated certificate of incorporation and amended and restated bylaws, each of the Company’s directors, officers, employees and agents will be indemnified by the Company as of right to the full extent permitted by the DGCL.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DGCL, to the extent that a person is successful on the merits in defense of a suit or proceeding brought against him because he or she is or was one of our directors or officers, he or she will be indemnified against expenses (including attorneys’ fees) actually and reasonably incurred in connection with such action. If unsuccessful in defense of a third-party civil suit or a criminal suit, or if such a suit is settled, that person will be indemnified against both (i) expenses, including attorneys’ fees, and (ii) judgments, fines and amounts paid in settlement if he or she acted in good faith and in a manner he or she reasonably believed to be in, or not opposed to, our best interests and, with respect to any criminal action, had no reasonable cause to believe his conduct was unlawful. If unsuccessful in defense of a suit brought by or in our right, or if such suit is settled, that person will be indemnified only against expenses, including attorneys’ fees, incurred in the defense or settlement of the suit if he or she acted in good faith and in a manner he or she reasonably believed to be in, or not opposed to, the Company’s best interests, except that if he or she is adjudged to be liable for negligence or misconduct in the performance of his or her duty to the Company, he or she cannot be made whole even for expenses unless the court determines that he or she is fairly and reasonably entitled to indemnity for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Company’s amended and restated certificate of incorporation and amended and restated bylaws, the right to indemnification will include the right to be paid by the Company the expenses incurred in defending any action, suit or proceeding in advance of its final disposition, subject to the receipt by the Company of undertakings as may be legally defined. In any action by an indemnitee to enforce a right to indemnification or by the Company to recover advances made, the burden of proving that the indemnitee is not entitled to be indemnified is placed on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maintain liability insurance for itself and its directors and officers to provide protection for claims based on alleged breaches of fiduciary duty or other wrongful acts committed or allegedly committed by the Company’s directors and/or officers, whether or not the Company has the power to indemnify the person under the DGCL.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is only a general summary of certain aspects of Delaware law and the Company’s restated certificate of incorporation and amended and restated bylaws dealing with indemnification of directors and officers, and does not purport to be complete. It is qualified in its entirety by reference to the detailed provisions of the section of the DGCL referenced above and the Company’s restated certificate of incorporation and amended and restated bylaws, filed as Exhibits 3.1 and 3.2 hereto, respectively, and incorporated herein by reference.</w:t>
      </w:r>
    </w:p>
    <w:p>
      <w:pPr>
        <w:pStyle w:val="TextBody"/>
        <w:bidi w:val="0"/>
        <w:spacing w:before="360" w:after="283"/>
        <w:jc w:val="left"/>
        <w:rPr>
          <w:rFonts w:ascii="Times New Roman" w:hAnsi="Times New Roman"/>
          <w:b/>
          <w:color w:val="000000"/>
          <w:sz w:val="20"/>
        </w:rPr>
      </w:pPr>
      <w:bookmarkStart w:id="5" w:name="page5"/>
      <w:bookmarkEnd w:id="5"/>
      <w:r>
        <w:rPr>
          <w:rFonts w:ascii="Times New Roman" w:hAnsi="Times New Roman"/>
          <w:b/>
          <w:color w:val="000000"/>
          <w:sz w:val="20"/>
        </w:rPr>
        <w:t>Item 7. Exemption from Registration Claimed.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list of exhibits, see the Exhibit Index to this Registration Statement, which is incorporated in this item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hereby undertakes: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 include any prospectus required by Section 10(a)(3) of the Securities Act;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provided, however, that, </w:t>
      </w:r>
      <w:r>
        <w:rPr>
          <w:rFonts w:ascii="Times New Roman" w:hAnsi="Times New Roman"/>
          <w:color w:val="000000"/>
          <w:sz w:val="20"/>
        </w:rPr>
        <w:t>paragraphs (a)(1)(i) and (a)(1)(ii) above do not apply if the information required to be included in a post-effective amendment by those paragraphs is contained in reports filed with or furnished to the Commission by the Company pursuant to Section 13 or Section 15(d) of the Exchange Act that are incorporated by reference in the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hereby which remain unsold at the termination of the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1"/>
        <w:gridCol w:w="146"/>
        <w:gridCol w:w="9278"/>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8"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Amended and Restated Certificate of Incorporation of Vylor Inc. (incorporated by reference to Exhibit No. 3.1 to Vylor’s Registration Statement on Form 10, filed with the Commission on August 14, 2026)</w:t>
              </w:r>
            </w:hyperlink>
            <w:r>
              <w:rPr>
                <w:rFonts w:ascii="Times New Roman" w:hAnsi="Times New Roman"/>
                <w:color w:val="000000"/>
                <w:sz w:val="20"/>
              </w:rPr>
              <w:t>.</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Amended and Restated Bylaws of Vylor Inc. (incorporated by reference to Exhibit No. 3.2 to Vylor’s Registration Statement on Form 10, filed with the Commission on August 14,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Vylor Inc. 2026 Omnibus Incentive Plan (incorporated by reference to Exhibit No. 10.6 to Vylor’s Registration Statement Statement on Form 10, filed with the Commission on August 14,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Vylor Inc. Management Deferred Compensation Plan (incorporated by reference to Exhibit No. 10.7 to Vylor’s Registration Statement on Form 10, filed with the Commission on August 14,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Vylor Inc. Deferred Compensation and Stock Accumulation Plan for Directors (incorporated by reference to Exhibit No. 10.8 to Vylor’s Registration Statement on Form 10, filed with the Commission on August 14,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ck0002128626-ex5_1.htm">
              <w:r>
                <w:rPr>
                  <w:rStyle w:val="InternetLink"/>
                  <w:rFonts w:ascii="Times New Roman" w:hAnsi="Times New Roman"/>
                  <w:color w:val="0000FF"/>
                  <w:sz w:val="20"/>
                  <w:u w:val="single"/>
                </w:rPr>
                <w:t>Opinion of Counsel.</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ck0002128626-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ck0002128626-ex23_2.htm">
              <w:r>
                <w:rPr>
                  <w:rStyle w:val="InternetLink"/>
                  <w:rFonts w:ascii="Times New Roman" w:hAnsi="Times New Roman"/>
                  <w:color w:val="0000FF"/>
                  <w:sz w:val="20"/>
                  <w:u w:val="single"/>
                </w:rPr>
                <w:t>Consent of PricewaterhouseCoopers LLP, Independent Registered Public Accounting Firm.</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ck0002128626-ex5_1.htm">
              <w:r>
                <w:rPr>
                  <w:rStyle w:val="InternetLink"/>
                  <w:rFonts w:ascii="Times New Roman" w:hAnsi="Times New Roman"/>
                  <w:color w:val="0000FF"/>
                  <w:sz w:val="20"/>
                  <w:u w:val="single"/>
                </w:rPr>
                <w:t>Consent of Counsel (included in Exhibit 5.1 hereto).</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Powers of Attorney.</w:t>
              </w:r>
            </w:hyperlink>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w:anchor="ck0002128626-exfiling_fees.htm">
              <w:r>
                <w:rPr>
                  <w:rStyle w:val="InternetLink"/>
                  <w:rFonts w:ascii="Times New Roman" w:hAnsi="Times New Roman"/>
                  <w:color w:val="0000FF"/>
                  <w:sz w:val="20"/>
                  <w:u w:val="single"/>
                </w:rPr>
                <w:t>Filing Fee Table</w:t>
              </w:r>
            </w:hyperlink>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page7"/>
      <w:bookmarkEnd w:id="6"/>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Act of 1933, the Company certifies that it has reasonable grounds to believe that it meets all of the requirements for filing on Form S-8 and has duly caused this Registration Statement to be signed on its behalf by the undersigned, thereunto duly authorized, in Wilmington, Delaware on October 1, 2026.</w:t>
      </w:r>
    </w:p>
    <w:p>
      <w:pPr>
        <w:pStyle w:val="TextBody"/>
        <w:bidi w:val="0"/>
        <w:jc w:val="left"/>
        <w:rPr/>
      </w:pPr>
      <w:r>
        <w:rPr/>
        <w:t> </w:t>
      </w:r>
    </w:p>
    <w:tbl>
      <w:tblPr>
        <w:tblW w:w="3468" w:type="dxa"/>
        <w:jc w:val="left"/>
        <w:tblInd w:w="0" w:type="dxa"/>
        <w:tblLayout w:type="fixed"/>
        <w:tblCellMar>
          <w:top w:w="28" w:type="dxa"/>
          <w:left w:w="28" w:type="dxa"/>
          <w:bottom w:w="28" w:type="dxa"/>
          <w:right w:w="28" w:type="dxa"/>
        </w:tblCellMar>
      </w:tblPr>
      <w:tblGrid>
        <w:gridCol w:w="421"/>
        <w:gridCol w:w="631"/>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VYLOR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4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V. Magro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V. Magro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tbl>
      <w:tblPr>
        <w:tblW w:w="3393" w:type="dxa"/>
        <w:jc w:val="left"/>
        <w:tblInd w:w="0" w:type="dxa"/>
        <w:tblLayout w:type="fixed"/>
        <w:tblCellMar>
          <w:top w:w="28" w:type="dxa"/>
          <w:left w:w="28" w:type="dxa"/>
          <w:bottom w:w="28" w:type="dxa"/>
          <w:right w:w="28" w:type="dxa"/>
        </w:tblCellMar>
      </w:tblPr>
      <w:tblGrid>
        <w:gridCol w:w="421"/>
        <w:gridCol w:w="631"/>
        <w:gridCol w:w="2341"/>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P. Johnson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P. Johnson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tbl>
      <w:tblPr>
        <w:tblW w:w="5763" w:type="dxa"/>
        <w:jc w:val="left"/>
        <w:tblInd w:w="0" w:type="dxa"/>
        <w:tblLayout w:type="fixed"/>
        <w:tblCellMar>
          <w:top w:w="28" w:type="dxa"/>
          <w:left w:w="28" w:type="dxa"/>
          <w:bottom w:w="28" w:type="dxa"/>
          <w:right w:w="28" w:type="dxa"/>
        </w:tblCellMar>
      </w:tblPr>
      <w:tblGrid>
        <w:gridCol w:w="421"/>
        <w:gridCol w:w="631"/>
        <w:gridCol w:w="4711"/>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4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Colleen P. Hopper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Colleen P. Hopper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Corporate Finance &amp; Accounting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power_of_attorney"/>
      <w:bookmarkEnd w:id="7"/>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IT KNOWN BY THESE PRESENTS: That each person whose name is signed hereto has made, constituted and appointed, and does hereby make, constitute and appoint Charles V. Magro, David P. Johnson and Jennifer A. Johnson as his or her true and lawful attorney-in-fact and agent, each acting alone, with full power of substitution and resubstitution for him or her and his or her name, place and stead, in any and all capacities to sign the Registration Statement on Form S-8 and any and all amendments (including post-effective amendments) to this Registration Statement, and to file the same, with all exhibits thereto, and the other documents in connection therewith, with the Securities and Exchange Commission, granting unto said attorney-in-fact and agent, each acting alone, full power and authority to do and perform each and every act and thing requisite and necessary to be done in connection therewith, as fully to all intents and purposes as they might or could do in person, hereby ratifying and confirming all that said attorney-in-fact or his substitutes, each acting alone, may lawfully do or cause to be done by virtue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as of 12:01 a.m New York City time, October 1, 2026.</w:t>
      </w:r>
    </w:p>
    <w:p>
      <w:pPr>
        <w:pStyle w:val="TextBody"/>
        <w:bidi w:val="0"/>
        <w:jc w:val="left"/>
        <w:rPr/>
      </w:pPr>
      <w:r>
        <w:rPr/>
        <w:t> </w:t>
      </w:r>
    </w:p>
    <w:tbl>
      <w:tblPr>
        <w:tblW w:w="4570" w:type="dxa"/>
        <w:jc w:val="left"/>
        <w:tblInd w:w="0" w:type="dxa"/>
        <w:tblLayout w:type="fixed"/>
        <w:tblCellMar>
          <w:top w:w="28" w:type="dxa"/>
          <w:left w:w="28" w:type="dxa"/>
          <w:bottom w:w="28" w:type="dxa"/>
          <w:right w:w="28" w:type="dxa"/>
        </w:tblCellMar>
      </w:tblPr>
      <w:tblGrid>
        <w:gridCol w:w="1951"/>
        <w:gridCol w:w="146"/>
        <w:gridCol w:w="871"/>
        <w:gridCol w:w="146"/>
        <w:gridCol w:w="14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P. Johnson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1, 2026</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P. Johnson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A. Johnson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1, 2026</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Jennifer A. Johnson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ck0002128626-ex5_1.htm"/>
      <w:bookmarkStart w:id="9" w:name="ksck0002128626ex5_1"/>
      <w:bookmarkEnd w:id="8"/>
      <w:bookmarkEnd w:id="9"/>
      <w:r>
        <w:rPr>
          <w:rFonts w:ascii="Times New Roman" w:hAnsi="Times New Roman"/>
          <w:b/>
          <w:color w:val="000000"/>
          <w:sz w:val="20"/>
        </w:rPr>
        <w:t>Exhibit 5.1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OPINION OF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October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Vylor Inc.</w:t>
      </w:r>
    </w:p>
    <w:p>
      <w:pPr>
        <w:pStyle w:val="TextBody"/>
        <w:bidi w:val="0"/>
        <w:jc w:val="left"/>
        <w:rPr>
          <w:rFonts w:ascii="Times New Roman" w:hAnsi="Times New Roman"/>
          <w:color w:val="000000"/>
          <w:sz w:val="20"/>
        </w:rPr>
      </w:pPr>
      <w:r>
        <w:rPr>
          <w:rFonts w:ascii="Times New Roman" w:hAnsi="Times New Roman"/>
          <w:color w:val="000000"/>
          <w:sz w:val="20"/>
        </w:rPr>
        <w:t>1000 N. West Street, Suite 900</w:t>
      </w:r>
    </w:p>
    <w:p>
      <w:pPr>
        <w:pStyle w:val="TextBody"/>
        <w:bidi w:val="0"/>
        <w:jc w:val="left"/>
        <w:rPr>
          <w:rFonts w:ascii="Times New Roman" w:hAnsi="Times New Roman"/>
          <w:color w:val="000000"/>
          <w:sz w:val="20"/>
        </w:rPr>
      </w:pPr>
      <w:r>
        <w:rPr>
          <w:rFonts w:ascii="Times New Roman" w:hAnsi="Times New Roman"/>
          <w:color w:val="000000"/>
          <w:sz w:val="20"/>
        </w:rPr>
        <w:t>Wilmington, Delaware 19801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Reference is hereby made to the Registration Statement on Form S-8 being filed by Vylor Inc. (the “Company”) with the Securities and Exchange Commission, relating to the registration of 44,350,000 shares of common stock, par value $0.01 per share (the “Common Stock”), of the Company, which are issuable pursuant to the Vylor Inc. 2026 Omnibus Incentive Plan, the Vylor Inc. Retirement Savings Plan, the Vylor Inc. Management Deferred Compensation Plan and the Vylor Inc. Deferred Compensation and Stock Accumulation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rendering the opinions expressed below, I or a member of my staff have examined and relied upon: (a) the Certificate of Incorporation of the Company; (b) the form of Amended and Restated Certificate of Incorporation of the Company filed as Exhibit 3.1 to the Registration Statement on Form S-8; (c) the Bylaws of the Company; (d) the form of Amended and Restated Bylaws of the Company filed as Exhibit 3.2 to the Registration Statement on Form S-8; (e) the Registration Statement on Form S-8; (f) certain resolutions of the Board of Directors of the Company; and (g) such other documents, corporate records and instruments as I have deemed necessary or appropriate to form a basis for the opinions hereinafter expressed.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this opinion, I have assumed the genuineness of all signatures on all documents examined by me and the authenticity of all documents submitted to me as originals and the conformity to the originals of all documents submitted to me as copies.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foregoing, and subject to the assumptions, limitations and qualifications herein set forth, it is my opinion that:</w:t>
      </w:r>
    </w:p>
    <w:p>
      <w:pPr>
        <w:pStyle w:val="TextBody"/>
        <w:bidi w:val="0"/>
        <w:spacing w:before="120" w:after="283"/>
        <w:ind w:left="489" w:right="0" w:hanging="0"/>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validly existing and in good standing under the laws of the State of Delaware; and</w:t>
      </w:r>
    </w:p>
    <w:p>
      <w:pPr>
        <w:pStyle w:val="TextBody"/>
        <w:bidi w:val="0"/>
        <w:spacing w:before="120" w:after="283"/>
        <w:ind w:left="489" w:right="0" w:hanging="0"/>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the Company’s Amended and Restated Certificate of Incorporation has been filed with the Secretary of State of the State of Delaware and has become effective and the Board of Directors of the Company, including any appropriate committee appointed thereby, has taken all necessary corporate action to adopt the Company’s Amended and Restated Bylaws, the Common Stock has been duly authorized for issuance and, when issued and delivered in accordance with the terms set forth in the applicable plan, will be validly issued, fully paid and nonassessable.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do not express any opinion with respect to the law of any jurisdiction other than Delaware corporate law (including, to the extent applicable, the Delaware constitution and judicial decisions) and I do not express any opinion as to the effect of any other laws on the opinion herein stated. This opinion is given as of the date hereof. I assume no obligation to update or supplement this opinion to reflect any facts or circumstances which may hereafter occur or come to my attention or any changes in law which may hereafter occur.</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bookmarkStart w:id="10" w:name="page10"/>
      <w:bookmarkEnd w:id="10"/>
      <w:r>
        <w:rPr>
          <w:rFonts w:ascii="Times New Roman" w:hAnsi="Times New Roman"/>
          <w:color w:val="000000"/>
          <w:sz w:val="20"/>
        </w:rPr>
        <w:t>I hereby consent to the filing of this opinion as an exhibit to the Company’s Registration Statement on Form S-8 and to the reference to me under the caption “Interests of Named Experts and Counsel” in the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Very truly yours,</w:t>
      </w:r>
    </w:p>
    <w:p>
      <w:pPr>
        <w:pStyle w:val="TextBody"/>
        <w:bidi w:val="0"/>
        <w:jc w:val="left"/>
        <w:rPr/>
      </w:pPr>
      <w:r>
        <w:rPr/>
        <w:t> </w:t>
      </w:r>
    </w:p>
    <w:tbl>
      <w:tblPr>
        <w:tblW w:w="5071" w:type="dxa"/>
        <w:jc w:val="left"/>
        <w:tblInd w:w="0" w:type="dxa"/>
        <w:tblLayout w:type="fixed"/>
        <w:tblCellMar>
          <w:top w:w="28" w:type="dxa"/>
          <w:left w:w="28" w:type="dxa"/>
          <w:bottom w:w="28" w:type="dxa"/>
          <w:right w:w="28" w:type="dxa"/>
        </w:tblCellMar>
      </w:tblPr>
      <w:tblGrid>
        <w:gridCol w:w="5071"/>
      </w:tblGrid>
      <w:tr>
        <w:trPr/>
        <w:tc>
          <w:tcPr>
            <w:tcW w:w="5071" w:type="dxa"/>
            <w:tcBorders/>
            <w:vAlign w:val="center"/>
          </w:tcPr>
          <w:p>
            <w:pPr>
              <w:pStyle w:val="TableContents"/>
              <w:bidi w:val="0"/>
              <w:spacing w:before="0" w:after="283"/>
              <w:jc w:val="left"/>
              <w:rPr>
                <w:sz w:val="4"/>
                <w:szCs w:val="4"/>
              </w:rPr>
            </w:pPr>
            <w:r>
              <w:rPr>
                <w:sz w:val="4"/>
                <w:szCs w:val="4"/>
              </w:rPr>
            </w:r>
          </w:p>
        </w:tc>
      </w:tr>
      <w:tr>
        <w:trPr/>
        <w:tc>
          <w:tcPr>
            <w:tcW w:w="5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A. Johnson</w:t>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A. Johnson</w:t>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&amp; Public Affairs Officer and Corporate Secretary</w:t>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Vylor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 w:name="ck0002128626-ex23_1.htm"/>
      <w:bookmarkStart w:id="12" w:name="ksck0002128626ex23_1"/>
      <w:bookmarkEnd w:id="11"/>
      <w:bookmarkEnd w:id="12"/>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hereby consent to the incorporation by reference in this Registration Statement on Form S-8 of Vylor Inc. of our report dated February 12, 2026, relating to the financial statements and financial statement schedule of Corteva, Inc., which appears in Amendment No. 3 to the Registration Statement on Form 10 of Vylor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Philadelphia, Pennsylvania</w:t>
      </w:r>
    </w:p>
    <w:p>
      <w:pPr>
        <w:pStyle w:val="TextBody"/>
        <w:bidi w:val="0"/>
        <w:jc w:val="left"/>
        <w:rPr>
          <w:rFonts w:ascii="Times New Roman" w:hAnsi="Times New Roman"/>
          <w:color w:val="000000"/>
          <w:sz w:val="20"/>
        </w:rPr>
      </w:pPr>
      <w:r>
        <w:rPr>
          <w:rFonts w:ascii="Times New Roman" w:hAnsi="Times New Roman"/>
          <w:color w:val="000000"/>
          <w:sz w:val="20"/>
        </w:rPr>
        <w:t>October 1, 2026</w:t>
      </w:r>
    </w:p>
    <w:p>
      <w:pPr>
        <w:pStyle w:val="HorizontalLine"/>
        <w:pBdr>
          <w:bottom w:val="double" w:sz="2" w:space="0" w:color="808080"/>
        </w:pBdr>
        <w:bidi w:val="0"/>
        <w:spacing w:before="0" w:after="283"/>
        <w:jc w:val="left"/>
        <w:rPr/>
      </w:pPr>
      <w:r>
        <w:rPr/>
      </w:r>
    </w:p>
    <w:p>
      <w:pPr>
        <w:pStyle w:val="TextBody"/>
        <w:bidi w:val="0"/>
        <w:jc w:val="right"/>
        <w:rPr/>
      </w:pPr>
      <w:bookmarkStart w:id="13" w:name="ck0002128626-ex23_2.htm"/>
      <w:bookmarkStart w:id="14" w:name="ksck0002128626ex23_2"/>
      <w:bookmarkEnd w:id="13"/>
      <w:bookmarkEnd w:id="14"/>
      <w:r>
        <w:rPr/>
        <w:t> </w:t>
      </w:r>
      <w:r>
        <w:br w:type="page"/>
      </w:r>
    </w:p>
    <w:p>
      <w:pPr>
        <w:pStyle w:val="TextBody"/>
        <w:bidi w:val="0"/>
        <w:jc w:val="right"/>
        <w:rPr>
          <w:rFonts w:ascii="Times New Roman" w:hAnsi="Times New Roman"/>
          <w:b/>
          <w:color w:val="181818"/>
          <w:sz w:val="20"/>
        </w:rPr>
      </w:pPr>
      <w:r>
        <w:rPr>
          <w:rFonts w:ascii="Times New Roman" w:hAnsi="Times New Roman"/>
          <w:b/>
          <w:color w:val="181818"/>
          <w:sz w:val="20"/>
        </w:rPr>
        <w:t>Exhibit 23.2</w:t>
      </w:r>
    </w:p>
    <w:p>
      <w:pPr>
        <w:pStyle w:val="Heading1"/>
        <w:bidi w:val="0"/>
        <w:spacing w:before="480" w:after="48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this Registration Statement on Form S-8 of Vylor Inc. of our report dated April 16, 2026, except for the change in composition of reportable segments described in Note 22 to the combined financial statements, as to which the date is August 14, 2026, relating to the financial statements and financial statement schedule of the Seed Business of Corteva, Inc., which appears in Amendment No. 3 to the Registration Statement on Form 10 of Vylor Inc.</w:t>
      </w:r>
    </w:p>
    <w:p>
      <w:pPr>
        <w:pStyle w:val="TextBody"/>
        <w:bidi w:val="0"/>
        <w:spacing w:before="680" w:after="283"/>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Philadelphia, Pennsylvania</w:t>
      </w:r>
    </w:p>
    <w:p>
      <w:pPr>
        <w:pStyle w:val="TextBody"/>
        <w:bidi w:val="0"/>
        <w:jc w:val="left"/>
        <w:rPr>
          <w:rFonts w:ascii="Times New Roman" w:hAnsi="Times New Roman"/>
          <w:color w:val="000000"/>
          <w:sz w:val="20"/>
        </w:rPr>
      </w:pPr>
      <w:r>
        <w:rPr>
          <w:rFonts w:ascii="Times New Roman" w:hAnsi="Times New Roman"/>
          <w:color w:val="000000"/>
          <w:sz w:val="20"/>
        </w:rPr>
        <w:t>October 1, 2026</w:t>
      </w:r>
    </w:p>
    <w:p>
      <w:pPr>
        <w:pStyle w:val="TextBody"/>
        <w:bidi w:val="0"/>
        <w:jc w:val="right"/>
        <w:rPr>
          <w:rFonts w:ascii="Georgia;serif" w:hAnsi="Georgia;serif"/>
          <w:color w:val="000000"/>
          <w:sz w:val="20"/>
        </w:rPr>
      </w:pPr>
      <w:r>
        <w:rPr>
          <w:rFonts w:ascii="Georgia;serif" w:hAnsi="Georgia;serif"/>
          <w:color w:val="000000"/>
          <w:sz w:val="20"/>
        </w:rPr>
        <w:t>1</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5" w:name="ck0002128626-exfiling_fees.htm"/>
      <w:bookmarkStart w:id="16" w:name="ksck0002128626exfiling_fees"/>
      <w:bookmarkStart w:id="17" w:name="ck0002128626-exfiling_fees.htm"/>
      <w:bookmarkStart w:id="18" w:name="ksck0002128626exfiling_fees"/>
      <w:bookmarkEnd w:id="17"/>
      <w:bookmarkEnd w:id="18"/>
      <w:r>
        <w:br w:type="page"/>
      </w:r>
    </w:p>
    <w:tbl>
      <w:tblPr>
        <w:tblW w:w="3493" w:type="dxa"/>
        <w:jc w:val="left"/>
        <w:tblInd w:w="0" w:type="dxa"/>
        <w:tblLayout w:type="fixed"/>
        <w:tblCellMar>
          <w:top w:w="28" w:type="dxa"/>
          <w:left w:w="28" w:type="dxa"/>
          <w:bottom w:w="28" w:type="dxa"/>
          <w:right w:w="28" w:type="dxa"/>
        </w:tblCellMar>
      </w:tblPr>
      <w:tblGrid>
        <w:gridCol w:w="3339"/>
        <w:gridCol w:w="154"/>
      </w:tblGrid>
      <w:tr>
        <w:trPr/>
        <w:tc>
          <w:tcPr>
            <w:tcW w:w="349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3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39" w:type="dxa"/>
            <w:tcBorders/>
            <w:vAlign w:val="center"/>
          </w:tcPr>
          <w:p>
            <w:pPr>
              <w:pStyle w:val="TableContents"/>
              <w:bidi w:val="0"/>
              <w:spacing w:before="0" w:after="283"/>
              <w:jc w:val="left"/>
              <w:rPr>
                <w:b/>
              </w:rPr>
            </w:pPr>
            <w:r>
              <w:rPr>
                <w:b/>
              </w:rPr>
              <w:t xml:space="preserve">Vylor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7"/>
        <w:gridCol w:w="997"/>
        <w:gridCol w:w="1278"/>
        <w:gridCol w:w="1187"/>
        <w:gridCol w:w="1163"/>
        <w:gridCol w:w="1969"/>
        <w:gridCol w:w="1006"/>
        <w:gridCol w:w="1417"/>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8"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7"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6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7" w:type="dxa"/>
            <w:tcBorders/>
            <w:shd w:fill="E7E7E2" w:val="clear"/>
            <w:vAlign w:val="center"/>
          </w:tcPr>
          <w:p>
            <w:pPr>
              <w:pStyle w:val="TableContents"/>
              <w:bidi w:val="0"/>
              <w:spacing w:before="0" w:after="283"/>
              <w:jc w:val="left"/>
              <w:rPr/>
            </w:pPr>
            <w:r>
              <w:rPr/>
              <w:t xml:space="preserve">Equity </w:t>
            </w:r>
          </w:p>
        </w:tc>
        <w:tc>
          <w:tcPr>
            <w:tcW w:w="997" w:type="dxa"/>
            <w:tcBorders/>
            <w:shd w:fill="E7E7E2" w:val="clear"/>
            <w:vAlign w:val="center"/>
          </w:tcPr>
          <w:p>
            <w:pPr>
              <w:pStyle w:val="TableContents"/>
              <w:bidi w:val="0"/>
              <w:spacing w:before="0" w:after="283"/>
              <w:jc w:val="left"/>
              <w:rPr/>
            </w:pPr>
            <w:r>
              <w:rPr/>
              <w:t xml:space="preserve">Common stock, par value $0.01 per share </w:t>
            </w:r>
          </w:p>
        </w:tc>
        <w:tc>
          <w:tcPr>
            <w:tcW w:w="1278" w:type="dxa"/>
            <w:tcBorders/>
            <w:shd w:fill="E7E7E2" w:val="clear"/>
            <w:vAlign w:val="center"/>
          </w:tcPr>
          <w:p>
            <w:pPr>
              <w:pStyle w:val="TableContents"/>
              <w:bidi w:val="0"/>
              <w:spacing w:before="0" w:after="283"/>
              <w:jc w:val="center"/>
              <w:rPr/>
            </w:pPr>
            <w:r>
              <w:rPr/>
              <w:t xml:space="preserve">457(a) </w:t>
            </w:r>
          </w:p>
        </w:tc>
        <w:tc>
          <w:tcPr>
            <w:tcW w:w="1187" w:type="dxa"/>
            <w:tcBorders/>
            <w:shd w:fill="E7E7E2" w:val="clear"/>
            <w:vAlign w:val="center"/>
          </w:tcPr>
          <w:p>
            <w:pPr>
              <w:pStyle w:val="TableContents"/>
              <w:bidi w:val="0"/>
              <w:spacing w:before="0" w:after="283"/>
              <w:jc w:val="right"/>
              <w:rPr/>
            </w:pPr>
            <w:r>
              <w:rPr/>
              <w:t xml:space="preserve">44,350,000 </w:t>
            </w:r>
          </w:p>
        </w:tc>
        <w:tc>
          <w:tcPr>
            <w:tcW w:w="1163" w:type="dxa"/>
            <w:tcBorders/>
            <w:shd w:fill="E7E7E2" w:val="clear"/>
            <w:vAlign w:val="center"/>
          </w:tcPr>
          <w:p>
            <w:pPr>
              <w:pStyle w:val="TableContents"/>
              <w:bidi w:val="0"/>
              <w:spacing w:before="0" w:after="283"/>
              <w:jc w:val="right"/>
              <w:rPr/>
            </w:pPr>
            <w:r>
              <w:rPr/>
              <w:t xml:space="preserve">$ 69.975 </w:t>
            </w:r>
          </w:p>
        </w:tc>
        <w:tc>
          <w:tcPr>
            <w:tcW w:w="1969" w:type="dxa"/>
            <w:tcBorders/>
            <w:shd w:fill="E7E7E2" w:val="clear"/>
            <w:vAlign w:val="center"/>
          </w:tcPr>
          <w:p>
            <w:pPr>
              <w:pStyle w:val="TableContents"/>
              <w:bidi w:val="0"/>
              <w:spacing w:before="0" w:after="283"/>
              <w:jc w:val="right"/>
              <w:rPr/>
            </w:pPr>
            <w:r>
              <w:rPr/>
              <w:t xml:space="preserve">$ 3,103,391,250.00 </w:t>
            </w:r>
          </w:p>
        </w:tc>
        <w:tc>
          <w:tcPr>
            <w:tcW w:w="1006" w:type="dxa"/>
            <w:tcBorders/>
            <w:shd w:fill="E7E7E2" w:val="clear"/>
            <w:vAlign w:val="center"/>
          </w:tcPr>
          <w:p>
            <w:pPr>
              <w:pStyle w:val="TableContents"/>
              <w:bidi w:val="0"/>
              <w:spacing w:before="0" w:after="283"/>
              <w:jc w:val="right"/>
              <w:rPr/>
            </w:pPr>
            <w:r>
              <w:rPr/>
              <w:t xml:space="preserve">0.000087 </w:t>
            </w:r>
          </w:p>
        </w:tc>
        <w:tc>
          <w:tcPr>
            <w:tcW w:w="1417" w:type="dxa"/>
            <w:tcBorders/>
            <w:shd w:fill="E7E7E2" w:val="clear"/>
            <w:vAlign w:val="center"/>
          </w:tcPr>
          <w:p>
            <w:pPr>
              <w:pStyle w:val="TableContents"/>
              <w:bidi w:val="0"/>
              <w:spacing w:before="0" w:after="283"/>
              <w:jc w:val="right"/>
              <w:rPr/>
            </w:pPr>
            <w:r>
              <w:rPr/>
              <w:t xml:space="preserve">$ 269,995.04 </w:t>
            </w:r>
          </w:p>
        </w:tc>
      </w:tr>
      <w:tr>
        <w:trPr/>
        <w:tc>
          <w:tcPr>
            <w:tcW w:w="4650" w:type="dxa"/>
            <w:gridSpan w:val="5"/>
            <w:tcBorders/>
            <w:vAlign w:val="center"/>
          </w:tcPr>
          <w:p>
            <w:pPr>
              <w:pStyle w:val="TableContents"/>
              <w:bidi w:val="0"/>
              <w:spacing w:before="0" w:after="0"/>
              <w:ind w:left="0" w:right="0" w:hanging="0"/>
              <w:jc w:val="right"/>
              <w:rPr/>
            </w:pPr>
            <w:r>
              <w:rPr/>
              <w:t>Total Offering Amounts:</w:t>
            </w:r>
          </w:p>
        </w:tc>
        <w:tc>
          <w:tcPr>
            <w:tcW w:w="1163"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0"/>
              <w:ind w:left="0" w:right="0" w:hanging="0"/>
              <w:jc w:val="right"/>
              <w:rPr/>
            </w:pPr>
            <w:bookmarkStart w:id="19" w:name="MaxAggtOfferingPrice"/>
            <w:bookmarkEnd w:id="19"/>
            <w:r>
              <w:rPr/>
              <w:t xml:space="preserve">$ 3,103,391,250.00 </w:t>
            </w:r>
          </w:p>
        </w:tc>
        <w:tc>
          <w:tcPr>
            <w:tcW w:w="1006" w:type="dxa"/>
            <w:tcBorders/>
            <w:vAlign w:val="center"/>
          </w:tcPr>
          <w:p>
            <w:pPr>
              <w:pStyle w:val="TableContents"/>
              <w:bidi w:val="0"/>
              <w:spacing w:before="0" w:after="283"/>
              <w:jc w:val="left"/>
              <w:rPr>
                <w:sz w:val="4"/>
                <w:szCs w:val="4"/>
              </w:rPr>
            </w:pPr>
            <w:r>
              <w:rPr>
                <w:sz w:val="4"/>
                <w:szCs w:val="4"/>
              </w:rPr>
            </w:r>
          </w:p>
        </w:tc>
        <w:tc>
          <w:tcPr>
            <w:tcW w:w="141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0" w:name="TotalFeeAmt"/>
            <w:bookmarkEnd w:id="20"/>
            <w:r>
              <w:rPr/>
              <w:t xml:space="preserve">$ 269,995.04 </w:t>
            </w:r>
          </w:p>
        </w:tc>
      </w:tr>
      <w:tr>
        <w:trPr/>
        <w:tc>
          <w:tcPr>
            <w:tcW w:w="4650" w:type="dxa"/>
            <w:gridSpan w:val="5"/>
            <w:tcBorders/>
            <w:vAlign w:val="center"/>
          </w:tcPr>
          <w:p>
            <w:pPr>
              <w:pStyle w:val="TableContents"/>
              <w:bidi w:val="0"/>
              <w:spacing w:before="0" w:after="0"/>
              <w:ind w:left="0" w:right="0" w:hanging="0"/>
              <w:jc w:val="right"/>
              <w:rPr/>
            </w:pPr>
            <w:r>
              <w:rPr/>
              <w:t xml:space="preserve">Total Fee Offsets: </w:t>
            </w:r>
          </w:p>
        </w:tc>
        <w:tc>
          <w:tcPr>
            <w:tcW w:w="1163"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0"/>
              <w:ind w:left="0" w:right="0" w:hanging="0"/>
              <w:jc w:val="right"/>
              <w:rPr/>
            </w:pPr>
            <w:bookmarkStart w:id="21" w:name="TotalOffsetAmt"/>
            <w:bookmarkEnd w:id="21"/>
            <w:r>
              <w:rPr/>
              <w:t xml:space="preserve">$ 0.00 </w:t>
            </w:r>
          </w:p>
        </w:tc>
      </w:tr>
      <w:tr>
        <w:trPr/>
        <w:tc>
          <w:tcPr>
            <w:tcW w:w="4650" w:type="dxa"/>
            <w:gridSpan w:val="5"/>
            <w:tcBorders/>
            <w:vAlign w:val="center"/>
          </w:tcPr>
          <w:p>
            <w:pPr>
              <w:pStyle w:val="TableContents"/>
              <w:bidi w:val="0"/>
              <w:spacing w:before="0" w:after="0"/>
              <w:ind w:left="0" w:right="0" w:hanging="0"/>
              <w:jc w:val="right"/>
              <w:rPr/>
            </w:pPr>
            <w:r>
              <w:rPr/>
              <w:t xml:space="preserve">Net Fee Due: </w:t>
            </w:r>
          </w:p>
        </w:tc>
        <w:tc>
          <w:tcPr>
            <w:tcW w:w="1163"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0"/>
              <w:ind w:left="0" w:right="0" w:hanging="0"/>
              <w:jc w:val="right"/>
              <w:rPr/>
            </w:pPr>
            <w:bookmarkStart w:id="22" w:name="NetFeeAmt"/>
            <w:bookmarkEnd w:id="22"/>
            <w:r>
              <w:rPr/>
              <w:t xml:space="preserve">$ 269,995.04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3"/>
        <w:gridCol w:w="8713"/>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covers (i) such additional number of shares of common stock, par value $0.01 per share ("Common Stock"), of Vylor Inc. (the "Company") issuable upon stock splits, stock dividends, reclassifications, recapitalizations, combinations or similar events or (ii) such reduced number of shares of Common Stock in respect of any reverse stock splits, stock dividends, reclassifications, recapitalizations, combinations or similar events, in each case with respect to the shares of Common Stock being registered pursuant to this Registration Statement. (2) Represents shares of Common Stock that may be made available for issuance under the Vylor Inc. 2026 Omnibus Incentive Plan (the "Incentive Plan"), the Vylor Inc. Retirement Savings Plan (the "RSP"), the Vylor Inc. Management Deferred Compensation Plan (the "MDCP"), and the Vylor Inc. Deferred Compensation and Stock Accumulation Plan for Directors (the "DCSAP" and, collectively with the Incentive Plan, the RSP and the MDCP, the "Plans"). Pursuant to Rule 416(c) under the securities Act, this Registration Statement also covers an indeterminate amount of plan participation interests to be offered or sold pursuant to the Plans. No additional registration fee is included for these interests. (3) Estimated solely for purposes of calculating the registration fee pursuant to Rule 457(c) and Rule 457(h) under the Securities Act on the basis of the average of the high and low sales prices per share of the Common Stock on the New York Stock Exchange as reported on October 1, 2026.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5672/000119312519138437/d615112d1012ba.htm" TargetMode="External"/><Relationship Id="rId3" Type="http://schemas.openxmlformats.org/officeDocument/2006/relationships/hyperlink" Target="https://www.sec.gov/Archives/edgar/data/1755672/000119312519162232/d731475d8k.htm" TargetMode="External"/><Relationship Id="rId4" Type="http://schemas.openxmlformats.org/officeDocument/2006/relationships/hyperlink" Target="https://www.sec.gov/Archives/edgar/data/1755672/000119312519138437/d615112dex991.htm" TargetMode="External"/><Relationship Id="rId5" Type="http://schemas.openxmlformats.org/officeDocument/2006/relationships/hyperlink" Target="https://www.sec.gov/Archives/edgar/data/2128626/000119312526352605/ck0002128626-ex3_1.htm" TargetMode="External"/><Relationship Id="rId6" Type="http://schemas.openxmlformats.org/officeDocument/2006/relationships/hyperlink" Target="https://www.sec.gov/Archives/edgar/data/2128626/000119312526352605/ck0002128626-ex3_2.htm" TargetMode="External"/><Relationship Id="rId7" Type="http://schemas.openxmlformats.org/officeDocument/2006/relationships/hyperlink" Target="https://www.sec.gov/Archives/edgar/data/2128626/000119312526391356/ck0002128626-ex10_6.htm" TargetMode="External"/><Relationship Id="rId8" Type="http://schemas.openxmlformats.org/officeDocument/2006/relationships/hyperlink" Target="https://www.sec.gov/Archives/edgar/data/2128626/000119312526391356/ck0002128626-ex10_7.htm" TargetMode="External"/><Relationship Id="rId9" Type="http://schemas.openxmlformats.org/officeDocument/2006/relationships/hyperlink" Target="https://www.sec.gov/Archives/edgar/data/2128626/000119312526391356/ck0002128626-ex10_8.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4004</Words>
  <Characters>21383</Characters>
  <CharactersWithSpaces>25320</CharactersWithSpaces>
  <Paragraphs>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